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国家税务总局澄迈县税务局2025-2027年物业及食堂服务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国家税务总局澄迈县税务局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国家税务总局澄迈县税务局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国家税务总局澄迈县税务局2025-2027年物业及食堂服务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HNGP2025-70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国家税务总局澄迈县税务局2025-2027年物业及食堂服务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10,941,396.69元</w:t>
      </w:r>
      <w:r>
        <w:rPr>
          <w:rFonts w:ascii="仿宋_GB2312" w:hAnsi="仿宋_GB2312" w:cs="仿宋_GB2312" w:eastAsia="仿宋_GB2312"/>
        </w:rPr>
        <w:t>壹仟零玖拾肆万壹仟叁佰玖拾陆元陆角玖分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根据《政府采购促进中小企业发展管理办法》（财库〔2020〕46号印发）有关规定，本项目采取接受分包合同方式，实现预留采购份额专门面向中小企业。若投标人为大型、中型企业，需采取分包合同方式，要求获得采购合同的供应商将采购项目的一定比例分包给一家或者多家中小企业并签订分包意向协议。分包给中小企业的合同金额应当达到的比例为30%（不含）以上，其中预留给小微企业的比例不低于60%。若投标人为小型、微型企业，可以单独投标。：根据《政府采购促进中小企业发展管理办法》（财库〔2020〕46号印发）有关规定，本项目采取接受分包合同方式，实现预留采购份额专门面向中小企业。若投标人为大型、中型企业，需采取分包合同方式，要求获得采购合同的供应商将采购项目的一定比例分包给一家或者多家中小企业并签订分包意向协议。分包给中小企业的合同金额应当达到的比例为30%（不含）以上，其中预留给小微企业的比例不低于60%。若投标人为小型、微型企业，可以单独投标。</w:t>
      </w:r>
    </w:p>
    <w:p>
      <w:pPr>
        <w:pStyle w:val="null3"/>
        <w:jc w:val="left"/>
      </w:pPr>
      <w:r>
        <w:rPr>
          <w:rFonts w:ascii="仿宋_GB2312" w:hAnsi="仿宋_GB2312" w:cs="仿宋_GB2312" w:eastAsia="仿宋_GB2312"/>
        </w:rPr>
        <w:t>3、若采取分包合同方式的应满足下列要求： （1）分包各方必须签订分包意向协议，明确分包人和分包意向单位各方权利、义务及分工、合同工作量比例等； （2）分包意向协议中接受分包的中小企业/监狱企业/残疾人福利单位，应提供《中小企业声明函》/证明材料/残疾人福利性单位声明函； （3）接受分包合同的中小企业与分包企业之间不得存在直接控股、管理关系。：若采取分包合同方式的应满足下列要求： （1）分包各方必须签订分包意向协议，明确分包人和分包意向单位各方权利、义务及分工、合同工作量比例等； （2）分包意向协议中接受分包的中小企业/监狱企业/残疾人福利单位，应提供《中小企业声明函》/证明材料/残疾人福利性单位声明函； （3）接受分包合同的中小企业与分包企业之间不得存在直接控股、管理关系。</w:t>
      </w:r>
    </w:p>
    <w:p>
      <w:pPr>
        <w:pStyle w:val="null3"/>
        <w:jc w:val="left"/>
      </w:pPr>
      <w:r>
        <w:rPr>
          <w:rFonts w:ascii="仿宋_GB2312" w:hAnsi="仿宋_GB2312" w:cs="仿宋_GB2312" w:eastAsia="仿宋_GB2312"/>
        </w:rPr>
        <w:t>4、供应商具有《食品经营许可证》或《食品生产许可证》。仅提供《食品生产许可证》的，许可范围应包括本包中除农产品外的全部供应品类。：供应商具有《食品经营许可证》或《食品生产许可证》。仅提供《食品生产许可证》的，许可范围应包括本包中除农产品外的全部供应品类。提供许可证扫描件。</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国家税务总局澄迈县税务局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海南省澄迈县金江镇金马大道36号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0898-67601930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采购包1：5,093,228.95元</w:t>
            </w:r>
          </w:p>
          <w:p>
            <w:pPr>
              <w:pStyle w:val="null3"/>
              <w:jc w:val="left"/>
            </w:pPr>
            <w:r>
              <w:rPr>
                <w:rFonts w:ascii="仿宋_GB2312" w:hAnsi="仿宋_GB2312" w:cs="仿宋_GB2312" w:eastAsia="仿宋_GB2312"/>
              </w:rPr>
              <w:t>采购包2：5,848,167.74元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采购包2：分包比例30%，分包履行的内容：仅允许将中标项目中的非主体、非关键工作分包，允许分包的内容为食堂除厨师外的服务，分包承担主体应当具备相应资质条件且不得再次分包。 依据《政府采购促进中小企业发展管理办法》（财库〔2020〕46号）规定享受扶持政策获得政府采购合同的小微企业不得将合同分包给大中型企业，中型企业不得将合同分包给大型企业。</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联系人：郑女士</w:t>
      </w:r>
    </w:p>
    <w:p>
      <w:pPr>
        <w:pStyle w:val="null3"/>
        <w:jc w:val="left"/>
      </w:pPr>
      <w:r>
        <w:rPr>
          <w:rFonts w:ascii="仿宋_GB2312" w:hAnsi="仿宋_GB2312" w:cs="仿宋_GB2312" w:eastAsia="仿宋_GB2312"/>
        </w:rPr>
        <w:t>联系电话：0898-67601930</w:t>
      </w:r>
    </w:p>
    <w:p>
      <w:pPr>
        <w:pStyle w:val="null3"/>
        <w:jc w:val="left"/>
      </w:pPr>
      <w:r>
        <w:rPr>
          <w:rFonts w:ascii="仿宋_GB2312" w:hAnsi="仿宋_GB2312" w:cs="仿宋_GB2312" w:eastAsia="仿宋_GB2312"/>
        </w:rPr>
        <w:t>地址：海南省澄迈县金江镇金马大道36号</w:t>
      </w:r>
    </w:p>
    <w:p>
      <w:pPr>
        <w:pStyle w:val="null3"/>
        <w:jc w:val="left"/>
      </w:pPr>
      <w:r>
        <w:rPr>
          <w:rFonts w:ascii="仿宋_GB2312" w:hAnsi="仿宋_GB2312" w:cs="仿宋_GB2312" w:eastAsia="仿宋_GB2312"/>
        </w:rPr>
        <w:t>邮编：571900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地址：海口市美兰区大英山西二街政务二期大楼208室</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为做好国家税务总局澄迈县税务局物业管理工作，加强后勤保障，国家税务总局澄迈县税务局通过公开招标确定1家物业管理服务供应商提供2025年-2027年（服务期限：自合同签订之日起满2年）金马、文化北、立新路和华成路办公区物业服务项目,项目包括金马办公区、文化北办公区、立新路办公区以及华成路等4个办公区（含办公楼、设备房及附属办公大院）区域的物业管理服务（办公楼建筑面积约9900㎡，外场占地面积约24800㎡）。采购包1：物业管理服务预算金额总价5093228.95元（2546614.48元/年）。</w:t>
      </w:r>
    </w:p>
    <w:p>
      <w:pPr>
        <w:pStyle w:val="null3"/>
        <w:jc w:val="left"/>
      </w:pPr>
      <w:r>
        <w:rPr>
          <w:rFonts w:ascii="仿宋_GB2312" w:hAnsi="仿宋_GB2312" w:cs="仿宋_GB2312" w:eastAsia="仿宋_GB2312"/>
        </w:rPr>
        <w:t>2.</w:t>
      </w:r>
      <w:r>
        <w:rPr>
          <w:rFonts w:ascii="仿宋_GB2312" w:hAnsi="仿宋_GB2312" w:cs="仿宋_GB2312" w:eastAsia="仿宋_GB2312"/>
        </w:rPr>
        <w:t>为保障国家税务总局澄迈县税务局职工食堂正常运行，拟对</w:t>
      </w:r>
      <w:r>
        <w:rPr>
          <w:rFonts w:ascii="仿宋_GB2312" w:hAnsi="仿宋_GB2312" w:cs="仿宋_GB2312" w:eastAsia="仿宋_GB2312"/>
        </w:rPr>
        <w:t>2025年至2027年（服务期限：自合同签订之日起满2年）的食堂服务、食材采购开展政府采购工作，选择资质优良、管理完善、专业、人力资源储备充分的供应商提供食堂服务、食堂食材</w:t>
      </w:r>
      <w:r>
        <w:rPr>
          <w:rFonts w:ascii="仿宋_GB2312" w:hAnsi="仿宋_GB2312" w:cs="仿宋_GB2312" w:eastAsia="仿宋_GB2312"/>
        </w:rPr>
        <w:t>采购</w:t>
      </w:r>
      <w:r>
        <w:rPr>
          <w:rFonts w:ascii="仿宋_GB2312" w:hAnsi="仿宋_GB2312" w:cs="仿宋_GB2312" w:eastAsia="仿宋_GB2312"/>
        </w:rPr>
        <w:t>配送及售后服务。采购包</w:t>
      </w:r>
      <w:r>
        <w:rPr>
          <w:rFonts w:ascii="仿宋_GB2312" w:hAnsi="仿宋_GB2312" w:cs="仿宋_GB2312" w:eastAsia="仿宋_GB2312"/>
        </w:rPr>
        <w:t>2：食堂餐饮服务预算金额总价5848167.74元，其中食堂服务预算金额总价3363447.74元（1681723.87元/年）；</w:t>
      </w:r>
      <w:r>
        <w:rPr>
          <w:rFonts w:ascii="仿宋_GB2312" w:hAnsi="仿宋_GB2312" w:cs="仿宋_GB2312" w:eastAsia="仿宋_GB2312"/>
        </w:rPr>
        <w:t>食堂食材采购</w:t>
      </w:r>
      <w:r>
        <w:rPr>
          <w:rFonts w:ascii="仿宋_GB2312" w:hAnsi="仿宋_GB2312" w:cs="仿宋_GB2312" w:eastAsia="仿宋_GB2312"/>
        </w:rPr>
        <w:t>预算金额总价</w:t>
      </w:r>
      <w:r>
        <w:rPr>
          <w:rFonts w:ascii="仿宋_GB2312" w:hAnsi="仿宋_GB2312" w:cs="仿宋_GB2312" w:eastAsia="仿宋_GB2312"/>
        </w:rPr>
        <w:t>2484720元（1242360元/年）。</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5,093,228.95</w:t>
      </w:r>
    </w:p>
    <w:p>
      <w:pPr>
        <w:pStyle w:val="null3"/>
        <w:jc w:val="left"/>
      </w:pPr>
      <w:r>
        <w:rPr>
          <w:rFonts w:ascii="仿宋_GB2312" w:hAnsi="仿宋_GB2312" w:cs="仿宋_GB2312" w:eastAsia="仿宋_GB2312"/>
        </w:rPr>
        <w:t>采购包最高限价（元）: 5,093,228.95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5,093,228.95</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5,848,167.74</w:t>
      </w:r>
    </w:p>
    <w:p>
      <w:pPr>
        <w:pStyle w:val="null3"/>
        <w:jc w:val="left"/>
      </w:pPr>
      <w:r>
        <w:rPr>
          <w:rFonts w:ascii="仿宋_GB2312" w:hAnsi="仿宋_GB2312" w:cs="仿宋_GB2312" w:eastAsia="仿宋_GB2312"/>
        </w:rPr>
        <w:t>采购包最高限价（元）: 5,848,167.74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食堂服务及食材采购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5,848,167.74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5,093,228.95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食堂服务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3,363,447.74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食堂食材采购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2,484,720.00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人应在定价依据基础上，同时结合产品价格、运输、装卸、售后服务、搬运费、税金等情况，对采购项目进行报价。食材采购费据实结算，结算价格=食堂食材采购报价/食堂食材采购预算（2484720元）×食材市场调研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28"/>
              </w:rPr>
              <w:t>一、</w:t>
            </w:r>
            <w:r>
              <w:rPr>
                <w:rFonts w:ascii="仿宋_GB2312" w:hAnsi="仿宋_GB2312" w:cs="仿宋_GB2312" w:eastAsia="仿宋_GB2312"/>
                <w:sz w:val="28"/>
              </w:rPr>
              <w:t>投标总要求</w:t>
            </w:r>
          </w:p>
          <w:p>
            <w:pPr>
              <w:pStyle w:val="null3"/>
              <w:jc w:val="left"/>
            </w:pPr>
            <w:r>
              <w:rPr>
                <w:rFonts w:ascii="仿宋_GB2312" w:hAnsi="仿宋_GB2312" w:cs="仿宋_GB2312" w:eastAsia="仿宋_GB2312"/>
                <w:sz w:val="21"/>
              </w:rPr>
              <w:t>预算金额包含人工成本（含人员薪资、社会保险、住房公积金、服装、体检费等）、管理费用和税金等。供应商报价不得超出此预算价。</w:t>
            </w:r>
          </w:p>
          <w:p>
            <w:pPr>
              <w:pStyle w:val="null3"/>
              <w:jc w:val="left"/>
            </w:pPr>
            <w:r>
              <w:rPr>
                <w:rFonts w:ascii="仿宋_GB2312" w:hAnsi="仿宋_GB2312" w:cs="仿宋_GB2312" w:eastAsia="仿宋_GB2312"/>
                <w:sz w:val="28"/>
              </w:rPr>
              <w:t>二、</w:t>
            </w:r>
            <w:r>
              <w:rPr>
                <w:rFonts w:ascii="仿宋_GB2312" w:hAnsi="仿宋_GB2312" w:cs="仿宋_GB2312" w:eastAsia="仿宋_GB2312"/>
                <w:sz w:val="28"/>
              </w:rPr>
              <w:t>投标方案要求</w:t>
            </w:r>
          </w:p>
          <w:p>
            <w:pPr>
              <w:pStyle w:val="null3"/>
              <w:jc w:val="left"/>
            </w:pPr>
            <w:r>
              <w:rPr>
                <w:rFonts w:ascii="仿宋_GB2312" w:hAnsi="仿宋_GB2312" w:cs="仿宋_GB2312" w:eastAsia="仿宋_GB2312"/>
                <w:sz w:val="24"/>
              </w:rPr>
              <w:t>物业公司应提供高标准、高品位、全方位的管理服务。服务人员要求专业着装，佩戴标志，语言规范，文明服务。</w:t>
            </w:r>
          </w:p>
          <w:p>
            <w:pPr>
              <w:pStyle w:val="null3"/>
              <w:jc w:val="left"/>
            </w:pPr>
            <w:r>
              <w:rPr>
                <w:rFonts w:ascii="仿宋_GB2312" w:hAnsi="仿宋_GB2312" w:cs="仿宋_GB2312" w:eastAsia="仿宋_GB2312"/>
                <w:sz w:val="24"/>
              </w:rPr>
              <w:t>1.保安服务：严格管理，规范值勤，确保安全。保安人员思想品德要好，形象好，相貌端正。</w:t>
            </w:r>
          </w:p>
          <w:p>
            <w:pPr>
              <w:pStyle w:val="null3"/>
              <w:jc w:val="left"/>
            </w:pPr>
            <w:r>
              <w:rPr>
                <w:rFonts w:ascii="仿宋_GB2312" w:hAnsi="仿宋_GB2312" w:cs="仿宋_GB2312" w:eastAsia="仿宋_GB2312"/>
                <w:sz w:val="24"/>
              </w:rPr>
              <w:t>2.保洁服务：窗明几净，无积尘、杂物、积水、污绩、纸屑、烟头、网蛛、异味等，地面大理石保养规范、生活垃圾日产日消不过夜，保洁人员思想品德要好。</w:t>
            </w:r>
          </w:p>
          <w:p>
            <w:pPr>
              <w:pStyle w:val="null3"/>
              <w:jc w:val="left"/>
            </w:pPr>
            <w:r>
              <w:rPr>
                <w:rFonts w:ascii="仿宋_GB2312" w:hAnsi="仿宋_GB2312" w:cs="仿宋_GB2312" w:eastAsia="仿宋_GB2312"/>
                <w:sz w:val="24"/>
              </w:rPr>
              <w:t>3.设备、水电运行保障服务：设备处于良好状态，日常维护保养良好，无渗漏、无锈蚀、无油迹。</w:t>
            </w:r>
          </w:p>
          <w:p>
            <w:pPr>
              <w:pStyle w:val="null3"/>
              <w:jc w:val="left"/>
            </w:pPr>
            <w:r>
              <w:rPr>
                <w:rFonts w:ascii="仿宋_GB2312" w:hAnsi="仿宋_GB2312" w:cs="仿宋_GB2312" w:eastAsia="仿宋_GB2312"/>
                <w:sz w:val="24"/>
              </w:rPr>
              <w:t>4.服务费已含员工工资、服装和消耗品等费用，并且包含“五项社会保险”、住房公积金、加班费、员工福利费、税金等。为确保服务质量，提高服务效率，增强员工工作积极性，严禁将保安、保洁、电工队伍服务全部外包。</w:t>
            </w:r>
          </w:p>
          <w:p>
            <w:pPr>
              <w:pStyle w:val="null3"/>
              <w:jc w:val="left"/>
            </w:pPr>
            <w:r>
              <w:rPr>
                <w:rFonts w:ascii="仿宋_GB2312" w:hAnsi="仿宋_GB2312" w:cs="仿宋_GB2312" w:eastAsia="仿宋_GB2312"/>
                <w:sz w:val="24"/>
              </w:rPr>
              <w:t>5.物业公司要制订详尽、具体、明确的各部位保洁操作规范，严格按清洁标准及作业频度操作，并建立督查、补洁制度，实行工作日保洁管理。</w:t>
            </w:r>
          </w:p>
          <w:p>
            <w:pPr>
              <w:pStyle w:val="null3"/>
              <w:jc w:val="left"/>
            </w:pPr>
            <w:r>
              <w:rPr>
                <w:rFonts w:ascii="仿宋_GB2312" w:hAnsi="仿宋_GB2312" w:cs="仿宋_GB2312" w:eastAsia="仿宋_GB2312"/>
                <w:sz w:val="24"/>
              </w:rPr>
              <w:t>6.物业公司要保持同本项目业主方的密切联系，遇有重大事项及时报告和反馈信息，尊重项目业主方的意见，接受项目业主方的提议、监督和指导。</w:t>
            </w:r>
          </w:p>
          <w:p>
            <w:pPr>
              <w:pStyle w:val="null3"/>
              <w:jc w:val="left"/>
            </w:pPr>
            <w:r>
              <w:rPr>
                <w:rFonts w:ascii="仿宋_GB2312" w:hAnsi="仿宋_GB2312" w:cs="仿宋_GB2312" w:eastAsia="仿宋_GB2312"/>
                <w:sz w:val="24"/>
              </w:rPr>
              <w:t>7.物业公司要按照项目业主方交办的会议、活动等其它突击性清洁保洁任务，所增加的工作量不另外计算费用。</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三、</w:t>
            </w:r>
            <w:r>
              <w:rPr>
                <w:rFonts w:ascii="仿宋_GB2312" w:hAnsi="仿宋_GB2312" w:cs="仿宋_GB2312" w:eastAsia="仿宋_GB2312"/>
                <w:sz w:val="28"/>
                <w:b/>
              </w:rPr>
              <w:t>技术和服务客观指标</w:t>
            </w:r>
          </w:p>
          <w:p>
            <w:pPr>
              <w:pStyle w:val="null3"/>
              <w:jc w:val="left"/>
              <w:outlineLvl w:val="3"/>
            </w:pPr>
            <w:r>
              <w:rPr>
                <w:rFonts w:ascii="仿宋_GB2312" w:hAnsi="仿宋_GB2312" w:cs="仿宋_GB2312" w:eastAsia="仿宋_GB2312"/>
                <w:sz w:val="24"/>
                <w:b/>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255"/>
              <w:gridCol w:w="460"/>
              <w:gridCol w:w="460"/>
              <w:gridCol w:w="460"/>
              <w:gridCol w:w="460"/>
              <w:gridCol w:w="460"/>
            </w:tblGrid>
            <w:tr>
              <w:tc>
                <w:tcPr>
                  <w:tcW w:type="dxa" w:w="255"/>
                  <w:tcBorders>
                    <w:top w:val="single" w:color="000000" w:sz="4"/>
                    <w:left w:val="singl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序号</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指标种类</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指标名称</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指标内容</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参数性质</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是否需要证明材料</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整体服务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整体服务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1.服务项目的理解（重点突出本项目物业管理的特点及重难点）；2.管理目标及定位；3.管理制度；4.管理模式；5.服务措施等。</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2</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秩序维护（保安）服务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秩序维护（保安）服务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1.实行 24 小时多班制维护秩序，门岗保安要态度端正、文明值勤，做好监控值守，做好来访人员登记，并指引行走路径，禁止无关人员入内。</w:t>
                  </w:r>
                  <w:r>
                    <w:br/>
                  </w:r>
                  <w:r>
                    <w:rPr>
                      <w:rFonts w:ascii="仿宋_GB2312" w:hAnsi="仿宋_GB2312" w:cs="仿宋_GB2312" w:eastAsia="仿宋_GB2312"/>
                      <w:sz w:val="21"/>
                      <w:color w:val="000000"/>
                    </w:rPr>
                    <w:t>2.突发事件处置，应与辖区派出所建立安保联防机制，严禁易燃、易爆危险物品进入办公区域，对办公区域纠纷、火灾、水浸、刑事、交通事故、群访事件等突发事件有应急处理预案(每年预演至少1次)。如遇突发事件，要依法依规妥善处置，避免办公区域发生人身、财产损失。</w:t>
                  </w:r>
                  <w:r>
                    <w:br/>
                  </w:r>
                  <w:r>
                    <w:rPr>
                      <w:rFonts w:ascii="仿宋_GB2312" w:hAnsi="仿宋_GB2312" w:cs="仿宋_GB2312" w:eastAsia="仿宋_GB2312"/>
                      <w:sz w:val="21"/>
                      <w:color w:val="000000"/>
                    </w:rPr>
                    <w:t>3.对办公区域实行每日24小时不间断巡查，主动发现安全隐患，随时报告安防异常情况。</w:t>
                  </w:r>
                  <w:r>
                    <w:br/>
                  </w:r>
                  <w:r>
                    <w:rPr>
                      <w:rFonts w:ascii="仿宋_GB2312" w:hAnsi="仿宋_GB2312" w:cs="仿宋_GB2312" w:eastAsia="仿宋_GB2312"/>
                      <w:sz w:val="21"/>
                      <w:color w:val="000000"/>
                    </w:rPr>
                    <w:t>4.在公共场所、设施、水池、设备房、顶层天台等危险隐患部位设置各类安全警示标志，不定期进行安全检查。</w:t>
                  </w:r>
                  <w:r>
                    <w:br/>
                  </w:r>
                  <w:r>
                    <w:rPr>
                      <w:rFonts w:ascii="仿宋_GB2312" w:hAnsi="仿宋_GB2312" w:cs="仿宋_GB2312" w:eastAsia="仿宋_GB2312"/>
                      <w:sz w:val="21"/>
                      <w:color w:val="000000"/>
                    </w:rPr>
                    <w:t>5.保证车辆停放有序、出入畅通。内部车辆以通行证或车辆识别系统方式管理，外来车辆固定位置停放，做好来访对象、车牌号、进出时间登记。</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3</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保洁服务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保洁服务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1.公共区域服务内容</w:t>
                  </w:r>
                  <w:r>
                    <w:br/>
                  </w:r>
                  <w:r>
                    <w:rPr>
                      <w:rFonts w:ascii="仿宋_GB2312" w:hAnsi="仿宋_GB2312" w:cs="仿宋_GB2312" w:eastAsia="仿宋_GB2312"/>
                      <w:sz w:val="21"/>
                      <w:color w:val="000000"/>
                    </w:rPr>
                    <w:t>合理安排时间完成清扫任务，加强卫生巡查巡检，专人分片分区打扫，随时保洁，公共区域及配套附属设施保持清洁干净，无随意堆放杂物，具体保洁频率如下：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1）道路、广场、停车场、绿地等每日清扫2次；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2）电梯厅、楼道每日清扫2次，每周拖洗1次；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3）一层公用大厅每日拖洗1次；楼梯扶手每日擦洗1次；公用区域玻璃每周清洁1次；路灯、楼道灯每月清洁1次。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4）及时清除道路积水。公用雨、污水管道每年疏通1次；雨、污水井每月检查1次，视检查情况及时清掏；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5）对卫生间每天必须至少清扫2次，烘手器等设施设备，必须经常进行卫生消毒（每月至少一次）；卫生间要做好卫生纸、擦手纸、洗手液、除臭用品等物品的及时补充，空气清新，除味到位。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6）配合业主化粪池检查和地下管道消杀每月各1次，其他时间在发现异常时应及时向采购人报告或处置。配合招标方做好“四害”消杀工作。</w:t>
                  </w:r>
                  <w:r>
                    <w:br/>
                  </w:r>
                  <w:r>
                    <w:rPr>
                      <w:rFonts w:ascii="仿宋_GB2312" w:hAnsi="仿宋_GB2312" w:cs="仿宋_GB2312" w:eastAsia="仿宋_GB2312"/>
                      <w:sz w:val="21"/>
                      <w:color w:val="000000"/>
                    </w:rPr>
                    <w:t>2.重点区域（各股室分局办公室、会议室）服务内容</w:t>
                  </w:r>
                  <w:r>
                    <w:br/>
                  </w:r>
                  <w:r>
                    <w:rPr>
                      <w:rFonts w:ascii="仿宋_GB2312" w:hAnsi="仿宋_GB2312" w:cs="仿宋_GB2312" w:eastAsia="仿宋_GB2312"/>
                      <w:sz w:val="21"/>
                      <w:color w:val="000000"/>
                    </w:rPr>
                    <w:t>做好重点区域（办公室、会议室）的卫生保洁、开水供应以及配合招标方做好其他相关工作。注意观察办公室照明、插座、门锁等设施，发现设施损坏及时报修和补充日常耗品；对办公设备及办公桌面进行保洁，不得翻阅任何文件、资料，严格遵守保密工作制度，严守秘密，招标方需与中标方签订安全保密协议。打扫卫生后要关灯、关风扇、断电、关窗、锁门；</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4</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设施设备养护及日常维修服务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设施设备养护及日常维修服务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保障办公楼基础设施设备的正常运行，做好设施设备的维护、保养、维修工作，做好水电设备的日常检查和维修工作；水电、发电等设备房安排人员每日定期轮流巡逻，监控房安排人员</w:t>
                  </w:r>
                  <w:r>
                    <w:rPr>
                      <w:rFonts w:ascii="仿宋_GB2312" w:hAnsi="仿宋_GB2312" w:cs="仿宋_GB2312" w:eastAsia="仿宋_GB2312"/>
                      <w:sz w:val="21"/>
                      <w:color w:val="000000"/>
                    </w:rPr>
                    <w:t>24 小时值班；设备房卫生、整洁，主要设施设备标识清楚齐全。定期组织人员对水电设备进行巡检，定期对电梯进行检修，发现隐患立即采取措施，保障日常水电维修工作，确保供水设备操作与维修；熟练操作备用电源供电和日常养护，熟练掌握操作高低压开关柜，严格用电操作规程，防止事故发生。常规做好消防设备的检查使用，做到专业化、规范化。配合消防维保公司加强消防安全。</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5</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房屋管理服务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房屋管理服务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房屋外观（含屋面、天台）完好、整洁，外墙、楼梯间的面砖、玻璃等无污迹、无破损；屋顶水沟及屋檐定时清理尘泥无积水，保障屋顶所有排水口畅通无阻。区内各路口设施场地标识齐全、规范、美观，路面、家具无损坏，按照房屋装修相关制度进行管理，如发现安全隐患，及时报告招标方，配合好招标方做好安全施工。</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6</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会议服务保障服务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会议服务保障服务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会议场地关键区域和重点部位部署，会议资料发放和人员签到，灯光、空调等会场设施设备保障，茶水保障和水杯、茶具的清洗消毒，会场卫生保障等，完成主办单位提出的其他会议服务保障要求。指派人员负责保障电梯使用，指挥车辆有序进出和停放，预留主要参会人员停车位。</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7</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消防服务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消防服务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1.制定制度，消防控制室每日定期安排人员轮流巡逻，做到有火情做到及时发现、及时报告、及时处理，熟悉火灾报警流程。</w:t>
                  </w:r>
                  <w:r>
                    <w:br/>
                  </w:r>
                  <w:r>
                    <w:rPr>
                      <w:rFonts w:ascii="仿宋_GB2312" w:hAnsi="仿宋_GB2312" w:cs="仿宋_GB2312" w:eastAsia="仿宋_GB2312"/>
                      <w:sz w:val="21"/>
                      <w:color w:val="000000"/>
                    </w:rPr>
                    <w:t>2.定期检查消防设备，对损坏、发生故障、工作不正常要及时发现、立即报告；</w:t>
                  </w:r>
                  <w:r>
                    <w:br/>
                  </w:r>
                  <w:r>
                    <w:rPr>
                      <w:rFonts w:ascii="仿宋_GB2312" w:hAnsi="仿宋_GB2312" w:cs="仿宋_GB2312" w:eastAsia="仿宋_GB2312"/>
                      <w:sz w:val="21"/>
                      <w:color w:val="000000"/>
                    </w:rPr>
                    <w:t>3.制定消防应急预案，半年配合业主进行一次消防演练。</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8</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紧急情况处置服务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紧急情况处置服务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1.重点区域及安全隐患排查；2.应急预案的建立；3.应急预案的培训和演练；4.应急物资的管理；5.应急情况发生30分钟内响应。</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9</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人员配置</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人员配置</w:t>
                  </w:r>
                </w:p>
              </w:tc>
              <w:tc>
                <w:tcPr>
                  <w:tcW w:type="dxa" w:w="460"/>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水电工岗位应具备相应的水电维修专业业务知识和技能，投标人应承诺为项目配备的</w:t>
                  </w:r>
                  <w:r>
                    <w:rPr>
                      <w:rFonts w:ascii="仿宋_GB2312" w:hAnsi="仿宋_GB2312" w:cs="仿宋_GB2312" w:eastAsia="仿宋_GB2312"/>
                      <w:sz w:val="21"/>
                      <w:color w:val="000000"/>
                    </w:rPr>
                    <w:t>2名水电工，至少一名持有《中华人民共和国特种作业操作证》（高压电工证），一名持有《中华人民共和国特种作业操作证》（低压电工证）</w:t>
                  </w:r>
                </w:p>
                <w:p>
                  <w:pPr>
                    <w:pStyle w:val="null3"/>
                    <w:jc w:val="left"/>
                  </w:pPr>
                  <w:r>
                    <w:rPr>
                      <w:rFonts w:ascii="仿宋_GB2312" w:hAnsi="仿宋_GB2312" w:cs="仿宋_GB2312" w:eastAsia="仿宋_GB2312"/>
                      <w:sz w:val="21"/>
                      <w:color w:val="000000"/>
                    </w:rPr>
                    <w:t>2.投标人应承诺为本项目配备的所有保安人员应持有保安员证。（投标人拟为本项目配备的水电工、保安人员具有相关证书，提供承诺函，不提供承诺函视为无效投标）。</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是</w:t>
                  </w:r>
                </w:p>
              </w:tc>
            </w:tr>
          </w:tbl>
          <w:p>
            <w:pPr>
              <w:pStyle w:val="null3"/>
              <w:jc w:val="left"/>
              <w:outlineLvl w:val="2"/>
            </w:pPr>
            <w:r>
              <w:rPr>
                <w:rFonts w:ascii="仿宋_GB2312" w:hAnsi="仿宋_GB2312" w:cs="仿宋_GB2312" w:eastAsia="仿宋_GB2312"/>
                <w:sz w:val="28"/>
                <w:b/>
              </w:rPr>
              <w:t>四、技术和服务其他要求</w:t>
            </w:r>
          </w:p>
          <w:p>
            <w:pPr>
              <w:pStyle w:val="null3"/>
              <w:jc w:val="left"/>
            </w:pPr>
            <w:r>
              <w:rPr>
                <w:rFonts w:ascii="仿宋_GB2312" w:hAnsi="仿宋_GB2312" w:cs="仿宋_GB2312" w:eastAsia="仿宋_GB2312"/>
                <w:sz w:val="24"/>
              </w:rPr>
              <w:t>（一）用户资料、信息管理（包括项目所属位置、门号，住户资料、车辆）；</w:t>
            </w:r>
          </w:p>
          <w:p>
            <w:pPr>
              <w:pStyle w:val="null3"/>
              <w:jc w:val="left"/>
            </w:pPr>
            <w:r>
              <w:rPr>
                <w:rFonts w:ascii="仿宋_GB2312" w:hAnsi="仿宋_GB2312" w:cs="仿宋_GB2312" w:eastAsia="仿宋_GB2312"/>
                <w:sz w:val="24"/>
              </w:rPr>
              <w:t>（二）与所在地区建立治安、卫生防疫、供水供电部门联系，及时发布相关信息；</w:t>
            </w:r>
          </w:p>
          <w:p>
            <w:pPr>
              <w:pStyle w:val="null3"/>
              <w:jc w:val="left"/>
            </w:pPr>
            <w:r>
              <w:rPr>
                <w:rFonts w:ascii="仿宋_GB2312" w:hAnsi="仿宋_GB2312" w:cs="仿宋_GB2312" w:eastAsia="仿宋_GB2312"/>
                <w:sz w:val="24"/>
              </w:rPr>
              <w:t>（三）有完善的物业管理方案，配套管理等制度健全；</w:t>
            </w:r>
          </w:p>
          <w:p>
            <w:pPr>
              <w:pStyle w:val="null3"/>
              <w:jc w:val="left"/>
            </w:pPr>
            <w:r>
              <w:rPr>
                <w:rFonts w:ascii="仿宋_GB2312" w:hAnsi="仿宋_GB2312" w:cs="仿宋_GB2312" w:eastAsia="仿宋_GB2312"/>
                <w:sz w:val="24"/>
              </w:rPr>
              <w:t>（四）招标方办公室交办的其他相关事务。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center"/>
              <w:outlineLvl w:val="0"/>
            </w:pPr>
            <w:r>
              <w:rPr>
                <w:rFonts w:ascii="仿宋_GB2312" w:hAnsi="仿宋_GB2312" w:cs="仿宋_GB2312" w:eastAsia="仿宋_GB2312"/>
                <w:sz w:val="32"/>
                <w:b/>
              </w:rPr>
              <w:t>人员要求</w:t>
            </w:r>
          </w:p>
          <w:p>
            <w:pPr>
              <w:pStyle w:val="null3"/>
              <w:jc w:val="left"/>
              <w:outlineLvl w:val="1"/>
            </w:pPr>
            <w:r>
              <w:rPr>
                <w:rFonts w:ascii="仿宋_GB2312" w:hAnsi="仿宋_GB2312" w:cs="仿宋_GB2312" w:eastAsia="仿宋_GB2312"/>
                <w:sz w:val="28"/>
                <w:b/>
                <w:i/>
              </w:rPr>
              <w:t>1总体要求</w:t>
            </w:r>
          </w:p>
          <w:p>
            <w:pPr>
              <w:pStyle w:val="null3"/>
              <w:jc w:val="left"/>
            </w:pPr>
            <w:r>
              <w:rPr>
                <w:rFonts w:ascii="仿宋_GB2312" w:hAnsi="仿宋_GB2312" w:cs="仿宋_GB2312" w:eastAsia="仿宋_GB2312"/>
                <w:sz w:val="24"/>
              </w:rPr>
              <w:t>（一）综合部</w:t>
            </w:r>
            <w:r>
              <w:rPr>
                <w:rFonts w:ascii="仿宋_GB2312" w:hAnsi="仿宋_GB2312" w:cs="仿宋_GB2312" w:eastAsia="仿宋_GB2312"/>
                <w:sz w:val="24"/>
              </w:rPr>
              <w:t>4人，其中：物业经理1人，负责协调整个物业管理工作及与外单位相关的协调工作；行政仓管2人，负责项目行政加仓管工作；会务服务1人，负责会场服务；</w:t>
            </w:r>
          </w:p>
          <w:p>
            <w:pPr>
              <w:pStyle w:val="null3"/>
              <w:jc w:val="left"/>
            </w:pPr>
            <w:r>
              <w:rPr>
                <w:rFonts w:ascii="仿宋_GB2312" w:hAnsi="仿宋_GB2312" w:cs="仿宋_GB2312" w:eastAsia="仿宋_GB2312"/>
                <w:sz w:val="24"/>
              </w:rPr>
              <w:t>（二）工程部</w:t>
            </w:r>
            <w:r>
              <w:rPr>
                <w:rFonts w:ascii="仿宋_GB2312" w:hAnsi="仿宋_GB2312" w:cs="仿宋_GB2312" w:eastAsia="仿宋_GB2312"/>
                <w:sz w:val="24"/>
              </w:rPr>
              <w:t>2人，负责办公区域水电设备设施日常维护维修工作,至少一名持有《中华人民共和国特种作业操作证》（高压电工证），一名持有《中华人民共和国特种作业操作证》（低压电工证）;</w:t>
            </w:r>
          </w:p>
          <w:p>
            <w:pPr>
              <w:pStyle w:val="null3"/>
              <w:jc w:val="left"/>
            </w:pPr>
            <w:r>
              <w:rPr>
                <w:rFonts w:ascii="仿宋_GB2312" w:hAnsi="仿宋_GB2312" w:cs="仿宋_GB2312" w:eastAsia="仿宋_GB2312"/>
                <w:sz w:val="24"/>
              </w:rPr>
              <w:t>（三）安保部</w:t>
            </w:r>
            <w:r>
              <w:rPr>
                <w:rFonts w:ascii="仿宋_GB2312" w:hAnsi="仿宋_GB2312" w:cs="仿宋_GB2312" w:eastAsia="仿宋_GB2312"/>
                <w:sz w:val="24"/>
              </w:rPr>
              <w:t>20人，其中：安保队长4人负责安保全面事宜，其他安保人员16人，按相关安保需求执行安保任务；</w:t>
            </w:r>
          </w:p>
          <w:p>
            <w:pPr>
              <w:pStyle w:val="null3"/>
              <w:jc w:val="left"/>
            </w:pPr>
            <w:r>
              <w:rPr>
                <w:rFonts w:ascii="仿宋_GB2312" w:hAnsi="仿宋_GB2312" w:cs="仿宋_GB2312" w:eastAsia="仿宋_GB2312"/>
                <w:sz w:val="24"/>
              </w:rPr>
              <w:t>（四）保洁部</w:t>
            </w:r>
            <w:r>
              <w:rPr>
                <w:rFonts w:ascii="仿宋_GB2312" w:hAnsi="仿宋_GB2312" w:cs="仿宋_GB2312" w:eastAsia="仿宋_GB2312"/>
                <w:sz w:val="24"/>
              </w:rPr>
              <w:t>11人，按相关保洁需求执行保洁任务和绿化任务。</w:t>
            </w:r>
          </w:p>
          <w:p>
            <w:pPr>
              <w:pStyle w:val="null3"/>
              <w:jc w:val="left"/>
            </w:pPr>
            <w:r>
              <w:rPr>
                <w:rFonts w:ascii="仿宋_GB2312" w:hAnsi="仿宋_GB2312" w:cs="仿宋_GB2312" w:eastAsia="仿宋_GB2312"/>
                <w:sz w:val="24"/>
              </w:rPr>
              <w:t>（五）在人员配备数量到位的情况下，可以根据岗位需要自由调配人员。</w:t>
            </w:r>
          </w:p>
          <w:p>
            <w:pPr>
              <w:pStyle w:val="null3"/>
              <w:jc w:val="left"/>
              <w:outlineLvl w:val="1"/>
            </w:pPr>
            <w:r>
              <w:rPr>
                <w:rFonts w:ascii="仿宋_GB2312" w:hAnsi="仿宋_GB2312" w:cs="仿宋_GB2312" w:eastAsia="仿宋_GB2312"/>
                <w:sz w:val="28"/>
                <w:b/>
                <w:i/>
              </w:rPr>
              <w:t>2管理团队</w:t>
            </w:r>
          </w:p>
          <w:p>
            <w:pPr>
              <w:pStyle w:val="null3"/>
              <w:jc w:val="left"/>
              <w:outlineLvl w:val="2"/>
            </w:pPr>
            <w:r>
              <w:rPr>
                <w:rFonts w:ascii="仿宋_GB2312" w:hAnsi="仿宋_GB2312" w:cs="仿宋_GB2312" w:eastAsia="仿宋_GB2312"/>
                <w:sz w:val="28"/>
                <w:b/>
              </w:rPr>
              <w:t>2.1项目经理</w:t>
            </w:r>
          </w:p>
          <w:p>
            <w:pPr>
              <w:pStyle w:val="null3"/>
              <w:jc w:val="center"/>
            </w:pPr>
            <w:r>
              <w:rPr>
                <w:rFonts w:ascii="仿宋_GB2312" w:hAnsi="仿宋_GB2312" w:cs="仿宋_GB2312" w:eastAsia="仿宋_GB2312"/>
                <w:sz w:val="24"/>
              </w:rPr>
              <w:t>项目经理：拟派往本项目的项目物业经理具有类似服务项目管理经验的，予以考虑加分。</w:t>
            </w:r>
          </w:p>
          <w:p>
            <w:pPr>
              <w:pStyle w:val="null3"/>
              <w:jc w:val="left"/>
              <w:outlineLvl w:val="1"/>
            </w:pPr>
            <w:r>
              <w:rPr>
                <w:rFonts w:ascii="仿宋_GB2312" w:hAnsi="仿宋_GB2312" w:cs="仿宋_GB2312" w:eastAsia="仿宋_GB2312"/>
                <w:sz w:val="28"/>
                <w:b/>
                <w:i/>
              </w:rPr>
              <w:t>3技术团队</w:t>
            </w:r>
          </w:p>
          <w:p>
            <w:pPr>
              <w:pStyle w:val="null3"/>
              <w:jc w:val="center"/>
            </w:pPr>
            <w:r>
              <w:rPr>
                <w:rFonts w:ascii="仿宋_GB2312" w:hAnsi="仿宋_GB2312" w:cs="仿宋_GB2312" w:eastAsia="仿宋_GB2312"/>
                <w:sz w:val="24"/>
              </w:rPr>
              <w:t>拟派往本项目的工作人员具有类似服务项目工作经验的，予以考虑加分。</w:t>
            </w:r>
          </w:p>
          <w:p>
            <w:pPr>
              <w:pStyle w:val="null3"/>
              <w:jc w:val="left"/>
              <w:outlineLvl w:val="1"/>
            </w:pPr>
            <w:r>
              <w:rPr>
                <w:rFonts w:ascii="仿宋_GB2312" w:hAnsi="仿宋_GB2312" w:cs="仿宋_GB2312" w:eastAsia="仿宋_GB2312"/>
                <w:sz w:val="28"/>
                <w:b/>
                <w:i/>
              </w:rPr>
              <w:t>4优选资质/优选指标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center"/>
              <w:outlineLvl w:val="0"/>
            </w:pPr>
            <w:r>
              <w:rPr>
                <w:rFonts w:ascii="仿宋_GB2312" w:hAnsi="仿宋_GB2312" w:cs="仿宋_GB2312" w:eastAsia="仿宋_GB2312"/>
                <w:sz w:val="32"/>
                <w:b/>
              </w:rPr>
              <w:t>管理实施要求</w:t>
            </w:r>
          </w:p>
          <w:p>
            <w:pPr>
              <w:pStyle w:val="null3"/>
              <w:jc w:val="left"/>
            </w:pPr>
            <w:r>
              <w:rPr>
                <w:rFonts w:ascii="仿宋_GB2312" w:hAnsi="仿宋_GB2312" w:cs="仿宋_GB2312" w:eastAsia="仿宋_GB2312"/>
                <w:sz w:val="24"/>
              </w:rPr>
              <w:t>（一）保安人员严格管理，规范值勤，制定并落实各项安保制度。保安人员身体健康，男性身高</w:t>
            </w:r>
            <w:r>
              <w:rPr>
                <w:rFonts w:ascii="仿宋_GB2312" w:hAnsi="仿宋_GB2312" w:cs="仿宋_GB2312" w:eastAsia="仿宋_GB2312"/>
                <w:sz w:val="24"/>
              </w:rPr>
              <w:t xml:space="preserve"> 1.65 米以上，女性身高 1.5 米以上，品行良好，相貌端正，无犯罪记录，初中以上文化程度,录用人员出具近半月健康证明。保洁人员要容貌整洁，创造良好、舒适办公环境，树立严谨、协调的工作风貌，展现出高效有序卫生劳动成果。</w:t>
            </w:r>
          </w:p>
          <w:p>
            <w:pPr>
              <w:pStyle w:val="null3"/>
              <w:jc w:val="left"/>
            </w:pPr>
            <w:r>
              <w:rPr>
                <w:rFonts w:ascii="仿宋_GB2312" w:hAnsi="仿宋_GB2312" w:cs="仿宋_GB2312" w:eastAsia="仿宋_GB2312"/>
                <w:sz w:val="24"/>
              </w:rPr>
              <w:t>（二）中标方必须合法、规范用工。项目经理应具备丰富管理经验，专业技术人员应具备相应的技术资质和实际工作经验、实际操作能力。主要服务人员要保持相对固定，所有服务人员如需更换，需征得招标方同意，未经招标方同意，不得随意更换服务人员。招标方对派驻服务人员不满意，中标方可随时进行人员更换。</w:t>
            </w:r>
          </w:p>
          <w:p>
            <w:pPr>
              <w:pStyle w:val="null3"/>
              <w:jc w:val="left"/>
            </w:pPr>
            <w:r>
              <w:rPr>
                <w:rFonts w:ascii="仿宋_GB2312" w:hAnsi="仿宋_GB2312" w:cs="仿宋_GB2312" w:eastAsia="仿宋_GB2312"/>
                <w:sz w:val="24"/>
              </w:rPr>
              <w:t>（三）中标方对专门职业、特殊工种岗位人员必须按行业规定通过职业培训持证上岗，具备实际操作能力，做到各专业技术岗位人员持证上岗率</w:t>
            </w:r>
            <w:r>
              <w:rPr>
                <w:rFonts w:ascii="仿宋_GB2312" w:hAnsi="仿宋_GB2312" w:cs="仿宋_GB2312" w:eastAsia="仿宋_GB2312"/>
                <w:sz w:val="24"/>
              </w:rPr>
              <w:t>100%。</w:t>
            </w:r>
          </w:p>
          <w:p>
            <w:pPr>
              <w:pStyle w:val="null3"/>
              <w:jc w:val="left"/>
            </w:pPr>
            <w:r>
              <w:rPr>
                <w:rFonts w:ascii="仿宋_GB2312" w:hAnsi="仿宋_GB2312" w:cs="仿宋_GB2312" w:eastAsia="仿宋_GB2312"/>
                <w:sz w:val="24"/>
              </w:rPr>
              <w:t>（四）中标方选派的服务工作人员必须思想正派、身体健康，服务态度端正，爱岗敬业，无违纪违法行为。应对服务人员进行安全保密和岗位培训，确保服务人员具备专业资格。</w:t>
            </w:r>
          </w:p>
          <w:p>
            <w:pPr>
              <w:pStyle w:val="null3"/>
              <w:jc w:val="center"/>
              <w:outlineLvl w:val="0"/>
            </w:pPr>
            <w:r>
              <w:rPr>
                <w:rFonts w:ascii="仿宋_GB2312" w:hAnsi="仿宋_GB2312" w:cs="仿宋_GB2312" w:eastAsia="仿宋_GB2312"/>
                <w:sz w:val="32"/>
                <w:b/>
              </w:rPr>
              <w:t>风险管控要求</w:t>
            </w:r>
          </w:p>
          <w:p>
            <w:pPr>
              <w:pStyle w:val="null3"/>
              <w:ind w:firstLine="440"/>
              <w:jc w:val="left"/>
            </w:pPr>
            <w:r>
              <w:rPr>
                <w:rFonts w:ascii="仿宋_GB2312" w:hAnsi="仿宋_GB2312" w:cs="仿宋_GB2312" w:eastAsia="仿宋_GB2312"/>
                <w:sz w:val="22"/>
              </w:rPr>
              <w:t>投标人须遵守采购人的保密协定，不得私自向第三方提供采购人的相关信息；如有需求，须经采购人书面同意方可执行。</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标的名称：食堂服务及食材采购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一、</w:t>
            </w:r>
            <w:r>
              <w:rPr>
                <w:rFonts w:ascii="仿宋_GB2312" w:hAnsi="仿宋_GB2312" w:cs="仿宋_GB2312" w:eastAsia="仿宋_GB2312"/>
                <w:sz w:val="28"/>
              </w:rPr>
              <w:t>投标总要求</w:t>
            </w:r>
          </w:p>
          <w:p>
            <w:pPr>
              <w:pStyle w:val="null3"/>
              <w:jc w:val="left"/>
            </w:pPr>
            <w:r>
              <w:rPr>
                <w:rFonts w:ascii="仿宋_GB2312" w:hAnsi="仿宋_GB2312" w:cs="仿宋_GB2312" w:eastAsia="仿宋_GB2312"/>
                <w:sz w:val="21"/>
              </w:rPr>
              <w:t>1.国家税务总局澄迈县税务局职工食堂预计就餐人数：自助餐就餐人数约170人。</w:t>
            </w:r>
          </w:p>
          <w:p>
            <w:pPr>
              <w:pStyle w:val="null3"/>
              <w:jc w:val="left"/>
            </w:pPr>
            <w:r>
              <w:rPr>
                <w:rFonts w:ascii="仿宋_GB2312" w:hAnsi="仿宋_GB2312" w:cs="仿宋_GB2312" w:eastAsia="仿宋_GB2312"/>
                <w:sz w:val="21"/>
              </w:rPr>
              <w:t>2.由投标人根据采购人要求提供食堂餐饮服务。</w:t>
            </w:r>
          </w:p>
          <w:p>
            <w:pPr>
              <w:pStyle w:val="null3"/>
              <w:jc w:val="left"/>
            </w:pPr>
            <w:r>
              <w:rPr>
                <w:rFonts w:ascii="仿宋_GB2312" w:hAnsi="仿宋_GB2312" w:cs="仿宋_GB2312" w:eastAsia="仿宋_GB2312"/>
                <w:sz w:val="21"/>
              </w:rPr>
              <w:t>3.食堂设施设备：根据食堂实际需求由采购人配置。</w:t>
            </w:r>
          </w:p>
          <w:p>
            <w:pPr>
              <w:pStyle w:val="null3"/>
              <w:jc w:val="left"/>
            </w:pPr>
            <w:r>
              <w:rPr>
                <w:rFonts w:ascii="仿宋_GB2312" w:hAnsi="仿宋_GB2312" w:cs="仿宋_GB2312" w:eastAsia="仿宋_GB2312"/>
                <w:sz w:val="21"/>
              </w:rPr>
              <w:t>4.食堂为国家税务总局澄迈县税务局工作人员提供工作用餐服务。</w:t>
            </w:r>
          </w:p>
          <w:p>
            <w:pPr>
              <w:pStyle w:val="null3"/>
              <w:jc w:val="left"/>
            </w:pPr>
            <w:r>
              <w:rPr>
                <w:rFonts w:ascii="仿宋_GB2312" w:hAnsi="仿宋_GB2312" w:cs="仿宋_GB2312" w:eastAsia="仿宋_GB2312"/>
                <w:sz w:val="21"/>
              </w:rPr>
              <w:t>5.用餐模式：金马食堂、文化北食堂以自助式就餐模式为主，分局食堂以小锅炒菜为主。</w:t>
            </w:r>
          </w:p>
          <w:p>
            <w:pPr>
              <w:pStyle w:val="null3"/>
              <w:jc w:val="left"/>
            </w:pPr>
            <w:r>
              <w:rPr>
                <w:rFonts w:ascii="仿宋_GB2312" w:hAnsi="仿宋_GB2312" w:cs="仿宋_GB2312" w:eastAsia="仿宋_GB2312"/>
                <w:sz w:val="21"/>
              </w:rPr>
              <w:t>6.食堂水电气费用、公共区域维修改造、设备设施及厨杂用品维修更换费用、抽油烟机清洗费由采购人承担。</w:t>
            </w:r>
          </w:p>
          <w:p>
            <w:pPr>
              <w:pStyle w:val="null3"/>
              <w:jc w:val="left"/>
            </w:pPr>
            <w:r>
              <w:rPr>
                <w:rFonts w:ascii="仿宋_GB2312" w:hAnsi="仿宋_GB2312" w:cs="仿宋_GB2312" w:eastAsia="仿宋_GB2312"/>
                <w:sz w:val="21"/>
              </w:rPr>
              <w:t>7.投标人根据服务内容配备食堂工作人员，食堂服务费用包含但不限于食堂工作人员工资及加班费、五险一金费用＋管理费及税金＋垃圾处理费用。</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食堂食材采购费</w:t>
            </w:r>
            <w:r>
              <w:rPr>
                <w:rFonts w:ascii="仿宋_GB2312" w:hAnsi="仿宋_GB2312" w:cs="仿宋_GB2312" w:eastAsia="仿宋_GB2312"/>
                <w:sz w:val="21"/>
              </w:rPr>
              <w:t>包含工作用餐餐费和临时性工作餐餐费（加班、会议等）。</w:t>
            </w:r>
            <w:r>
              <w:rPr>
                <w:rFonts w:ascii="仿宋_GB2312" w:hAnsi="仿宋_GB2312" w:cs="仿宋_GB2312" w:eastAsia="仿宋_GB2312"/>
                <w:sz w:val="21"/>
              </w:rPr>
              <w:t>食堂食材采购费</w:t>
            </w:r>
            <w:r>
              <w:rPr>
                <w:rFonts w:ascii="仿宋_GB2312" w:hAnsi="仿宋_GB2312" w:cs="仿宋_GB2312" w:eastAsia="仿宋_GB2312"/>
                <w:sz w:val="21"/>
              </w:rPr>
              <w:t>根据食材</w:t>
            </w:r>
            <w:r>
              <w:rPr>
                <w:rFonts w:ascii="仿宋_GB2312" w:hAnsi="仿宋_GB2312" w:cs="仿宋_GB2312" w:eastAsia="仿宋_GB2312"/>
                <w:sz w:val="21"/>
              </w:rPr>
              <w:t>采购</w:t>
            </w:r>
            <w:r>
              <w:rPr>
                <w:rFonts w:ascii="仿宋_GB2312" w:hAnsi="仿宋_GB2312" w:cs="仿宋_GB2312" w:eastAsia="仿宋_GB2312"/>
                <w:sz w:val="21"/>
              </w:rPr>
              <w:t>及配送数量据实结算，采购人提前</w:t>
            </w:r>
            <w:r>
              <w:rPr>
                <w:rFonts w:ascii="仿宋_GB2312" w:hAnsi="仿宋_GB2312" w:cs="仿宋_GB2312" w:eastAsia="仿宋_GB2312"/>
                <w:sz w:val="21"/>
              </w:rPr>
              <w:t>1日通知供应商就餐人数。</w:t>
            </w:r>
          </w:p>
          <w:p>
            <w:pPr>
              <w:pStyle w:val="null3"/>
              <w:jc w:val="left"/>
            </w:pPr>
            <w:r>
              <w:rPr>
                <w:rFonts w:ascii="仿宋_GB2312" w:hAnsi="仿宋_GB2312" w:cs="仿宋_GB2312" w:eastAsia="仿宋_GB2312"/>
                <w:sz w:val="21"/>
              </w:rPr>
              <w:t>9.合同有效期内，投标人应当根据采购人要求，使用采购人指定账号通过“脱贫地区农副产品网络销售平台（832平台）”采购并向采购人提供脱贫地区农副产品（采购额度为本项目金马食堂、文化北食堂两个</w:t>
            </w:r>
            <w:r>
              <w:rPr>
                <w:rFonts w:ascii="仿宋_GB2312" w:hAnsi="仿宋_GB2312" w:cs="仿宋_GB2312" w:eastAsia="仿宋_GB2312"/>
                <w:sz w:val="21"/>
              </w:rPr>
              <w:t>食堂食材采购费</w:t>
            </w:r>
            <w:r>
              <w:rPr>
                <w:rFonts w:ascii="仿宋_GB2312" w:hAnsi="仿宋_GB2312" w:cs="仿宋_GB2312" w:eastAsia="仿宋_GB2312"/>
                <w:sz w:val="21"/>
              </w:rPr>
              <w:t>总金额的</w:t>
            </w:r>
            <w:r>
              <w:rPr>
                <w:rFonts w:ascii="仿宋_GB2312" w:hAnsi="仿宋_GB2312" w:cs="仿宋_GB2312" w:eastAsia="仿宋_GB2312"/>
                <w:sz w:val="21"/>
              </w:rPr>
              <w:t>12%）。</w:t>
            </w:r>
          </w:p>
          <w:p>
            <w:pPr>
              <w:pStyle w:val="null3"/>
              <w:jc w:val="left"/>
            </w:pPr>
            <w:r>
              <w:rPr>
                <w:rFonts w:ascii="仿宋_GB2312" w:hAnsi="仿宋_GB2312" w:cs="仿宋_GB2312" w:eastAsia="仿宋_GB2312"/>
                <w:sz w:val="21"/>
              </w:rPr>
              <w:t>10.投标人按照食堂服务费由和食材</w:t>
            </w:r>
            <w:r>
              <w:rPr>
                <w:rFonts w:ascii="仿宋_GB2312" w:hAnsi="仿宋_GB2312" w:cs="仿宋_GB2312" w:eastAsia="仿宋_GB2312"/>
                <w:sz w:val="21"/>
              </w:rPr>
              <w:t>采购</w:t>
            </w:r>
            <w:r>
              <w:rPr>
                <w:rFonts w:ascii="仿宋_GB2312" w:hAnsi="仿宋_GB2312" w:cs="仿宋_GB2312" w:eastAsia="仿宋_GB2312"/>
                <w:sz w:val="21"/>
              </w:rPr>
              <w:t>费用的内容分别进行报价：食堂服务费用限价为</w:t>
            </w:r>
            <w:r>
              <w:rPr>
                <w:rFonts w:ascii="仿宋_GB2312" w:hAnsi="仿宋_GB2312" w:cs="仿宋_GB2312" w:eastAsia="仿宋_GB2312"/>
                <w:sz w:val="21"/>
              </w:rPr>
              <w:t>3363447.74元，投标人按照总价金额进行报价，食堂服务费按照成交投标人所报价格进行总价结算；食材</w:t>
            </w:r>
            <w:r>
              <w:rPr>
                <w:rFonts w:ascii="仿宋_GB2312" w:hAnsi="仿宋_GB2312" w:cs="仿宋_GB2312" w:eastAsia="仿宋_GB2312"/>
                <w:sz w:val="21"/>
              </w:rPr>
              <w:t>采购</w:t>
            </w:r>
            <w:r>
              <w:rPr>
                <w:rFonts w:ascii="仿宋_GB2312" w:hAnsi="仿宋_GB2312" w:cs="仿宋_GB2312" w:eastAsia="仿宋_GB2312"/>
                <w:sz w:val="21"/>
              </w:rPr>
              <w:t>费用限价为2484720</w:t>
            </w:r>
            <w:r>
              <w:rPr>
                <w:rFonts w:ascii="仿宋_GB2312" w:hAnsi="仿宋_GB2312" w:cs="仿宋_GB2312" w:eastAsia="仿宋_GB2312"/>
                <w:sz w:val="21"/>
              </w:rPr>
              <w:t>元，</w:t>
            </w:r>
            <w:r>
              <w:rPr>
                <w:rFonts w:ascii="仿宋_GB2312" w:hAnsi="仿宋_GB2312" w:cs="仿宋_GB2312" w:eastAsia="仿宋_GB2312"/>
                <w:sz w:val="24"/>
              </w:rPr>
              <w:t>投标人</w:t>
            </w:r>
            <w:r>
              <w:rPr>
                <w:rFonts w:ascii="仿宋_GB2312" w:hAnsi="仿宋_GB2312" w:cs="仿宋_GB2312" w:eastAsia="仿宋_GB2312"/>
                <w:sz w:val="24"/>
              </w:rPr>
              <w:t>按照以下公式进行</w:t>
            </w:r>
            <w:r>
              <w:rPr>
                <w:rFonts w:ascii="仿宋_GB2312" w:hAnsi="仿宋_GB2312" w:cs="仿宋_GB2312" w:eastAsia="仿宋_GB2312"/>
                <w:sz w:val="24"/>
              </w:rPr>
              <w:t>食堂食材采购</w:t>
            </w:r>
            <w:r>
              <w:rPr>
                <w:rFonts w:ascii="仿宋_GB2312" w:hAnsi="仿宋_GB2312" w:cs="仿宋_GB2312" w:eastAsia="仿宋_GB2312"/>
                <w:sz w:val="24"/>
              </w:rPr>
              <w:t>结算，结算价</w:t>
            </w:r>
            <w:r>
              <w:rPr>
                <w:rFonts w:ascii="仿宋_GB2312" w:hAnsi="仿宋_GB2312" w:cs="仿宋_GB2312" w:eastAsia="仿宋_GB2312"/>
                <w:sz w:val="24"/>
              </w:rPr>
              <w:t>=</w:t>
            </w:r>
            <w:r>
              <w:rPr>
                <w:rFonts w:ascii="仿宋_GB2312" w:hAnsi="仿宋_GB2312" w:cs="仿宋_GB2312" w:eastAsia="仿宋_GB2312"/>
                <w:sz w:val="24"/>
              </w:rPr>
              <w:t>食堂食材采购</w:t>
            </w:r>
            <w:r>
              <w:rPr>
                <w:rFonts w:ascii="仿宋_GB2312" w:hAnsi="仿宋_GB2312" w:cs="仿宋_GB2312" w:eastAsia="仿宋_GB2312"/>
                <w:sz w:val="24"/>
              </w:rPr>
              <w:t>报价</w:t>
            </w:r>
            <w:r>
              <w:rPr>
                <w:rFonts w:ascii="仿宋_GB2312" w:hAnsi="仿宋_GB2312" w:cs="仿宋_GB2312" w:eastAsia="仿宋_GB2312"/>
                <w:sz w:val="24"/>
              </w:rPr>
              <w:t>/</w:t>
            </w:r>
            <w:r>
              <w:rPr>
                <w:rFonts w:ascii="仿宋_GB2312" w:hAnsi="仿宋_GB2312" w:cs="仿宋_GB2312" w:eastAsia="仿宋_GB2312"/>
                <w:sz w:val="24"/>
              </w:rPr>
              <w:t>食堂食材采购</w:t>
            </w:r>
            <w:r>
              <w:rPr>
                <w:rFonts w:ascii="仿宋_GB2312" w:hAnsi="仿宋_GB2312" w:cs="仿宋_GB2312" w:eastAsia="仿宋_GB2312"/>
                <w:sz w:val="24"/>
              </w:rPr>
              <w:t>预算（</w:t>
            </w:r>
            <w:r>
              <w:rPr>
                <w:rFonts w:ascii="仿宋_GB2312" w:hAnsi="仿宋_GB2312" w:cs="仿宋_GB2312" w:eastAsia="仿宋_GB2312"/>
                <w:sz w:val="24"/>
              </w:rPr>
              <w:t>2484720元）*当月市场价。</w:t>
            </w:r>
          </w:p>
          <w:p>
            <w:pPr>
              <w:pStyle w:val="null3"/>
              <w:jc w:val="left"/>
            </w:pPr>
            <w:r>
              <w:rPr>
                <w:rFonts w:ascii="仿宋_GB2312" w:hAnsi="仿宋_GB2312" w:cs="仿宋_GB2312" w:eastAsia="仿宋_GB2312"/>
                <w:sz w:val="28"/>
              </w:rPr>
              <w:t>二、</w:t>
            </w:r>
            <w:r>
              <w:rPr>
                <w:rFonts w:ascii="仿宋_GB2312" w:hAnsi="仿宋_GB2312" w:cs="仿宋_GB2312" w:eastAsia="仿宋_GB2312"/>
                <w:sz w:val="28"/>
              </w:rPr>
              <w:t>投标方案要求</w:t>
            </w:r>
          </w:p>
          <w:p>
            <w:pPr>
              <w:pStyle w:val="null3"/>
              <w:jc w:val="left"/>
            </w:pPr>
            <w:r>
              <w:rPr>
                <w:rFonts w:ascii="仿宋_GB2312" w:hAnsi="仿宋_GB2312" w:cs="仿宋_GB2312" w:eastAsia="仿宋_GB2312"/>
                <w:sz w:val="21"/>
              </w:rPr>
              <w:t>1.完善食堂管理制度，对食品卫生安全负责，服从采购人管理，积极配合采购人和行政主管部门的检查和督导。</w:t>
            </w:r>
          </w:p>
          <w:p>
            <w:pPr>
              <w:pStyle w:val="null3"/>
              <w:jc w:val="left"/>
            </w:pPr>
            <w:r>
              <w:rPr>
                <w:rFonts w:ascii="仿宋_GB2312" w:hAnsi="仿宋_GB2312" w:cs="仿宋_GB2312" w:eastAsia="仿宋_GB2312"/>
                <w:sz w:val="21"/>
              </w:rPr>
              <w:t>2.职工食堂由服务方运营，服务方负责食材的采购及配送。</w:t>
            </w:r>
          </w:p>
          <w:p>
            <w:pPr>
              <w:pStyle w:val="null3"/>
              <w:jc w:val="left"/>
            </w:pPr>
            <w:r>
              <w:rPr>
                <w:rFonts w:ascii="仿宋_GB2312" w:hAnsi="仿宋_GB2312" w:cs="仿宋_GB2312" w:eastAsia="仿宋_GB2312"/>
                <w:sz w:val="21"/>
              </w:rPr>
              <w:t>3.所有工作人员必须体检取得健康证并通过岗位培训合格后方能上岗，且所有工作人员必须定时进行安全和专业技能培训。</w:t>
            </w:r>
          </w:p>
          <w:p>
            <w:pPr>
              <w:pStyle w:val="null3"/>
              <w:jc w:val="left"/>
            </w:pPr>
            <w:r>
              <w:rPr>
                <w:rFonts w:ascii="仿宋_GB2312" w:hAnsi="仿宋_GB2312" w:cs="仿宋_GB2312" w:eastAsia="仿宋_GB2312"/>
                <w:sz w:val="21"/>
              </w:rPr>
              <w:t>4.每餐进行食品留样,留样食品按照品种分别盛放于清洗消毒后的专用密闭容器内，在专用冷藏设备中冷藏存放72小时以上，每个品种的留样量不少于125g,并在盛放留样食品的容器上应标注留样食品</w:t>
            </w:r>
            <w:r>
              <w:rPr>
                <w:rFonts w:ascii="仿宋_GB2312" w:hAnsi="仿宋_GB2312" w:cs="仿宋_GB2312" w:eastAsia="仿宋_GB2312"/>
                <w:sz w:val="21"/>
              </w:rPr>
              <w:t>名称、留样时间（月、日、时），或者标注与留样记录相对应的标识。由专人管理留样食品、记录留样情况，记录内容包括留样食品名称、留样时间（月、日、时）、留样人员等。食材执行农残检测，服务方负责食堂及厨房的环境卫生，做到餐具每天消毒，保证食品、用具卫生安全。</w:t>
            </w:r>
          </w:p>
          <w:p>
            <w:pPr>
              <w:pStyle w:val="null3"/>
              <w:jc w:val="left"/>
            </w:pPr>
            <w:r>
              <w:rPr>
                <w:rFonts w:ascii="仿宋_GB2312" w:hAnsi="仿宋_GB2312" w:cs="仿宋_GB2312" w:eastAsia="仿宋_GB2312"/>
                <w:sz w:val="21"/>
              </w:rPr>
              <w:t>5.服务方做好安全用电、用气等防范工作避免发生食物中毒、火灾、职工工伤（亡）等事故。</w:t>
            </w:r>
          </w:p>
          <w:p>
            <w:pPr>
              <w:pStyle w:val="null3"/>
              <w:jc w:val="left"/>
            </w:pPr>
            <w:r>
              <w:rPr>
                <w:rFonts w:ascii="仿宋_GB2312" w:hAnsi="仿宋_GB2312" w:cs="仿宋_GB2312" w:eastAsia="仿宋_GB2312"/>
                <w:sz w:val="21"/>
              </w:rPr>
              <w:t>6.服务方应与其工作人员依法签订正规劳动合同，依法缴纳社会保险，完善劳动用工制度。</w:t>
            </w:r>
          </w:p>
          <w:p>
            <w:pPr>
              <w:pStyle w:val="null3"/>
              <w:jc w:val="left"/>
            </w:pPr>
            <w:r>
              <w:rPr>
                <w:rFonts w:ascii="仿宋_GB2312" w:hAnsi="仿宋_GB2312" w:cs="仿宋_GB2312" w:eastAsia="仿宋_GB2312"/>
                <w:sz w:val="21"/>
              </w:rPr>
              <w:t>7.为确保应有的服务质量，服务方须将其工作人员的薪资待遇足额发放到位，无正当理由不得克扣。因未及时足额发放薪资产生的纠纷由中标方自行负责。</w:t>
            </w:r>
          </w:p>
          <w:p>
            <w:pPr>
              <w:pStyle w:val="null3"/>
              <w:jc w:val="left"/>
              <w:outlineLvl w:val="2"/>
            </w:pPr>
            <w:r>
              <w:rPr>
                <w:rFonts w:ascii="仿宋_GB2312" w:hAnsi="仿宋_GB2312" w:cs="仿宋_GB2312" w:eastAsia="仿宋_GB2312"/>
                <w:sz w:val="28"/>
                <w:b/>
              </w:rPr>
              <w:t>三、技术和服务客观指标</w:t>
            </w:r>
          </w:p>
          <w:tbl>
            <w:tblPr>
              <w:tblInd w:type="dxa" w:w="210"/>
              <w:tblBorders>
                <w:top w:val="none" w:color="000000" w:sz="4"/>
                <w:left w:val="none" w:color="000000" w:sz="4"/>
                <w:bottom w:val="none" w:color="000000" w:sz="4"/>
                <w:right w:val="none" w:color="000000" w:sz="4"/>
                <w:insideH w:val="none"/>
                <w:insideV w:val="none"/>
              </w:tblBorders>
            </w:tblPr>
            <w:tblGrid>
              <w:gridCol w:w="260"/>
              <w:gridCol w:w="459"/>
              <w:gridCol w:w="459"/>
              <w:gridCol w:w="459"/>
              <w:gridCol w:w="459"/>
              <w:gridCol w:w="459"/>
            </w:tblGrid>
            <w:tr>
              <w:tc>
                <w:tcPr>
                  <w:tcW w:type="dxa" w:w="260"/>
                  <w:tcBorders>
                    <w:top w:val="single" w:color="000000" w:sz="4"/>
                    <w:left w:val="singl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序号</w:t>
                  </w:r>
                </w:p>
              </w:tc>
              <w:tc>
                <w:tcPr>
                  <w:tcW w:type="dxa" w:w="459"/>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指标种类</w:t>
                  </w:r>
                </w:p>
              </w:tc>
              <w:tc>
                <w:tcPr>
                  <w:tcW w:type="dxa" w:w="459"/>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指标名称</w:t>
                  </w:r>
                </w:p>
              </w:tc>
              <w:tc>
                <w:tcPr>
                  <w:tcW w:type="dxa" w:w="459"/>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指标内容</w:t>
                  </w:r>
                </w:p>
              </w:tc>
              <w:tc>
                <w:tcPr>
                  <w:tcW w:type="dxa" w:w="459"/>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参数性质</w:t>
                  </w:r>
                </w:p>
              </w:tc>
              <w:tc>
                <w:tcPr>
                  <w:tcW w:type="dxa" w:w="459"/>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是否需要证明材料</w:t>
                  </w:r>
                </w:p>
              </w:tc>
            </w:tr>
            <w:tr>
              <w:tc>
                <w:tcPr>
                  <w:tcW w:type="dxa" w:w="2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整体服务</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整体服务</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1.服务项目的理解（重点突出本项目食堂供餐服务及</w:t>
                  </w:r>
                  <w:r>
                    <w:rPr>
                      <w:rFonts w:ascii="仿宋_GB2312" w:hAnsi="仿宋_GB2312" w:cs="仿宋_GB2312" w:eastAsia="仿宋_GB2312"/>
                      <w:sz w:val="21"/>
                    </w:rPr>
                    <w:t>食堂食材采购</w:t>
                  </w:r>
                  <w:r>
                    <w:rPr>
                      <w:rFonts w:ascii="仿宋_GB2312" w:hAnsi="仿宋_GB2312" w:cs="仿宋_GB2312" w:eastAsia="仿宋_GB2312"/>
                      <w:sz w:val="21"/>
                    </w:rPr>
                    <w:t>的特点及重难点）；</w:t>
                  </w:r>
                  <w:r>
                    <w:rPr>
                      <w:rFonts w:ascii="仿宋_GB2312" w:hAnsi="仿宋_GB2312" w:cs="仿宋_GB2312" w:eastAsia="仿宋_GB2312"/>
                      <w:sz w:val="21"/>
                    </w:rPr>
                    <w:t>2.管理目标及定位；3.管理制度；4.管理模式；5.服务措施等。</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否</w:t>
                  </w:r>
                </w:p>
              </w:tc>
            </w:tr>
            <w:tr>
              <w:tc>
                <w:tcPr>
                  <w:tcW w:type="dxa" w:w="2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2</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食品质量管控</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食品质量管控</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所有产品质量符合国家相关行业标准，中标人确保产品质量稳定，保证营养丰富、绿色安全、易存放、食用方便，在保质期内。从加工、包装、运输、贮存到销售全部符合国家规定标准。采购人可根据实际情况对供应的产品进行品质抽检，对质量未达到国家标准的产品有权拒绝接受，对抽检不合格、经告知不改正的，采购方有权终止合同。</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否</w:t>
                  </w:r>
                </w:p>
              </w:tc>
            </w:tr>
            <w:tr>
              <w:tc>
                <w:tcPr>
                  <w:tcW w:type="dxa" w:w="2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3</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安全应急预案</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安全应急预案</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1.食品安全、生产安全事故应急方案；2.就餐人员及食堂员工人身安全管理的应急方案；3.停水、停电、停气应急方案；4.火灾应急方案；5.自然灾害应急方案；6.各种突发性事件的应急方案。</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否</w:t>
                  </w:r>
                </w:p>
              </w:tc>
            </w:tr>
            <w:tr>
              <w:tc>
                <w:tcPr>
                  <w:tcW w:type="dxa" w:w="2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4</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卫生管理管控</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卫生管理管控</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1.人员管理（工作人员均持有健康证，工作人员统一穿着工作制服）；2.厨房卫生清洁管理（做好厨房、餐厅清洁卫生工作，定期进行消杀，每月不少于两次，保证环境卫生符合相关标准，杜绝餐饮公共卫生事件发生。）；3.设施设备安全操作及清洁维护。</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否</w:t>
                  </w:r>
                </w:p>
              </w:tc>
            </w:tr>
            <w:tr>
              <w:tc>
                <w:tcPr>
                  <w:tcW w:type="dxa" w:w="2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5</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食材采购及配送管理</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食材采购及配送管理</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1.采购及配送管理制度；2.食材采购标准、食材自检、采购凭据留存；</w:t>
                  </w:r>
                  <w:r>
                    <w:rPr>
                      <w:rFonts w:ascii="仿宋_GB2312" w:hAnsi="仿宋_GB2312" w:cs="仿宋_GB2312" w:eastAsia="仿宋_GB2312"/>
                      <w:sz w:val="21"/>
                    </w:rPr>
                    <w:t>3.配送装卸流程；4.配送时限保障、临时加货处理、配送遗漏处罚措施；5.食材验收流程；6.采购及配送应急预案等。</w:t>
                  </w: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5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否</w:t>
                  </w:r>
                </w:p>
              </w:tc>
            </w:tr>
          </w:tbl>
          <w:p>
            <w:pPr>
              <w:pStyle w:val="null3"/>
              <w:jc w:val="left"/>
              <w:outlineLvl w:val="3"/>
            </w:pPr>
            <w:r>
              <w:br/>
            </w:r>
            <w:r>
              <w:rPr>
                <w:rFonts w:ascii="仿宋_GB2312" w:hAnsi="仿宋_GB2312" w:cs="仿宋_GB2312" w:eastAsia="仿宋_GB2312"/>
                <w:sz w:val="28"/>
                <w:b/>
              </w:rPr>
              <w:t>四、技术和服务其他要求</w:t>
            </w:r>
          </w:p>
          <w:p>
            <w:pPr>
              <w:pStyle w:val="null3"/>
              <w:ind w:firstLine="560"/>
              <w:jc w:val="left"/>
            </w:pPr>
            <w:r>
              <w:rPr>
                <w:rFonts w:ascii="仿宋_GB2312" w:hAnsi="仿宋_GB2312" w:cs="仿宋_GB2312" w:eastAsia="仿宋_GB2312"/>
                <w:sz w:val="28"/>
              </w:rPr>
              <w:t>1.蔬菜类质量标准：应保证每日配送菜品均为当日新鲜蔬菜，无腐烂、发黄、虫蛀或机械损伤，根茎类蔬菜无发芽或霉变情况；配送菜品应为符合国家农药残留标准的无公害产品；运输应分类包装、避免挤压。</w:t>
            </w:r>
          </w:p>
          <w:p>
            <w:pPr>
              <w:pStyle w:val="null3"/>
              <w:ind w:firstLine="560"/>
              <w:jc w:val="left"/>
            </w:pPr>
            <w:r>
              <w:rPr>
                <w:rFonts w:ascii="仿宋_GB2312" w:hAnsi="仿宋_GB2312" w:cs="仿宋_GB2312" w:eastAsia="仿宋_GB2312"/>
                <w:sz w:val="28"/>
              </w:rPr>
              <w:t>2.畜禽肉类质量标准：应保证每日配送肉品为当日新鲜肉类，包括但不限于猪、牛、羊、鸡、鸭、鹅、鸽子等，杜绝供应冷冻、注水、病害等畜禽肉；配送肉品应有正规的检验检疫部门检验，并出具检验合格证明；羊肉原则上从帮扶点采购。</w:t>
            </w:r>
          </w:p>
          <w:p>
            <w:pPr>
              <w:pStyle w:val="null3"/>
              <w:ind w:firstLine="560"/>
              <w:jc w:val="left"/>
            </w:pPr>
            <w:r>
              <w:rPr>
                <w:rFonts w:ascii="仿宋_GB2312" w:hAnsi="仿宋_GB2312" w:cs="仿宋_GB2312" w:eastAsia="仿宋_GB2312"/>
                <w:sz w:val="28"/>
              </w:rPr>
              <w:t>3.水产类质量标准：应保证每日配送水产品为当日鲜活水产，包括但不限于海鱼、虾、蟹、贝类等，体表完整无破损、无异味，鱼鳃鲜红，无重金属残留。</w:t>
            </w:r>
          </w:p>
          <w:p>
            <w:pPr>
              <w:pStyle w:val="null3"/>
              <w:ind w:firstLine="560"/>
              <w:jc w:val="left"/>
            </w:pPr>
            <w:r>
              <w:rPr>
                <w:rFonts w:ascii="仿宋_GB2312" w:hAnsi="仿宋_GB2312" w:cs="仿宋_GB2312" w:eastAsia="仿宋_GB2312"/>
                <w:sz w:val="28"/>
              </w:rPr>
              <w:t>4.禽蛋类质量标准：应保证每日配送蛋类新鲜，蛋壳无裂纹、粪便及血迹等污染，无细菌、霉菌。</w:t>
            </w:r>
          </w:p>
          <w:p>
            <w:pPr>
              <w:pStyle w:val="null3"/>
              <w:ind w:firstLine="560"/>
              <w:jc w:val="left"/>
            </w:pPr>
            <w:r>
              <w:rPr>
                <w:rFonts w:ascii="仿宋_GB2312" w:hAnsi="仿宋_GB2312" w:cs="仿宋_GB2312" w:eastAsia="仿宋_GB2312"/>
                <w:sz w:val="28"/>
              </w:rPr>
              <w:t>5.米面油及调料燃气等质量标准：应保证每日供货使用大品牌、好口碑产品，包装密封完好，无受潮、结块、发霉、虫蛀情况，保质期新鲜，食用油需为非转基因油。</w:t>
            </w:r>
          </w:p>
          <w:p>
            <w:pPr>
              <w:pStyle w:val="null3"/>
              <w:ind w:firstLine="560"/>
              <w:jc w:val="left"/>
            </w:pPr>
            <w:r>
              <w:rPr>
                <w:rFonts w:ascii="仿宋_GB2312" w:hAnsi="仿宋_GB2312" w:cs="仿宋_GB2312" w:eastAsia="仿宋_GB2312"/>
                <w:sz w:val="28"/>
              </w:rPr>
              <w:t>6.水果类质量标准：应保证每日配送水果为当季新鲜水果，无发霉、腐烂、异味、破损等情况，每餐不少于2种，运输应包装完好、避免碰撞挤压。</w:t>
            </w:r>
          </w:p>
          <w:p>
            <w:pPr>
              <w:pStyle w:val="null3"/>
              <w:ind w:firstLine="560"/>
              <w:jc w:val="left"/>
            </w:pPr>
            <w:r>
              <w:rPr>
                <w:rFonts w:ascii="仿宋_GB2312" w:hAnsi="仿宋_GB2312" w:cs="仿宋_GB2312" w:eastAsia="仿宋_GB2312"/>
                <w:sz w:val="28"/>
              </w:rPr>
              <w:t>7.运输标准：应保证运输及时、食材完整新鲜，避免阳光暴晒和潮湿。</w:t>
            </w:r>
          </w:p>
          <w:p>
            <w:pPr>
              <w:pStyle w:val="null3"/>
              <w:ind w:firstLine="560"/>
              <w:jc w:val="left"/>
            </w:pPr>
            <w:r>
              <w:rPr>
                <w:rFonts w:ascii="仿宋_GB2312" w:hAnsi="仿宋_GB2312" w:cs="仿宋_GB2312" w:eastAsia="仿宋_GB2312"/>
                <w:sz w:val="28"/>
              </w:rPr>
              <w:t>8.人员标准：</w:t>
            </w:r>
          </w:p>
          <w:p>
            <w:pPr>
              <w:pStyle w:val="null3"/>
              <w:ind w:firstLine="560"/>
              <w:jc w:val="left"/>
            </w:pPr>
            <w:r>
              <w:rPr>
                <w:rFonts w:ascii="仿宋_GB2312" w:hAnsi="仿宋_GB2312" w:cs="仿宋_GB2312" w:eastAsia="仿宋_GB2312"/>
                <w:sz w:val="28"/>
              </w:rPr>
              <w:t>①投标人须将人员配备方案报采购人审核后方可实施，中标人拟委派的人员经采购人核准后方可上岗。若中标人在岗服务人员不符合采购人要求，采购人可要求中标人更换，中标人需无条件接受并在采购人要求的时间内完成人员更换，中标人要更换人员必须征得采购人的同意方可更换，未经采购人同意不得随意更换人员。</w:t>
            </w:r>
          </w:p>
          <w:p>
            <w:pPr>
              <w:pStyle w:val="null3"/>
              <w:ind w:firstLine="560"/>
              <w:jc w:val="left"/>
            </w:pPr>
            <w:r>
              <w:rPr>
                <w:rFonts w:ascii="仿宋_GB2312" w:hAnsi="仿宋_GB2312" w:cs="仿宋_GB2312" w:eastAsia="仿宋_GB2312"/>
                <w:sz w:val="28"/>
              </w:rPr>
              <w:t>②投标人应按照采购人要求，负责组织服务人员的岗位培训。所有服务人员均需经过岗位培训且体检合格，经采购人核准后方可上岗。</w:t>
            </w:r>
          </w:p>
          <w:p>
            <w:pPr>
              <w:pStyle w:val="null3"/>
              <w:ind w:firstLine="560"/>
              <w:jc w:val="left"/>
            </w:pPr>
            <w:r>
              <w:rPr>
                <w:rFonts w:ascii="仿宋_GB2312" w:hAnsi="仿宋_GB2312" w:cs="仿宋_GB2312" w:eastAsia="仿宋_GB2312"/>
                <w:sz w:val="28"/>
              </w:rPr>
              <w:t>③服务人员熟悉服务礼仪、形象气质佳、用语规范，态度和蔼，文明礼貌，及时提供服务。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center"/>
              <w:outlineLvl w:val="0"/>
            </w:pPr>
            <w:r>
              <w:rPr>
                <w:rFonts w:ascii="仿宋_GB2312" w:hAnsi="仿宋_GB2312" w:cs="仿宋_GB2312" w:eastAsia="仿宋_GB2312"/>
                <w:sz w:val="32"/>
                <w:b/>
              </w:rPr>
              <w:t>人员要求</w:t>
            </w:r>
          </w:p>
          <w:p>
            <w:pPr>
              <w:pStyle w:val="null3"/>
              <w:jc w:val="left"/>
              <w:outlineLvl w:val="1"/>
            </w:pPr>
            <w:r>
              <w:rPr>
                <w:rFonts w:ascii="仿宋_GB2312" w:hAnsi="仿宋_GB2312" w:cs="仿宋_GB2312" w:eastAsia="仿宋_GB2312"/>
                <w:sz w:val="28"/>
                <w:b/>
                <w:i/>
              </w:rPr>
              <w:t>1总体要求</w:t>
            </w:r>
          </w:p>
          <w:tbl>
            <w:tblPr>
              <w:tblBorders>
                <w:top w:val="none" w:color="000000" w:sz="4"/>
                <w:left w:val="none" w:color="000000" w:sz="4"/>
                <w:bottom w:val="none" w:color="000000" w:sz="4"/>
                <w:right w:val="none" w:color="000000" w:sz="4"/>
                <w:insideH w:val="none"/>
                <w:insideV w:val="none"/>
              </w:tblBorders>
            </w:tblPr>
            <w:tblGrid>
              <w:gridCol w:w="152"/>
              <w:gridCol w:w="426"/>
              <w:gridCol w:w="441"/>
              <w:gridCol w:w="228"/>
              <w:gridCol w:w="1307"/>
            </w:tblGrid>
            <w:tr>
              <w:tc>
                <w:tcPr>
                  <w:tcW w:type="dxa" w:w="2554"/>
                  <w:gridSpan w:val="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b/>
                    </w:rPr>
                    <w:t>食堂人员配置需求表</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序号</w:t>
                  </w:r>
                </w:p>
              </w:tc>
              <w:tc>
                <w:tcPr>
                  <w:tcW w:type="dxa" w:w="4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服务项目</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岗位</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b/>
                    </w:rPr>
                    <w:t>人数</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b/>
                    </w:rPr>
                    <w:t>备注</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spacing w:after="240"/>
                    <w:jc w:val="center"/>
                  </w:pPr>
                  <w:r>
                    <w:rPr>
                      <w:rFonts w:ascii="仿宋_GB2312" w:hAnsi="仿宋_GB2312" w:cs="仿宋_GB2312" w:eastAsia="仿宋_GB2312"/>
                      <w:sz w:val="20"/>
                    </w:rPr>
                    <w:t>金马办公区</w:t>
                  </w:r>
                </w:p>
                <w:p>
                  <w:pPr>
                    <w:pStyle w:val="null3"/>
                    <w:spacing w:before="240"/>
                    <w:jc w:val="center"/>
                  </w:pPr>
                  <w:r>
                    <w:rPr>
                      <w:rFonts w:ascii="仿宋_GB2312" w:hAnsi="仿宋_GB2312" w:cs="仿宋_GB2312" w:eastAsia="仿宋_GB2312"/>
                      <w:sz w:val="20"/>
                    </w:rPr>
                    <w:t>职工食堂</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项目经理</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负责澄迈局所有职工食堂管理以及用餐工作。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厨房主管</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负责澄迈局所有职工食堂厨师管理工作。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业务助理兼仓管</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负责澄迈局所有职工食堂食材日常采购和用餐人数统计、核算工作。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小锅主炒厨师</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负责金马食堂午餐、晚餐饭菜烹制工作。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大锅主炒厨师</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负责金马食堂午餐、晚餐饭菜烹制工作。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面点师</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负责金马食堂早餐烹制工作。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配菜员</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负责金马食堂配、切菜烹制工作。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服务员</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负责金马食堂服务工作。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厨杂工</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负责金马食堂洗菜、食堂卫生、餐具洗消等工作。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文化北办公区职工食堂</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大锅主炒厨师</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负责文化北食堂午餐、晚餐饭菜烹制工作。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面点师</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负责文化北食堂早餐烹制工作。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配菜员</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负责文化北食堂配、切菜烹制工作。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厨杂工</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负责文化北食堂洗菜、食堂卫生、餐具洗消等工作。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12</w:t>
                  </w:r>
                </w:p>
              </w:tc>
              <w:tc>
                <w:tcPr>
                  <w:tcW w:type="dxa" w:w="426"/>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spacing w:after="240"/>
                    <w:jc w:val="center"/>
                  </w:pPr>
                  <w:r>
                    <w:rPr>
                      <w:rFonts w:ascii="仿宋_GB2312" w:hAnsi="仿宋_GB2312" w:cs="仿宋_GB2312" w:eastAsia="仿宋_GB2312"/>
                      <w:sz w:val="20"/>
                    </w:rPr>
                    <w:t>老城镇地区</w:t>
                  </w:r>
                </w:p>
                <w:p>
                  <w:pPr>
                    <w:pStyle w:val="null3"/>
                    <w:spacing w:before="240"/>
                    <w:jc w:val="center"/>
                  </w:pPr>
                  <w:r>
                    <w:rPr>
                      <w:rFonts w:ascii="仿宋_GB2312" w:hAnsi="仿宋_GB2312" w:cs="仿宋_GB2312" w:eastAsia="仿宋_GB2312"/>
                      <w:sz w:val="20"/>
                    </w:rPr>
                    <w:t>职工食堂</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大锅主炒厨师</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负责老城镇地区食堂早餐、午餐、晚餐饭菜烹制工作。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厨杂工</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负责老城镇地区食堂洗菜、食堂卫生、餐具洗消等工作。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仁兴分局</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厨杂工</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负责仁兴分局食堂早、午和晚餐饭菜烹制工作。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福山分局</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厨杂工</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负责福山分局食堂早、午和晚餐饭菜烹制工作。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瑞溪分局</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厨杂工</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负责瑞溪分局食堂早、午和晚餐饭菜烹制工作。</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加乐分局</w:t>
                  </w:r>
                </w:p>
              </w:tc>
              <w:tc>
                <w:tcPr>
                  <w:tcW w:type="dxa" w:w="4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厨杂工</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负责加乐分局食堂早、午和晚餐饭菜烹制工作。</w:t>
                  </w:r>
                </w:p>
              </w:tc>
            </w:tr>
            <w:tr>
              <w:tc>
                <w:tcPr>
                  <w:tcW w:type="dxa" w:w="1019"/>
                  <w:gridSpan w:val="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b/>
                    </w:rPr>
                    <w:t>合计</w:t>
                  </w:r>
                </w:p>
              </w:tc>
              <w:tc>
                <w:tcPr>
                  <w:tcW w:type="dxa" w:w="22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23</w:t>
                  </w:r>
                </w:p>
              </w:tc>
              <w:tc>
                <w:tcPr>
                  <w:tcW w:type="dxa" w:w="13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19"/>
                    </w:rPr>
                    <w:t xml:space="preserve"> </w:t>
                  </w:r>
                </w:p>
              </w:tc>
            </w:tr>
          </w:tbl>
          <w:p>
            <w:pPr>
              <w:pStyle w:val="null3"/>
              <w:jc w:val="left"/>
              <w:outlineLvl w:val="1"/>
            </w:pPr>
            <w:r>
              <w:rPr>
                <w:rFonts w:ascii="仿宋_GB2312" w:hAnsi="仿宋_GB2312" w:cs="仿宋_GB2312" w:eastAsia="仿宋_GB2312"/>
                <w:sz w:val="28"/>
                <w:b/>
                <w:i/>
              </w:rPr>
              <w:t>2管理团队</w:t>
            </w:r>
          </w:p>
          <w:p>
            <w:pPr>
              <w:pStyle w:val="null3"/>
              <w:jc w:val="left"/>
              <w:outlineLvl w:val="2"/>
            </w:pPr>
            <w:r>
              <w:rPr>
                <w:rFonts w:ascii="仿宋_GB2312" w:hAnsi="仿宋_GB2312" w:cs="仿宋_GB2312" w:eastAsia="仿宋_GB2312"/>
                <w:sz w:val="28"/>
                <w:b/>
              </w:rPr>
              <w:t>2.1项目经理</w:t>
            </w:r>
          </w:p>
          <w:p>
            <w:pPr>
              <w:pStyle w:val="null3"/>
              <w:jc w:val="left"/>
            </w:pPr>
            <w:r>
              <w:rPr>
                <w:rFonts w:ascii="仿宋_GB2312" w:hAnsi="仿宋_GB2312" w:cs="仿宋_GB2312" w:eastAsia="仿宋_GB2312"/>
                <w:sz w:val="21"/>
              </w:rPr>
              <w:t>项目经理：投标人根据服务内容驻派</w:t>
            </w:r>
            <w:r>
              <w:rPr>
                <w:rFonts w:ascii="仿宋_GB2312" w:hAnsi="仿宋_GB2312" w:cs="仿宋_GB2312" w:eastAsia="仿宋_GB2312"/>
                <w:sz w:val="21"/>
              </w:rPr>
              <w:t>1名经验丰富及管理能力、沟通能力强的项目经理，负责与采购人相关人员就项目在履约中一切相关事宜的沟通及处理，拟驻派本项目的项目经理具有类似服务项目管理经验的，予以考虑加分。</w:t>
            </w:r>
          </w:p>
          <w:p>
            <w:pPr>
              <w:pStyle w:val="null3"/>
              <w:jc w:val="center"/>
            </w:pPr>
            <w:r>
              <w:rPr>
                <w:rFonts w:ascii="仿宋_GB2312" w:hAnsi="仿宋_GB2312" w:cs="仿宋_GB2312" w:eastAsia="仿宋_GB2312"/>
                <w:sz w:val="24"/>
              </w:rPr>
              <w:t xml:space="preserve"> </w:t>
            </w:r>
          </w:p>
          <w:p>
            <w:pPr>
              <w:pStyle w:val="null3"/>
              <w:jc w:val="left"/>
              <w:outlineLvl w:val="1"/>
            </w:pPr>
            <w:r>
              <w:rPr>
                <w:rFonts w:ascii="仿宋_GB2312" w:hAnsi="仿宋_GB2312" w:cs="仿宋_GB2312" w:eastAsia="仿宋_GB2312"/>
                <w:sz w:val="28"/>
                <w:b/>
                <w:i/>
              </w:rPr>
              <w:t>3技术团队</w:t>
            </w:r>
          </w:p>
          <w:p>
            <w:pPr>
              <w:pStyle w:val="null3"/>
              <w:jc w:val="left"/>
            </w:pPr>
            <w:r>
              <w:rPr>
                <w:rFonts w:ascii="仿宋_GB2312" w:hAnsi="仿宋_GB2312" w:cs="仿宋_GB2312" w:eastAsia="仿宋_GB2312"/>
                <w:sz w:val="21"/>
              </w:rPr>
              <w:t>工作人员共</w:t>
            </w:r>
            <w:r>
              <w:rPr>
                <w:rFonts w:ascii="仿宋_GB2312" w:hAnsi="仿宋_GB2312" w:cs="仿宋_GB2312" w:eastAsia="仿宋_GB2312"/>
                <w:sz w:val="21"/>
              </w:rPr>
              <w:t>22名，其中：厨房主管1名、业务助理兼仓库管理1名、小锅主炒厨师1名、大锅主炒厨师3名、面点师2名、配菜员2名、服务员2名、厨杂工10名，拟驻派本项目的人员具有类似工作经验的，予以考虑加分。</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center"/>
              <w:outlineLvl w:val="0"/>
            </w:pPr>
            <w:r>
              <w:rPr>
                <w:rFonts w:ascii="仿宋_GB2312" w:hAnsi="仿宋_GB2312" w:cs="仿宋_GB2312" w:eastAsia="仿宋_GB2312"/>
                <w:sz w:val="32"/>
                <w:b/>
              </w:rPr>
              <w:t>管理实施要求</w:t>
            </w:r>
          </w:p>
          <w:p>
            <w:pPr>
              <w:pStyle w:val="null3"/>
              <w:jc w:val="both"/>
            </w:pPr>
            <w:r>
              <w:rPr>
                <w:rFonts w:ascii="仿宋_GB2312" w:hAnsi="仿宋_GB2312" w:cs="仿宋_GB2312" w:eastAsia="仿宋_GB2312"/>
                <w:sz w:val="24"/>
              </w:rPr>
              <w:t>（一）人员管理</w:t>
            </w:r>
          </w:p>
          <w:p>
            <w:pPr>
              <w:pStyle w:val="null3"/>
              <w:jc w:val="both"/>
            </w:pPr>
            <w:r>
              <w:rPr>
                <w:rFonts w:ascii="仿宋_GB2312" w:hAnsi="仿宋_GB2312" w:cs="仿宋_GB2312" w:eastAsia="仿宋_GB2312"/>
                <w:sz w:val="24"/>
              </w:rPr>
              <w:t>人员配备：投标人需根据采购人需求，合理配备厨师、帮厨、服务员、保洁员、采购员等人员。具体人员数量应满足食堂正常运营需求，确保服务质量。</w:t>
            </w:r>
          </w:p>
          <w:p>
            <w:pPr>
              <w:pStyle w:val="null3"/>
              <w:jc w:val="both"/>
            </w:pPr>
            <w:r>
              <w:rPr>
                <w:rFonts w:ascii="仿宋_GB2312" w:hAnsi="仿宋_GB2312" w:cs="仿宋_GB2312" w:eastAsia="仿宋_GB2312"/>
                <w:sz w:val="24"/>
              </w:rPr>
              <w:t>人员资质：所有食堂工作人员必须持有有效的健康证，厨师须具备相应的烹饪师技能；面点师具备相应的面点师技能；其他服务人员应具备相应的服务技能和经验。</w:t>
            </w:r>
          </w:p>
          <w:p>
            <w:pPr>
              <w:pStyle w:val="null3"/>
              <w:jc w:val="both"/>
            </w:pPr>
            <w:r>
              <w:rPr>
                <w:rFonts w:ascii="仿宋_GB2312" w:hAnsi="仿宋_GB2312" w:cs="仿宋_GB2312" w:eastAsia="仿宋_GB2312"/>
                <w:sz w:val="24"/>
              </w:rPr>
              <w:t>人员培训：投标人应制定完善的人员培训计划，定期对食堂工作人员进行食品安全、服务技能、职业道德等方面的培训，确保工作人员具备良好的专业素养和服务意识。</w:t>
            </w:r>
          </w:p>
          <w:p>
            <w:pPr>
              <w:pStyle w:val="null3"/>
              <w:jc w:val="both"/>
            </w:pPr>
            <w:r>
              <w:rPr>
                <w:rFonts w:ascii="仿宋_GB2312" w:hAnsi="仿宋_GB2312" w:cs="仿宋_GB2312" w:eastAsia="仿宋_GB2312"/>
                <w:sz w:val="24"/>
              </w:rPr>
              <w:t>人员更换：未经招标人书面同意，投标人不得擅自更换食堂主要管理人员（如厨师主管等）。如需更换普通工作人员，应提前</w:t>
            </w:r>
            <w:r>
              <w:rPr>
                <w:rFonts w:ascii="仿宋_GB2312" w:hAnsi="仿宋_GB2312" w:cs="仿宋_GB2312" w:eastAsia="仿宋_GB2312"/>
                <w:sz w:val="24"/>
              </w:rPr>
              <w:t>10</w:t>
            </w:r>
            <w:r>
              <w:rPr>
                <w:rFonts w:ascii="仿宋_GB2312" w:hAnsi="仿宋_GB2312" w:cs="仿宋_GB2312" w:eastAsia="仿宋_GB2312"/>
                <w:sz w:val="24"/>
              </w:rPr>
              <w:t>个工作日向招标人报备，并确保新员工具备相应资质和能力，经招标人认可后方可上岗。</w:t>
            </w:r>
          </w:p>
          <w:p>
            <w:pPr>
              <w:pStyle w:val="null3"/>
              <w:jc w:val="both"/>
            </w:pPr>
            <w:r>
              <w:rPr>
                <w:rFonts w:ascii="仿宋_GB2312" w:hAnsi="仿宋_GB2312" w:cs="仿宋_GB2312" w:eastAsia="仿宋_GB2312"/>
                <w:sz w:val="24"/>
              </w:rPr>
              <w:t>（二）服务质量管理</w:t>
            </w:r>
          </w:p>
          <w:p>
            <w:pPr>
              <w:pStyle w:val="null3"/>
              <w:jc w:val="both"/>
            </w:pPr>
            <w:r>
              <w:rPr>
                <w:rFonts w:ascii="仿宋_GB2312" w:hAnsi="仿宋_GB2312" w:cs="仿宋_GB2312" w:eastAsia="仿宋_GB2312"/>
                <w:sz w:val="24"/>
              </w:rPr>
              <w:t>就餐服务：按照招标人规定的就餐时间准时开餐，提供优质的就餐服务。工作人员应热情、周到、文明服务，耐心解答就餐人员的问题，及时处理就餐人员的投诉和建议。</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菜品管理：根据就餐人员的口味和需求，科学合理制定每周菜谱，并提前公布。菜品应丰富多样，保证营养均衡，每餐提供的菜品不少于</w:t>
            </w:r>
            <w:r>
              <w:rPr>
                <w:rFonts w:ascii="仿宋_GB2312" w:hAnsi="仿宋_GB2312" w:cs="仿宋_GB2312" w:eastAsia="仿宋_GB2312"/>
                <w:sz w:val="24"/>
              </w:rPr>
              <w:t>5</w:t>
            </w:r>
            <w:r>
              <w:rPr>
                <w:rFonts w:ascii="仿宋_GB2312" w:hAnsi="仿宋_GB2312" w:cs="仿宋_GB2312" w:eastAsia="仿宋_GB2312"/>
                <w:sz w:val="24"/>
              </w:rPr>
              <w:t>种，其中荤菜不少于</w:t>
            </w:r>
            <w:r>
              <w:rPr>
                <w:rFonts w:ascii="仿宋_GB2312" w:hAnsi="仿宋_GB2312" w:cs="仿宋_GB2312" w:eastAsia="仿宋_GB2312"/>
                <w:sz w:val="24"/>
              </w:rPr>
              <w:t>3</w:t>
            </w:r>
            <w:r>
              <w:rPr>
                <w:rFonts w:ascii="仿宋_GB2312" w:hAnsi="仿宋_GB2312" w:cs="仿宋_GB2312" w:eastAsia="仿宋_GB2312"/>
                <w:sz w:val="24"/>
              </w:rPr>
              <w:t>种，并提供汤品和主食。注重菜品质量和口味，不断改进烹饪工艺。</w:t>
            </w:r>
          </w:p>
          <w:p>
            <w:pPr>
              <w:pStyle w:val="null3"/>
              <w:jc w:val="both"/>
            </w:pPr>
            <w:r>
              <w:rPr>
                <w:rFonts w:ascii="仿宋_GB2312" w:hAnsi="仿宋_GB2312" w:cs="仿宋_GB2312" w:eastAsia="仿宋_GB2312"/>
                <w:sz w:val="24"/>
              </w:rPr>
              <w:t>其他</w:t>
            </w:r>
            <w:r>
              <w:rPr>
                <w:rFonts w:ascii="仿宋_GB2312" w:hAnsi="仿宋_GB2312" w:cs="仿宋_GB2312" w:eastAsia="仿宋_GB2312"/>
                <w:sz w:val="24"/>
              </w:rPr>
              <w:t>服务：根据招标人的要求，为加班人员、会议等提供供餐服务；根据节日、季节等因素，推出特色菜品和活动，丰富就餐人员的饮食文化生活。</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食堂食材采购</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投标人按要求把商品配送到招标人指定地点后，招标人应及时安排人员对货物进行验收并办理相关入库手续。</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投标人配送的商品不新鲜、数量不足或不按时配送时，招标人有权拒收，投标人每月出现配送的商品不新鲜、数量不足或者不按时配送的情况合计超过三次的，招标人有权终止合同，招标人因此遭受损失的，投标人应负责赔偿。</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投标人须按招标人的要求，对其供应配送的蔬菜、肉类以及其他鲜活农产品采购渠道及配送过程严把质量关，必须保证配送商品新鲜安全。如出现以次充好、以假乱真、缺斤少两、投机取巧等情况，招标人有权拒收投标人所配送的商品，所产生的损失由投标人自负。</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招标人每天晚上</w:t>
            </w:r>
            <w:r>
              <w:rPr>
                <w:rFonts w:ascii="仿宋_GB2312" w:hAnsi="仿宋_GB2312" w:cs="仿宋_GB2312" w:eastAsia="仿宋_GB2312"/>
                <w:sz w:val="24"/>
              </w:rPr>
              <w:t>9</w:t>
            </w:r>
            <w:r>
              <w:rPr>
                <w:rFonts w:ascii="仿宋_GB2312" w:hAnsi="仿宋_GB2312" w:cs="仿宋_GB2312" w:eastAsia="仿宋_GB2312"/>
                <w:sz w:val="24"/>
              </w:rPr>
              <w:t>点前提供次日需要投标人配送商品的采购清单。投标人在配送、卸载商品过程中所发生的一切费用，均由投标人负责。</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招标人验收前，投标人配送的商品的毁损灭失的风险均由投标人自行承担，招标人只按照配送时实际收到的合格的商品的实际数量进行验收，并以实际验收数量结算货款。当投标人实际交货数量达不到招标人的订购清单要求的数量时，招标人有权要求投标人立即补足。</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因季节性及台风等自然灾害，部分蔬菜的价格上涨幅度过大，投标人无法承担，需临时调整价格时，应先书面通知招标人，经双方协商确认后可短暂进行调整。待市场价格回落平稳后，投标人需及时调整商品配送价格。</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投标人保证所配送商品的所有权完全属于投标人且无任何担保、抵押，查封等权利瑕疵，如投标人所交付的商品有产权纠纷，视为投标人违约，投标人除了退还已付的权利瑕疵商品的货款外，还应负担招标人因此而产生的一切损失。</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center"/>
              <w:outlineLvl w:val="0"/>
            </w:pPr>
            <w:r>
              <w:rPr>
                <w:rFonts w:ascii="仿宋_GB2312" w:hAnsi="仿宋_GB2312" w:cs="仿宋_GB2312" w:eastAsia="仿宋_GB2312"/>
                <w:sz w:val="32"/>
                <w:b/>
              </w:rPr>
              <w:t>风险管控要求</w:t>
            </w:r>
          </w:p>
          <w:p>
            <w:pPr>
              <w:pStyle w:val="null3"/>
              <w:jc w:val="left"/>
            </w:pPr>
            <w:r>
              <w:rPr>
                <w:rFonts w:ascii="仿宋_GB2312" w:hAnsi="仿宋_GB2312" w:cs="仿宋_GB2312" w:eastAsia="仿宋_GB2312"/>
                <w:sz w:val="21"/>
              </w:rPr>
              <w:t>1.采购人对成交中标人配送的食品的质量、数量不符合文件要求的，有权拒收。</w:t>
            </w:r>
          </w:p>
          <w:p>
            <w:pPr>
              <w:pStyle w:val="null3"/>
              <w:jc w:val="left"/>
            </w:pPr>
            <w:r>
              <w:rPr>
                <w:rFonts w:ascii="仿宋_GB2312" w:hAnsi="仿宋_GB2312" w:cs="仿宋_GB2312" w:eastAsia="仿宋_GB2312"/>
                <w:sz w:val="21"/>
              </w:rPr>
              <w:t>2.发现任何质量问题，成交中标人需在30分钟以内作出答复，并妥善处理。无法在30分钟内解决的，应在1个小时内提供备用产品，使采购人能够正常使用。</w:t>
            </w:r>
          </w:p>
          <w:p>
            <w:pPr>
              <w:pStyle w:val="null3"/>
              <w:jc w:val="left"/>
            </w:pPr>
            <w:r>
              <w:rPr>
                <w:rFonts w:ascii="仿宋_GB2312" w:hAnsi="仿宋_GB2312" w:cs="仿宋_GB2312" w:eastAsia="仿宋_GB2312"/>
                <w:sz w:val="21"/>
              </w:rPr>
              <w:t>3.成交中标人提供的食品不符合卫生标准，若因食品质量原因引发食物中毒，成交中标人须承担全部经济损失和法律责任。</w:t>
            </w:r>
          </w:p>
          <w:p>
            <w:pPr>
              <w:pStyle w:val="null3"/>
              <w:jc w:val="left"/>
            </w:pPr>
            <w:r>
              <w:rPr>
                <w:rFonts w:ascii="仿宋_GB2312" w:hAnsi="仿宋_GB2312" w:cs="仿宋_GB2312" w:eastAsia="仿宋_GB2312"/>
                <w:sz w:val="21"/>
              </w:rPr>
              <w:t>4.因配送过程中出现人身等安全事故，中标人独立承担一切刑事、民事责任，与采购人无关。</w:t>
            </w:r>
          </w:p>
          <w:p>
            <w:pPr>
              <w:pStyle w:val="null3"/>
              <w:jc w:val="left"/>
            </w:pPr>
            <w:r>
              <w:rPr>
                <w:rFonts w:ascii="仿宋_GB2312" w:hAnsi="仿宋_GB2312" w:cs="仿宋_GB2312" w:eastAsia="仿宋_GB2312"/>
                <w:sz w:val="21"/>
              </w:rPr>
              <w:t>5.中标人应该按照采购人的要求，建立完整的各类物品追踪溯源体系，应当建立专门台账，按食品进货索证和台账登记本格式如实记录配送给采购人的各类物品，留存相关检验合格证明、资质证明、营业执照等有效资料，并可追踪溯源，采购人有权定期检查。</w:t>
            </w:r>
          </w:p>
          <w:p>
            <w:pPr>
              <w:pStyle w:val="null3"/>
              <w:jc w:val="left"/>
            </w:pPr>
            <w:r>
              <w:rPr>
                <w:rFonts w:ascii="仿宋_GB2312" w:hAnsi="仿宋_GB2312" w:cs="仿宋_GB2312" w:eastAsia="仿宋_GB2312"/>
                <w:sz w:val="21"/>
              </w:rPr>
              <w:t>6.采购人有权对中标人配送的各类物品自行或者委托第三方检测机构按国家有关标准进行检测，若检测不合格，采购人予以书面警告，并对该批货物予以没收销毁，不必退还中标人，防止二次流通至社会市场，由此产生的服务款项、销毁等一切费用由中标人承担。</w:t>
            </w:r>
          </w:p>
          <w:p>
            <w:pPr>
              <w:pStyle w:val="null3"/>
              <w:jc w:val="left"/>
            </w:pPr>
            <w:r>
              <w:rPr>
                <w:rFonts w:ascii="仿宋_GB2312" w:hAnsi="仿宋_GB2312" w:cs="仿宋_GB2312" w:eastAsia="仿宋_GB2312"/>
                <w:sz w:val="21"/>
              </w:rPr>
              <w:t>7.食堂所有工作人员必须持有有效的健康证明，定期进行健康检查。患有传染性疾病或其他有碍食品安全疾病的人员，不得从事该项工作。</w:t>
            </w:r>
          </w:p>
          <w:p>
            <w:pPr>
              <w:pStyle w:val="null3"/>
              <w:jc w:val="left"/>
            </w:pPr>
            <w:r>
              <w:rPr>
                <w:rFonts w:ascii="仿宋_GB2312" w:hAnsi="仿宋_GB2312" w:cs="仿宋_GB2312" w:eastAsia="仿宋_GB2312"/>
                <w:sz w:val="21"/>
              </w:rPr>
              <w:t>8.采购人与中标人提供服务的劳动者之间不存在劳动合同关系，中标人不得将对劳动者的法定义务转嫁于采购人。投标人负责服务人员的人身安全、健康、意外以及劳动争议等所有问题处置，承担所有人事风险责任（包括法律、经济赔偿责任）。</w:t>
            </w:r>
          </w:p>
          <w:p>
            <w:pPr>
              <w:pStyle w:val="null3"/>
              <w:jc w:val="left"/>
            </w:pPr>
            <w:r>
              <w:rPr>
                <w:rFonts w:ascii="仿宋_GB2312" w:hAnsi="仿宋_GB2312" w:cs="仿宋_GB2312" w:eastAsia="仿宋_GB2312"/>
                <w:sz w:val="21"/>
              </w:rPr>
              <w:t>9.中标人在服务期内由于管理不善造成群众、采购人等相关人员人身伤亡和财产损失的，由中标人负责赔偿。中标人所委派的工作人员在本项目范围内发生违法、违规行为的，所造成一切后果及损失，由中标人承担责任和负责赔偿。</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center"/>
              <w:outlineLvl w:val="0"/>
            </w:pPr>
            <w:r>
              <w:rPr>
                <w:rFonts w:ascii="仿宋_GB2312" w:hAnsi="仿宋_GB2312" w:cs="仿宋_GB2312" w:eastAsia="仿宋_GB2312"/>
                <w:sz w:val="32"/>
                <w:b/>
              </w:rPr>
              <w:t>履约验收要求</w:t>
            </w:r>
          </w:p>
          <w:p>
            <w:pPr>
              <w:pStyle w:val="null3"/>
              <w:jc w:val="left"/>
              <w:outlineLvl w:val="1"/>
            </w:pPr>
            <w:r>
              <w:rPr>
                <w:rFonts w:ascii="仿宋_GB2312" w:hAnsi="仿宋_GB2312" w:cs="仿宋_GB2312" w:eastAsia="仿宋_GB2312"/>
                <w:sz w:val="28"/>
                <w:b/>
                <w:i/>
              </w:rPr>
              <w:t>1总体要求</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验收名称</w:t>
                  </w:r>
                </w:p>
              </w:tc>
              <w:tc>
                <w:tcPr>
                  <w:tcW w:type="dxa" w:w="1276"/>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验收要求</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2次验收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3次验收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4次验收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5次验收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6次验收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7次验收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8次验收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bl>
          <w:p>
            <w:pPr>
              <w:pStyle w:val="null3"/>
              <w:jc w:val="left"/>
              <w:outlineLvl w:val="1"/>
            </w:pPr>
            <w:r>
              <w:rPr>
                <w:rFonts w:ascii="仿宋_GB2312" w:hAnsi="仿宋_GB2312" w:cs="仿宋_GB2312" w:eastAsia="仿宋_GB2312"/>
                <w:sz w:val="28"/>
                <w:b/>
                <w:i/>
              </w:rPr>
              <w:t>2具体要求</w:t>
            </w:r>
          </w:p>
          <w:p>
            <w:pPr>
              <w:pStyle w:val="null3"/>
              <w:jc w:val="left"/>
            </w:pPr>
            <w:r>
              <w:rPr>
                <w:rFonts w:ascii="仿宋_GB2312" w:hAnsi="仿宋_GB2312" w:cs="仿宋_GB2312" w:eastAsia="仿宋_GB2312"/>
                <w:sz w:val="22"/>
              </w:rPr>
              <w:t>（一）物业公司在服务过程中，中标方需按要求设置配足工作人员，如有空缺，招标方将按空缺人员工资标准金额进行费用扣除。</w:t>
            </w:r>
          </w:p>
          <w:p>
            <w:pPr>
              <w:pStyle w:val="null3"/>
              <w:jc w:val="left"/>
            </w:pPr>
            <w:r>
              <w:rPr>
                <w:rFonts w:ascii="仿宋_GB2312" w:hAnsi="仿宋_GB2312" w:cs="仿宋_GB2312" w:eastAsia="仿宋_GB2312"/>
                <w:sz w:val="22"/>
              </w:rPr>
              <w:t>（二）物业公司应制定符合招标方需求的物业服务各项工作的规范、流程等相关规章制度，提交招标方备案，并在履约过程中严格遵守相关规章制度。</w:t>
            </w:r>
          </w:p>
          <w:p>
            <w:pPr>
              <w:pStyle w:val="null3"/>
              <w:jc w:val="left"/>
            </w:pPr>
            <w:r>
              <w:rPr>
                <w:rFonts w:ascii="仿宋_GB2312" w:hAnsi="仿宋_GB2312" w:cs="仿宋_GB2312" w:eastAsia="仿宋_GB2312"/>
                <w:sz w:val="22"/>
              </w:rPr>
              <w:t>（三）对物业公司的物业管理内容及服务质量每季度进行一次满意度评价，考评应客观、公正，并有事实依据。</w:t>
            </w:r>
          </w:p>
          <w:p>
            <w:pPr>
              <w:pStyle w:val="null3"/>
              <w:jc w:val="left"/>
            </w:pPr>
            <w:r>
              <w:rPr>
                <w:rFonts w:ascii="仿宋_GB2312" w:hAnsi="仿宋_GB2312" w:cs="仿宋_GB2312" w:eastAsia="仿宋_GB2312"/>
                <w:sz w:val="22"/>
              </w:rPr>
              <w:t>（四）招标方对中标方每季度进行综合考核，并对考评情况评分。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服务期限：自合同签订之日起满2年。</w:t>
            </w:r>
          </w:p>
          <w:p>
            <w:pPr>
              <w:pStyle w:val="null3"/>
              <w:jc w:val="left"/>
            </w:pPr>
            <w:r>
              <w:rPr>
                <w:rFonts w:ascii="仿宋_GB2312" w:hAnsi="仿宋_GB2312" w:cs="仿宋_GB2312" w:eastAsia="仿宋_GB2312"/>
              </w:rPr>
              <w:t>服务地点：国家税务总局澄迈县税务局金马办公区、文化北办公区、立新路办公区以及华成路等4个办公区（含办公楼、设备房及附属办公大院）区域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509.322895</w:t>
            </w:r>
            <w:r>
              <w:rPr>
                <w:rFonts w:ascii="仿宋_GB2312" w:hAnsi="仿宋_GB2312" w:cs="仿宋_GB2312" w:eastAsia="仿宋_GB2312"/>
                <w:sz w:val="28"/>
                <w:b/>
              </w:rPr>
              <w:t>万元（报价不得超过采购预算）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center"/>
              <w:outlineLvl w:val="0"/>
            </w:pPr>
            <w:r>
              <w:rPr>
                <w:rFonts w:ascii="仿宋_GB2312" w:hAnsi="仿宋_GB2312" w:cs="仿宋_GB2312" w:eastAsia="仿宋_GB2312"/>
                <w:sz w:val="32"/>
                <w:b/>
              </w:rPr>
              <w:t>履约验收要求</w:t>
            </w:r>
          </w:p>
          <w:p>
            <w:pPr>
              <w:pStyle w:val="null3"/>
              <w:jc w:val="left"/>
              <w:outlineLvl w:val="1"/>
            </w:pPr>
            <w:r>
              <w:rPr>
                <w:rFonts w:ascii="仿宋_GB2312" w:hAnsi="仿宋_GB2312" w:cs="仿宋_GB2312" w:eastAsia="仿宋_GB2312"/>
                <w:sz w:val="28"/>
                <w:b/>
                <w:i/>
              </w:rPr>
              <w:t>1总体要求</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验收名称</w:t>
                  </w:r>
                </w:p>
              </w:tc>
              <w:tc>
                <w:tcPr>
                  <w:tcW w:type="dxa" w:w="1276"/>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验收要求</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2次验收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3次验收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4次验收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5次验收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6次验收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7次验收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8次验收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bl>
          <w:p>
            <w:pPr>
              <w:pStyle w:val="null3"/>
              <w:jc w:val="left"/>
              <w:outlineLvl w:val="1"/>
            </w:pPr>
            <w:r>
              <w:rPr>
                <w:rFonts w:ascii="仿宋_GB2312" w:hAnsi="仿宋_GB2312" w:cs="仿宋_GB2312" w:eastAsia="仿宋_GB2312"/>
                <w:sz w:val="28"/>
                <w:b/>
                <w:i/>
              </w:rPr>
              <w:t>2具体要求</w:t>
            </w:r>
          </w:p>
          <w:p>
            <w:pPr>
              <w:pStyle w:val="null3"/>
              <w:ind w:firstLine="210"/>
              <w:jc w:val="both"/>
            </w:pPr>
            <w:r>
              <w:rPr>
                <w:rFonts w:ascii="仿宋_GB2312" w:hAnsi="仿宋_GB2312" w:cs="仿宋_GB2312" w:eastAsia="仿宋_GB2312"/>
                <w:sz w:val="21"/>
              </w:rPr>
              <w:t>（一）采购人有权根据中标人的配送食材质量、服务质量、响应及时程度等情况终止其供货资格。</w:t>
            </w:r>
          </w:p>
          <w:p>
            <w:pPr>
              <w:pStyle w:val="null3"/>
              <w:ind w:firstLine="210"/>
              <w:jc w:val="both"/>
            </w:pPr>
            <w:r>
              <w:rPr>
                <w:rFonts w:ascii="仿宋_GB2312" w:hAnsi="仿宋_GB2312" w:cs="仿宋_GB2312" w:eastAsia="仿宋_GB2312"/>
                <w:sz w:val="21"/>
              </w:rPr>
              <w:t>（二）采购人提出存在的问题作出响应并实施整改，若不改正，采购人有权终止其供货资格。</w:t>
            </w:r>
          </w:p>
          <w:p>
            <w:pPr>
              <w:pStyle w:val="null3"/>
              <w:ind w:firstLine="210"/>
              <w:jc w:val="both"/>
            </w:pPr>
            <w:r>
              <w:rPr>
                <w:rFonts w:ascii="仿宋_GB2312" w:hAnsi="仿宋_GB2312" w:cs="仿宋_GB2312" w:eastAsia="仿宋_GB2312"/>
                <w:sz w:val="21"/>
              </w:rPr>
              <w:t>（三）</w:t>
            </w:r>
            <w:r>
              <w:rPr>
                <w:rFonts w:ascii="仿宋_GB2312" w:hAnsi="仿宋_GB2312" w:cs="仿宋_GB2312" w:eastAsia="仿宋_GB2312"/>
                <w:sz w:val="21"/>
              </w:rPr>
              <w:t>考核标准：采购人在服务期限内按季度对中标人实行考核制度</w:t>
            </w:r>
            <w:r>
              <w:rPr>
                <w:rFonts w:ascii="仿宋_GB2312" w:hAnsi="仿宋_GB2312" w:cs="仿宋_GB2312" w:eastAsia="仿宋_GB2312"/>
                <w:sz w:val="21"/>
              </w:rPr>
              <w:t>1. 中标人单次综合考核在80～90分，采购人将对乙方作出警告处理，中标人连续两次受到警告处理的，采购人有权在食堂服务费中扣减第二次考核期服务费2000元；2. 中标人单次综合考核在低于80分，采购人有权在食堂服务费中扣减2000元；3.中标人连续两次综合考核低于80分 （不含），采购人有权终止合同，且不予中标人任何补偿。</w:t>
            </w:r>
          </w:p>
          <w:p>
            <w:pPr>
              <w:pStyle w:val="null3"/>
              <w:ind w:firstLine="210"/>
              <w:jc w:val="both"/>
            </w:pPr>
            <w:r>
              <w:rPr>
                <w:rFonts w:ascii="仿宋_GB2312" w:hAnsi="仿宋_GB2312" w:cs="仿宋_GB2312" w:eastAsia="仿宋_GB2312"/>
                <w:sz w:val="21"/>
              </w:rPr>
              <w:t>（四）</w:t>
            </w:r>
          </w:p>
          <w:p>
            <w:pPr>
              <w:pStyle w:val="null3"/>
              <w:ind w:firstLine="210"/>
              <w:jc w:val="center"/>
            </w:pPr>
            <w:r>
              <w:rPr>
                <w:rFonts w:ascii="仿宋_GB2312" w:hAnsi="仿宋_GB2312" w:cs="仿宋_GB2312" w:eastAsia="仿宋_GB2312"/>
                <w:sz w:val="21"/>
              </w:rPr>
              <w:t>食堂验收评分表</w:t>
            </w:r>
          </w:p>
          <w:p>
            <w:pPr>
              <w:pStyle w:val="null3"/>
              <w:ind w:firstLine="480"/>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53"/>
              <w:gridCol w:w="312"/>
              <w:gridCol w:w="1405"/>
              <w:gridCol w:w="388"/>
              <w:gridCol w:w="531"/>
            </w:tblGrid>
            <w:tr>
              <w:tc>
                <w:tcPr>
                  <w:tcW w:type="dxa" w:w="253"/>
                  <w:tcBorders>
                    <w:top w:val="single" w:color="000000" w:sz="4"/>
                    <w:left w:val="single" w:color="000000" w:sz="4"/>
                    <w:bottom w:val="single" w:color="000000" w:sz="4"/>
                    <w:right w:val="single" w:color="00000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序号</w:t>
                  </w:r>
                </w:p>
              </w:tc>
              <w:tc>
                <w:tcPr>
                  <w:tcW w:type="dxa" w:w="312"/>
                  <w:tcBorders>
                    <w:top w:val="single" w:color="808080" w:sz="4"/>
                    <w:left w:val="none" w:color="000000" w:sz="4"/>
                    <w:bottom w:val="single" w:color="808080" w:sz="4"/>
                    <w:right w:val="single" w:color="808080" w:sz="4"/>
                  </w:tcBorders>
                  <w:tcMar>
                    <w:top w:type="dxa" w:w="0"/>
                    <w:left w:type="dxa" w:w="120"/>
                    <w:bottom w:type="dxa" w:w="0"/>
                    <w:right w:type="dxa" w:w="135"/>
                  </w:tcMar>
                  <w:vAlign w:val="top"/>
                </w:tcPr>
                <w:p>
                  <w:pPr>
                    <w:pStyle w:val="null3"/>
                    <w:spacing w:after="240"/>
                    <w:jc w:val="center"/>
                  </w:pPr>
                  <w:r>
                    <w:rPr>
                      <w:rFonts w:ascii="仿宋_GB2312" w:hAnsi="仿宋_GB2312" w:cs="仿宋_GB2312" w:eastAsia="仿宋_GB2312"/>
                      <w:sz w:val="21"/>
                      <w:color w:val="000000"/>
                    </w:rPr>
                    <w:t>考核</w:t>
                  </w:r>
                </w:p>
                <w:p>
                  <w:pPr>
                    <w:pStyle w:val="null3"/>
                    <w:spacing w:before="240"/>
                    <w:jc w:val="center"/>
                  </w:pPr>
                  <w:r>
                    <w:rPr>
                      <w:rFonts w:ascii="仿宋_GB2312" w:hAnsi="仿宋_GB2312" w:cs="仿宋_GB2312" w:eastAsia="仿宋_GB2312"/>
                      <w:sz w:val="21"/>
                      <w:color w:val="000000"/>
                    </w:rPr>
                    <w:t>项目</w:t>
                  </w:r>
                </w:p>
              </w:tc>
              <w:tc>
                <w:tcPr>
                  <w:tcW w:type="dxa" w:w="1405"/>
                  <w:tcBorders>
                    <w:top w:val="single" w:color="80808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考核标准</w:t>
                  </w:r>
                </w:p>
              </w:tc>
              <w:tc>
                <w:tcPr>
                  <w:tcW w:type="dxa" w:w="388"/>
                  <w:tcBorders>
                    <w:top w:val="single" w:color="80808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标准分</w:t>
                  </w:r>
                </w:p>
              </w:tc>
              <w:tc>
                <w:tcPr>
                  <w:tcW w:type="dxa" w:w="531"/>
                  <w:tcBorders>
                    <w:top w:val="single" w:color="80808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评分标准</w:t>
                  </w:r>
                </w:p>
              </w:tc>
            </w:tr>
            <w:tr>
              <w:tc>
                <w:tcPr>
                  <w:tcW w:type="dxa" w:w="253"/>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1</w:t>
                  </w:r>
                </w:p>
              </w:tc>
              <w:tc>
                <w:tcPr>
                  <w:tcW w:type="dxa" w:w="312"/>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员工管理</w:t>
                  </w: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出勤：按服务标准设定的岗位及需要时段的排班表，确保相关人员到岗，缺岗的扣分</w:t>
                  </w:r>
                </w:p>
              </w:tc>
              <w:tc>
                <w:tcPr>
                  <w:tcW w:type="dxa" w:w="388"/>
                  <w:vMerge w:val="restart"/>
                  <w:tcBorders>
                    <w:top w:val="none" w:color="000000" w:sz="4"/>
                    <w:left w:val="none" w:color="000000" w:sz="4"/>
                    <w:bottom w:val="none" w:color="000000" w:sz="4"/>
                    <w:right w:val="single" w:color="808080" w:sz="4"/>
                  </w:tcBorders>
                  <w:shd w:fill="FFFFFF"/>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10分</w:t>
                  </w: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着装规范：所有工作人员按规定着装，必须做到服装整洁，对熟食品操作、传菜及服务人员还需戴口罩，未到位的扣分</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仪表规范：女员工允许化淡妆，不准使用怪异或浓烈的香水，面容整洁，头型按规定梳理；男不留长发，不许留胡须。不准佩戴首饰。不留长指甲，不允许涂指甲油</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操作规范：服务人员仪态端庄，微笑热情，耐心细致，不得与就餐人员发生争执</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所有人员必须持有效证件及健康证上岗</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2</w:t>
                  </w:r>
                </w:p>
              </w:tc>
              <w:tc>
                <w:tcPr>
                  <w:tcW w:type="dxa" w:w="312"/>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服务质量管理</w:t>
                  </w: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餐前按服务标准做好准备工作</w:t>
                  </w:r>
                </w:p>
              </w:tc>
              <w:tc>
                <w:tcPr>
                  <w:tcW w:type="dxa" w:w="388"/>
                  <w:vMerge w:val="restart"/>
                  <w:tcBorders>
                    <w:top w:val="none" w:color="000000" w:sz="4"/>
                    <w:left w:val="none" w:color="000000" w:sz="4"/>
                    <w:bottom w:val="none" w:color="000000" w:sz="4"/>
                    <w:right w:val="single" w:color="808080" w:sz="4"/>
                  </w:tcBorders>
                  <w:shd w:fill="FFFFFF"/>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10分</w:t>
                  </w: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开餐时及时清理售餐台、餐桌上的菜汤和残食，清理地面水渍、汤等污渍，不留积水与污渍保证售餐台和餐厅地面保持清洁</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保证营业时间，保证饭菜供应，不得出现断供情况，按实际需求做好饭菜保温工作</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开餐后按服务标准做好整理工作</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用餐结束后及时清理售餐台、餐桌上的菜汤和残食，清理地面水渍、汤等污渍，不留积水与污渍保证售餐台和餐厅地面保持清洁</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253"/>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3</w:t>
                  </w:r>
                </w:p>
              </w:tc>
              <w:tc>
                <w:tcPr>
                  <w:tcW w:type="dxa" w:w="312"/>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后厨操作管理</w:t>
                  </w: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提前对每天就餐人数进行合理估算，做好供餐计划</w:t>
                  </w:r>
                </w:p>
              </w:tc>
              <w:tc>
                <w:tcPr>
                  <w:tcW w:type="dxa" w:w="388"/>
                  <w:vMerge w:val="restart"/>
                  <w:tcBorders>
                    <w:top w:val="none" w:color="000000" w:sz="4"/>
                    <w:left w:val="none" w:color="000000" w:sz="4"/>
                    <w:bottom w:val="none" w:color="000000" w:sz="4"/>
                    <w:right w:val="single" w:color="808080" w:sz="4"/>
                  </w:tcBorders>
                  <w:shd w:fill="FFFFFF"/>
                  <w:tcMar>
                    <w:top w:type="dxa" w:w="0"/>
                    <w:left w:type="dxa" w:w="15"/>
                    <w:bottom w:type="dxa" w:w="0"/>
                    <w:right w:type="dxa" w:w="30"/>
                  </w:tcMar>
                  <w:vAlign w:val="top"/>
                </w:tcPr>
                <w:p>
                  <w:pPr>
                    <w:pStyle w:val="null3"/>
                    <w:jc w:val="center"/>
                  </w:pPr>
                  <w:r>
                    <w:rPr>
                      <w:rFonts w:ascii="仿宋_GB2312" w:hAnsi="仿宋_GB2312" w:cs="仿宋_GB2312" w:eastAsia="仿宋_GB2312"/>
                      <w:sz w:val="21"/>
                      <w:color w:val="000000"/>
                    </w:rPr>
                    <w:t>10分</w:t>
                  </w:r>
                </w:p>
              </w:tc>
              <w:tc>
                <w:tcPr>
                  <w:tcW w:type="dxa" w:w="531"/>
                  <w:tcBorders>
                    <w:top w:val="none" w:color="000000" w:sz="4"/>
                    <w:left w:val="none" w:color="000000" w:sz="4"/>
                    <w:bottom w:val="single" w:color="808080" w:sz="4"/>
                    <w:right w:val="single" w:color="808080" w:sz="4"/>
                  </w:tcBorders>
                  <w:shd w:fill="FFFFFF"/>
                  <w:tcMar>
                    <w:top w:type="dxa" w:w="0"/>
                    <w:left w:type="dxa" w:w="15"/>
                    <w:bottom w:type="dxa" w:w="0"/>
                    <w:right w:type="dxa" w:w="30"/>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按照菜谱提供饭菜，不得擅自变更</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验收时做到专人验收，不得营私舞弊</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泔水、垃圾等废弃物当餐必须清除，废弃物存放在垃圾通道指定位置并盖好，不得有不良气味或有害（有毒）气体溢出，采取应急措施并立即上报</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仓库服务标准摆放整齐，调物料分开，存储量符合库房管理要求</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按服务标准做好所有用具复位工作</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4</w:t>
                  </w:r>
                </w:p>
              </w:tc>
              <w:tc>
                <w:tcPr>
                  <w:tcW w:type="dxa" w:w="312"/>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安全卫生管理</w:t>
                  </w: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按服务标准做到：生熟炊具应分开存放、分开使用；待加工食品与直接入口食品、原料与成品应分开放置</w:t>
                  </w:r>
                </w:p>
              </w:tc>
              <w:tc>
                <w:tcPr>
                  <w:tcW w:type="dxa" w:w="388"/>
                  <w:vMerge w:val="restart"/>
                  <w:tcBorders>
                    <w:top w:val="none" w:color="000000" w:sz="4"/>
                    <w:left w:val="none" w:color="000000" w:sz="4"/>
                    <w:bottom w:val="none" w:color="000000" w:sz="4"/>
                    <w:right w:val="single" w:color="808080" w:sz="4"/>
                  </w:tcBorders>
                  <w:shd w:fill="FFFFFF"/>
                  <w:tcMar>
                    <w:top w:type="dxa" w:w="0"/>
                    <w:left w:type="dxa" w:w="15"/>
                    <w:bottom w:type="dxa" w:w="0"/>
                    <w:right w:type="dxa" w:w="30"/>
                  </w:tcMar>
                  <w:vAlign w:val="top"/>
                </w:tcPr>
                <w:p>
                  <w:pPr>
                    <w:pStyle w:val="null3"/>
                    <w:jc w:val="center"/>
                  </w:pPr>
                  <w:r>
                    <w:rPr>
                      <w:rFonts w:ascii="仿宋_GB2312" w:hAnsi="仿宋_GB2312" w:cs="仿宋_GB2312" w:eastAsia="仿宋_GB2312"/>
                      <w:sz w:val="21"/>
                      <w:color w:val="000000"/>
                    </w:rPr>
                    <w:t>10分</w:t>
                  </w:r>
                </w:p>
              </w:tc>
              <w:tc>
                <w:tcPr>
                  <w:tcW w:type="dxa" w:w="531"/>
                  <w:tcBorders>
                    <w:top w:val="none" w:color="000000" w:sz="4"/>
                    <w:left w:val="none" w:color="000000" w:sz="4"/>
                    <w:bottom w:val="single" w:color="808080" w:sz="4"/>
                    <w:right w:val="single" w:color="808080" w:sz="4"/>
                  </w:tcBorders>
                  <w:shd w:fill="FFFFFF"/>
                  <w:tcMar>
                    <w:top w:type="dxa" w:w="0"/>
                    <w:left w:type="dxa" w:w="15"/>
                    <w:bottom w:type="dxa" w:w="0"/>
                    <w:right w:type="dxa" w:w="30"/>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所有餐具（调羹、味碟、盘子、饭碗）干净无水渍，每日消毒工作规范，消毒记录完整</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食品加工安全，留样齐全，记录完整，无中毒事件发生，无三无产品和过期食品</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营业区无苍蝇蚊子，消杀记录完整。</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食堂工作人员有发热、腹泻、皮肤伤口或感染、咽部炎症等有碍食品卫生病症的，应立即调离工作岗位</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按要求做好垃圾分类工作，推进垃圾减量</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253"/>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5</w:t>
                  </w:r>
                </w:p>
              </w:tc>
              <w:tc>
                <w:tcPr>
                  <w:tcW w:type="dxa" w:w="312"/>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节能管理</w:t>
                  </w: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电源设备按规定开启、关闭</w:t>
                  </w:r>
                </w:p>
              </w:tc>
              <w:tc>
                <w:tcPr>
                  <w:tcW w:type="dxa" w:w="388"/>
                  <w:vMerge w:val="restart"/>
                  <w:tcBorders>
                    <w:top w:val="none" w:color="000000" w:sz="4"/>
                    <w:left w:val="none" w:color="000000" w:sz="4"/>
                    <w:bottom w:val="none" w:color="000000" w:sz="4"/>
                    <w:right w:val="single" w:color="808080" w:sz="4"/>
                  </w:tcBorders>
                  <w:shd w:fill="FFFFFF"/>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10分</w:t>
                  </w: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水源按规定开启、关闭</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空调按规定开启、关闭；电视按规定时间频道播放</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制止餐饮浪费工作不力</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253"/>
                  <w:tcBorders>
                    <w:top w:val="none" w:color="000000" w:sz="4"/>
                    <w:left w:val="single" w:color="808080" w:sz="4"/>
                    <w:bottom w:val="single" w:color="80808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6</w:t>
                  </w:r>
                </w:p>
              </w:tc>
              <w:tc>
                <w:tcPr>
                  <w:tcW w:type="dxa" w:w="312"/>
                  <w:tcBorders>
                    <w:top w:val="none" w:color="000000" w:sz="4"/>
                    <w:left w:val="none" w:color="000000" w:sz="4"/>
                    <w:bottom w:val="single" w:color="80808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满意度情况</w:t>
                  </w: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采购人员工满意度考评情况依次为：非常满意（</w:t>
                  </w:r>
                  <w:r>
                    <w:rPr>
                      <w:rFonts w:ascii="仿宋_GB2312" w:hAnsi="仿宋_GB2312" w:cs="仿宋_GB2312" w:eastAsia="仿宋_GB2312"/>
                      <w:sz w:val="21"/>
                      <w:color w:val="000000"/>
                    </w:rPr>
                    <w:t>100分）、比较满意（90分） 、基本满意（80分）、一般满意（70分）、较差（50分）。供应商每个季度进行一次满意度调查，就餐人员调查人数应不小于45人。</w:t>
                  </w:r>
                </w:p>
              </w:tc>
              <w:tc>
                <w:tcPr>
                  <w:tcW w:type="dxa" w:w="388"/>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45分</w:t>
                  </w:r>
                </w:p>
              </w:tc>
              <w:tc>
                <w:tcPr>
                  <w:tcW w:type="dxa" w:w="53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以</w:t>
                  </w:r>
                  <w:r>
                    <w:rPr>
                      <w:rFonts w:ascii="仿宋_GB2312" w:hAnsi="仿宋_GB2312" w:cs="仿宋_GB2312" w:eastAsia="仿宋_GB2312"/>
                      <w:sz w:val="21"/>
                      <w:color w:val="000000"/>
                    </w:rPr>
                    <w:t>45人为标准，每1人评一般满意扣1分、较差扣2分，最高扣分不超过45分</w:t>
                  </w:r>
                </w:p>
              </w:tc>
            </w:tr>
            <w:tr>
              <w:tc>
                <w:tcPr>
                  <w:tcW w:type="dxa" w:w="253"/>
                  <w:tcBorders>
                    <w:top w:val="none" w:color="000000" w:sz="4"/>
                    <w:left w:val="single" w:color="808080" w:sz="4"/>
                    <w:bottom w:val="single" w:color="80808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7</w:t>
                  </w:r>
                </w:p>
              </w:tc>
              <w:tc>
                <w:tcPr>
                  <w:tcW w:type="dxa" w:w="1717"/>
                  <w:gridSpan w:val="2"/>
                  <w:tcBorders>
                    <w:top w:val="none" w:color="000000" w:sz="4"/>
                    <w:left w:val="none" w:color="000000" w:sz="4"/>
                    <w:bottom w:val="single" w:color="808080" w:sz="4"/>
                    <w:right w:val="single" w:color="80808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干部职工反映过的相关问题，后续是否得到有效整改</w:t>
                  </w:r>
                </w:p>
              </w:tc>
              <w:tc>
                <w:tcPr>
                  <w:tcW w:type="dxa" w:w="388"/>
                  <w:tcBorders>
                    <w:top w:val="none" w:color="000000" w:sz="4"/>
                    <w:left w:val="none" w:color="000000" w:sz="4"/>
                    <w:bottom w:val="single" w:color="808080" w:sz="4"/>
                    <w:right w:val="single" w:color="80808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5分</w:t>
                  </w:r>
                </w:p>
              </w:tc>
              <w:tc>
                <w:tcPr>
                  <w:tcW w:type="dxa" w:w="531"/>
                  <w:tcBorders>
                    <w:top w:val="none" w:color="000000" w:sz="4"/>
                    <w:left w:val="none" w:color="000000" w:sz="4"/>
                    <w:bottom w:val="single" w:color="808080" w:sz="4"/>
                    <w:right w:val="single" w:color="808080" w:sz="4"/>
                  </w:tcBorders>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视情相应扣分</w:t>
                  </w:r>
                </w:p>
              </w:tc>
            </w:tr>
            <w:tr>
              <w:tc>
                <w:tcPr>
                  <w:tcW w:type="dxa" w:w="253"/>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8</w:t>
                  </w:r>
                </w:p>
              </w:tc>
              <w:tc>
                <w:tcPr>
                  <w:tcW w:type="dxa" w:w="312"/>
                  <w:vMerge w:val="restart"/>
                  <w:tcBorders>
                    <w:top w:val="none" w:color="000000" w:sz="4"/>
                    <w:left w:val="none" w:color="000000" w:sz="4"/>
                    <w:bottom w:val="none" w:color="000000" w:sz="4"/>
                    <w:right w:val="single" w:color="808080" w:sz="4"/>
                  </w:tcBorders>
                  <w:tcMar>
                    <w:top w:type="dxa" w:w="0"/>
                    <w:left w:type="dxa" w:w="120"/>
                    <w:bottom w:type="dxa" w:w="0"/>
                    <w:right w:type="dxa" w:w="120"/>
                  </w:tcMar>
                  <w:vAlign w:val="top"/>
                </w:tcPr>
                <w:p>
                  <w:pPr>
                    <w:pStyle w:val="null3"/>
                    <w:spacing w:after="240"/>
                    <w:jc w:val="center"/>
                  </w:pPr>
                  <w:r>
                    <w:rPr>
                      <w:rFonts w:ascii="仿宋_GB2312" w:hAnsi="仿宋_GB2312" w:cs="仿宋_GB2312" w:eastAsia="仿宋_GB2312"/>
                      <w:sz w:val="21"/>
                      <w:color w:val="000000"/>
                    </w:rPr>
                    <w:t>加分</w:t>
                  </w:r>
                </w:p>
                <w:p>
                  <w:pPr>
                    <w:pStyle w:val="null3"/>
                    <w:spacing w:before="240"/>
                    <w:jc w:val="center"/>
                  </w:pPr>
                  <w:r>
                    <w:rPr>
                      <w:rFonts w:ascii="仿宋_GB2312" w:hAnsi="仿宋_GB2312" w:cs="仿宋_GB2312" w:eastAsia="仿宋_GB2312"/>
                      <w:sz w:val="21"/>
                      <w:color w:val="000000"/>
                    </w:rPr>
                    <w:t>项</w:t>
                  </w: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left"/>
                  </w:pPr>
                  <w:r>
                    <w:rPr>
                      <w:rFonts w:ascii="仿宋_GB2312" w:hAnsi="仿宋_GB2312" w:cs="仿宋_GB2312" w:eastAsia="仿宋_GB2312"/>
                      <w:sz w:val="21"/>
                      <w:color w:val="000000"/>
                    </w:rPr>
                    <w:t>突发情况处置得力，表现突出的</w:t>
                  </w:r>
                </w:p>
              </w:tc>
              <w:tc>
                <w:tcPr>
                  <w:tcW w:type="dxa" w:w="388"/>
                  <w:vMerge w:val="restart"/>
                  <w:tcBorders>
                    <w:top w:val="none" w:color="000000" w:sz="4"/>
                    <w:left w:val="none" w:color="000000" w:sz="4"/>
                    <w:bottom w:val="none" w:color="000000" w:sz="4"/>
                    <w:right w:val="single" w:color="808080" w:sz="4"/>
                  </w:tcBorders>
                  <w:tcMar>
                    <w:top w:type="dxa" w:w="0"/>
                    <w:left w:type="dxa" w:w="120"/>
                    <w:bottom w:type="dxa" w:w="0"/>
                    <w:right w:type="dxa" w:w="120"/>
                  </w:tcMar>
                  <w:vAlign w:val="top"/>
                </w:tcPr>
                <w:p>
                  <w:pPr>
                    <w:pStyle w:val="null3"/>
                    <w:jc w:val="left"/>
                  </w:pPr>
                  <w:r>
                    <w:rPr>
                      <w:rFonts w:ascii="仿宋_GB2312" w:hAnsi="仿宋_GB2312" w:cs="仿宋_GB2312" w:eastAsia="仿宋_GB2312"/>
                    </w:rPr>
                    <w:t xml:space="preserve"> </w:t>
                  </w:r>
                </w:p>
              </w:tc>
              <w:tc>
                <w:tcPr>
                  <w:tcW w:type="dxa" w:w="531"/>
                  <w:tcBorders>
                    <w:top w:val="single" w:color="808080" w:sz="4"/>
                    <w:left w:val="none" w:color="000000" w:sz="4"/>
                    <w:bottom w:val="single" w:color="808080" w:sz="4"/>
                    <w:right w:val="single" w:color="808080" w:sz="4"/>
                  </w:tcBorders>
                  <w:tcMar>
                    <w:top w:type="dxa" w:w="0"/>
                    <w:left w:type="dxa" w:w="120"/>
                    <w:bottom w:type="dxa" w:w="0"/>
                    <w:right w:type="dxa" w:w="135"/>
                  </w:tcMar>
                  <w:vAlign w:val="top"/>
                </w:tcPr>
                <w:p>
                  <w:pPr>
                    <w:pStyle w:val="null3"/>
                    <w:jc w:val="left"/>
                  </w:pPr>
                  <w:r>
                    <w:rPr>
                      <w:rFonts w:ascii="仿宋_GB2312" w:hAnsi="仿宋_GB2312" w:cs="仿宋_GB2312" w:eastAsia="仿宋_GB2312"/>
                      <w:sz w:val="21"/>
                      <w:color w:val="000000"/>
                    </w:rPr>
                    <w:t>按次加</w:t>
                  </w:r>
                  <w:r>
                    <w:rPr>
                      <w:rFonts w:ascii="仿宋_GB2312" w:hAnsi="仿宋_GB2312" w:cs="仿宋_GB2312" w:eastAsia="仿宋_GB2312"/>
                      <w:sz w:val="21"/>
                      <w:color w:val="000000"/>
                    </w:rPr>
                    <w:t>0.5-1分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left"/>
                  </w:pPr>
                  <w:r>
                    <w:rPr>
                      <w:rFonts w:ascii="仿宋_GB2312" w:hAnsi="仿宋_GB2312" w:cs="仿宋_GB2312" w:eastAsia="仿宋_GB2312"/>
                      <w:sz w:val="21"/>
                      <w:color w:val="000000"/>
                    </w:rPr>
                    <w:t>在各种比赛或是评奖中荣获荣誉的；在服务工作中表现突出受到有效表扬的</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tcMar>
                    <w:top w:type="dxa" w:w="0"/>
                    <w:left w:type="dxa" w:w="120"/>
                    <w:bottom w:type="dxa" w:w="0"/>
                    <w:right w:type="dxa" w:w="135"/>
                  </w:tcMar>
                  <w:vAlign w:val="top"/>
                </w:tcPr>
                <w:p>
                  <w:pPr>
                    <w:pStyle w:val="null3"/>
                    <w:jc w:val="left"/>
                  </w:pPr>
                  <w:r>
                    <w:rPr>
                      <w:rFonts w:ascii="仿宋_GB2312" w:hAnsi="仿宋_GB2312" w:cs="仿宋_GB2312" w:eastAsia="仿宋_GB2312"/>
                      <w:sz w:val="21"/>
                      <w:color w:val="000000"/>
                    </w:rPr>
                    <w:t>按次加</w:t>
                  </w:r>
                  <w:r>
                    <w:rPr>
                      <w:rFonts w:ascii="仿宋_GB2312" w:hAnsi="仿宋_GB2312" w:cs="仿宋_GB2312" w:eastAsia="仿宋_GB2312"/>
                      <w:sz w:val="21"/>
                      <w:color w:val="000000"/>
                    </w:rPr>
                    <w:t>0.5-1分</w:t>
                  </w:r>
                </w:p>
              </w:tc>
            </w:tr>
            <w:tr>
              <w:tc>
                <w:tcPr>
                  <w:tcW w:type="dxa" w:w="253"/>
                  <w:vMerge/>
                  <w:tcBorders>
                    <w:top w:val="none" w:color="000000" w:sz="4"/>
                    <w:left w:val="single" w:color="808080" w:sz="4"/>
                    <w:bottom w:val="none" w:color="000000" w:sz="4"/>
                    <w:right w:val="single" w:color="808080" w:sz="4"/>
                  </w:tcBorders>
                </w:tcPr>
                <w:p/>
              </w:tc>
              <w:tc>
                <w:tcPr>
                  <w:tcW w:type="dxa" w:w="312"/>
                  <w:vMerge/>
                  <w:tcBorders>
                    <w:top w:val="none" w:color="000000" w:sz="4"/>
                    <w:left w:val="none" w:color="000000" w:sz="4"/>
                    <w:bottom w:val="none" w:color="000000" w:sz="4"/>
                    <w:right w:val="single" w:color="808080" w:sz="4"/>
                  </w:tcBorders>
                </w:tcP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left"/>
                  </w:pPr>
                  <w:r>
                    <w:rPr>
                      <w:rFonts w:ascii="仿宋_GB2312" w:hAnsi="仿宋_GB2312" w:cs="仿宋_GB2312" w:eastAsia="仿宋_GB2312"/>
                      <w:sz w:val="21"/>
                      <w:color w:val="000000"/>
                    </w:rPr>
                    <w:t>合理化建议被采纳，为后勤管理带来明显效益的</w:t>
                  </w:r>
                </w:p>
              </w:tc>
              <w:tc>
                <w:tcPr>
                  <w:tcW w:type="dxa" w:w="388"/>
                  <w:vMerge/>
                  <w:tcBorders>
                    <w:top w:val="none" w:color="000000" w:sz="4"/>
                    <w:left w:val="none" w:color="000000" w:sz="4"/>
                    <w:bottom w:val="none" w:color="000000" w:sz="4"/>
                    <w:right w:val="single" w:color="808080" w:sz="4"/>
                  </w:tcBorders>
                </w:tcPr>
                <w:p/>
              </w:tc>
              <w:tc>
                <w:tcPr>
                  <w:tcW w:type="dxa" w:w="531"/>
                  <w:tcBorders>
                    <w:top w:val="none" w:color="000000" w:sz="4"/>
                    <w:left w:val="none" w:color="000000" w:sz="4"/>
                    <w:bottom w:val="single" w:color="808080" w:sz="4"/>
                    <w:right w:val="single" w:color="808080" w:sz="4"/>
                  </w:tcBorders>
                  <w:tcMar>
                    <w:top w:type="dxa" w:w="0"/>
                    <w:left w:type="dxa" w:w="120"/>
                    <w:bottom w:type="dxa" w:w="0"/>
                    <w:right w:type="dxa" w:w="135"/>
                  </w:tcMar>
                  <w:vAlign w:val="top"/>
                </w:tcPr>
                <w:p>
                  <w:pPr>
                    <w:pStyle w:val="null3"/>
                    <w:jc w:val="left"/>
                  </w:pPr>
                  <w:r>
                    <w:rPr>
                      <w:rFonts w:ascii="仿宋_GB2312" w:hAnsi="仿宋_GB2312" w:cs="仿宋_GB2312" w:eastAsia="仿宋_GB2312"/>
                      <w:sz w:val="21"/>
                      <w:color w:val="000000"/>
                    </w:rPr>
                    <w:t>按次加</w:t>
                  </w:r>
                  <w:r>
                    <w:rPr>
                      <w:rFonts w:ascii="仿宋_GB2312" w:hAnsi="仿宋_GB2312" w:cs="仿宋_GB2312" w:eastAsia="仿宋_GB2312"/>
                      <w:sz w:val="21"/>
                      <w:color w:val="000000"/>
                    </w:rPr>
                    <w:t>0.5-2分</w:t>
                  </w:r>
                </w:p>
              </w:tc>
            </w:tr>
            <w:tr>
              <w:tc>
                <w:tcPr>
                  <w:tcW w:type="dxa" w:w="565"/>
                  <w:gridSpan w:val="2"/>
                  <w:tcBorders>
                    <w:top w:val="none" w:color="000000" w:sz="4"/>
                    <w:left w:val="single" w:color="808080" w:sz="4"/>
                    <w:bottom w:val="single" w:color="80808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合计</w:t>
                  </w:r>
                </w:p>
              </w:tc>
              <w:tc>
                <w:tcPr>
                  <w:tcW w:type="dxa" w:w="1405"/>
                  <w:tcBorders>
                    <w:top w:val="none" w:color="000000" w:sz="4"/>
                    <w:left w:val="none" w:color="000000" w:sz="4"/>
                    <w:bottom w:val="single" w:color="808080" w:sz="4"/>
                    <w:right w:val="single" w:color="80808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rPr>
                    <w:t xml:space="preserve"> </w:t>
                  </w:r>
                </w:p>
              </w:tc>
              <w:tc>
                <w:tcPr>
                  <w:tcW w:type="dxa" w:w="388"/>
                  <w:tcBorders>
                    <w:top w:val="none" w:color="000000" w:sz="4"/>
                    <w:left w:val="none" w:color="000000" w:sz="4"/>
                    <w:bottom w:val="single" w:color="808080" w:sz="4"/>
                    <w:right w:val="single" w:color="80808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100分</w:t>
                  </w:r>
                </w:p>
              </w:tc>
              <w:tc>
                <w:tcPr>
                  <w:tcW w:type="dxa" w:w="531"/>
                  <w:tcBorders>
                    <w:top w:val="none" w:color="000000" w:sz="4"/>
                    <w:left w:val="none" w:color="000000" w:sz="4"/>
                    <w:bottom w:val="single" w:color="808080" w:sz="4"/>
                    <w:right w:val="single" w:color="808080" w:sz="4"/>
                  </w:tcBorders>
                  <w:tcMar>
                    <w:top w:type="dxa" w:w="0"/>
                    <w:left w:type="dxa" w:w="120"/>
                    <w:bottom w:type="dxa" w:w="0"/>
                    <w:right w:type="dxa" w:w="135"/>
                  </w:tcMar>
                  <w:vAlign w:val="top"/>
                </w:tcPr>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rPr>
              <w:t>（五）</w:t>
            </w:r>
          </w:p>
          <w:p>
            <w:pPr>
              <w:pStyle w:val="null3"/>
              <w:jc w:val="left"/>
            </w:pPr>
            <w:r>
              <w:rPr>
                <w:rFonts w:ascii="仿宋_GB2312" w:hAnsi="仿宋_GB2312" w:cs="仿宋_GB2312" w:eastAsia="仿宋_GB2312"/>
                <w:sz w:val="32"/>
                <w:color w:val="000000"/>
              </w:rPr>
              <w:t xml:space="preserve">                  满意度测评表</w:t>
            </w:r>
          </w:p>
          <w:tbl>
            <w:tblPr>
              <w:tblInd w:type="dxa" w:w="255"/>
              <w:tblBorders>
                <w:top w:val="none" w:color="000000" w:sz="4"/>
                <w:left w:val="none" w:color="000000" w:sz="4"/>
                <w:bottom w:val="none" w:color="000000" w:sz="4"/>
                <w:right w:val="none" w:color="000000" w:sz="4"/>
                <w:insideH w:val="none"/>
                <w:insideV w:val="none"/>
              </w:tblBorders>
            </w:tblPr>
            <w:tblGrid>
              <w:gridCol w:w="280"/>
              <w:gridCol w:w="277"/>
              <w:gridCol w:w="321"/>
              <w:gridCol w:w="293"/>
              <w:gridCol w:w="302"/>
              <w:gridCol w:w="254"/>
              <w:gridCol w:w="239"/>
              <w:gridCol w:w="280"/>
              <w:gridCol w:w="420"/>
            </w:tblGrid>
            <w:tr>
              <w:tc>
                <w:tcPr>
                  <w:tcW w:type="dxa" w:w="2666"/>
                  <w:gridSpan w:val="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2"/>
                      <w:color w:val="000000"/>
                    </w:rPr>
                    <w:t>测评人所属部门：</w:t>
                  </w:r>
                  <w:r>
                    <w:rPr>
                      <w:rFonts w:ascii="仿宋_GB2312" w:hAnsi="仿宋_GB2312" w:cs="仿宋_GB2312" w:eastAsia="仿宋_GB2312"/>
                      <w:sz w:val="22"/>
                      <w:color w:val="000000"/>
                    </w:rPr>
                    <w:t xml:space="preserve">                     测评人：            日期：         </w:t>
                  </w:r>
                </w:p>
              </w:tc>
            </w:tr>
            <w:tr>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类别</w:t>
                  </w:r>
                </w:p>
              </w:tc>
              <w:tc>
                <w:tcPr>
                  <w:tcW w:type="dxa" w:w="27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项目</w:t>
                  </w:r>
                </w:p>
              </w:tc>
              <w:tc>
                <w:tcPr>
                  <w:tcW w:type="dxa" w:w="32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考核内容</w:t>
                  </w:r>
                </w:p>
              </w:tc>
              <w:tc>
                <w:tcPr>
                  <w:tcW w:type="dxa" w:w="29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非常满意（</w:t>
                  </w:r>
                  <w:r>
                    <w:rPr>
                      <w:rFonts w:ascii="仿宋_GB2312" w:hAnsi="仿宋_GB2312" w:cs="仿宋_GB2312" w:eastAsia="仿宋_GB2312"/>
                      <w:sz w:val="22"/>
                      <w:color w:val="000000"/>
                    </w:rPr>
                    <w:t>100分）</w:t>
                  </w:r>
                </w:p>
              </w:tc>
              <w:tc>
                <w:tcPr>
                  <w:tcW w:type="dxa" w:w="30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比较满意（</w:t>
                  </w:r>
                  <w:r>
                    <w:rPr>
                      <w:rFonts w:ascii="仿宋_GB2312" w:hAnsi="仿宋_GB2312" w:cs="仿宋_GB2312" w:eastAsia="仿宋_GB2312"/>
                      <w:sz w:val="22"/>
                      <w:color w:val="000000"/>
                    </w:rPr>
                    <w:t>90分）</w:t>
                  </w:r>
                </w:p>
              </w:tc>
              <w:tc>
                <w:tcPr>
                  <w:tcW w:type="dxa" w:w="25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基本满意（</w:t>
                  </w:r>
                  <w:r>
                    <w:rPr>
                      <w:rFonts w:ascii="仿宋_GB2312" w:hAnsi="仿宋_GB2312" w:cs="仿宋_GB2312" w:eastAsia="仿宋_GB2312"/>
                      <w:sz w:val="22"/>
                      <w:color w:val="000000"/>
                    </w:rPr>
                    <w:t>80分）</w:t>
                  </w:r>
                </w:p>
              </w:tc>
              <w:tc>
                <w:tcPr>
                  <w:tcW w:type="dxa" w:w="23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一般满意（</w:t>
                  </w:r>
                  <w:r>
                    <w:rPr>
                      <w:rFonts w:ascii="仿宋_GB2312" w:hAnsi="仿宋_GB2312" w:cs="仿宋_GB2312" w:eastAsia="仿宋_GB2312"/>
                      <w:sz w:val="22"/>
                      <w:color w:val="000000"/>
                    </w:rPr>
                    <w:t>70分）</w:t>
                  </w:r>
                </w:p>
              </w:tc>
              <w:tc>
                <w:tcPr>
                  <w:tcW w:type="dxa" w:w="28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较差（</w:t>
                  </w:r>
                  <w:r>
                    <w:rPr>
                      <w:rFonts w:ascii="仿宋_GB2312" w:hAnsi="仿宋_GB2312" w:cs="仿宋_GB2312" w:eastAsia="仿宋_GB2312"/>
                      <w:sz w:val="22"/>
                      <w:color w:val="000000"/>
                    </w:rPr>
                    <w:t>50分）</w:t>
                  </w:r>
                </w:p>
              </w:tc>
              <w:tc>
                <w:tcPr>
                  <w:tcW w:type="dxa" w:w="42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得分</w:t>
                  </w:r>
                </w:p>
              </w:tc>
            </w:tr>
            <w:tr>
              <w:tc>
                <w:tcPr>
                  <w:tcW w:type="dxa" w:w="280"/>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员工餐</w:t>
                  </w:r>
                </w:p>
              </w:tc>
              <w:tc>
                <w:tcPr>
                  <w:tcW w:type="dxa" w:w="2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环境卫生（</w:t>
                  </w:r>
                  <w:r>
                    <w:rPr>
                      <w:rFonts w:ascii="仿宋_GB2312" w:hAnsi="仿宋_GB2312" w:cs="仿宋_GB2312" w:eastAsia="仿宋_GB2312"/>
                      <w:sz w:val="22"/>
                      <w:color w:val="000000"/>
                    </w:rPr>
                    <w:t>30%）</w:t>
                  </w:r>
                </w:p>
              </w:tc>
              <w:tc>
                <w:tcPr>
                  <w:tcW w:type="dxa" w:w="3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座椅、桌子、地面、墙面、餐台等环境卫生质量。</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r>
            <w:tr>
              <w:tc>
                <w:tcPr>
                  <w:tcW w:type="dxa" w:w="280"/>
                  <w:vMerge/>
                  <w:tcBorders>
                    <w:top w:val="none" w:color="000000" w:sz="4"/>
                    <w:left w:val="single" w:color="000000" w:sz="4"/>
                    <w:bottom w:val="non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食品卫生（</w:t>
                  </w:r>
                  <w:r>
                    <w:rPr>
                      <w:rFonts w:ascii="仿宋_GB2312" w:hAnsi="仿宋_GB2312" w:cs="仿宋_GB2312" w:eastAsia="仿宋_GB2312"/>
                      <w:sz w:val="22"/>
                      <w:color w:val="000000"/>
                    </w:rPr>
                    <w:t>20%)</w:t>
                  </w:r>
                </w:p>
              </w:tc>
              <w:tc>
                <w:tcPr>
                  <w:tcW w:type="dxa" w:w="3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餐具、碗筷的清洁程度；食材的新鲜度。</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r>
            <w:tr>
              <w:tc>
                <w:tcPr>
                  <w:tcW w:type="dxa" w:w="280"/>
                  <w:vMerge/>
                  <w:tcBorders>
                    <w:top w:val="none" w:color="000000" w:sz="4"/>
                    <w:left w:val="single" w:color="000000" w:sz="4"/>
                    <w:bottom w:val="none" w:color="000000" w:sz="4"/>
                    <w:right w:val="single" w:color="000000" w:sz="4"/>
                  </w:tcBorders>
                </w:tcPr>
                <w:p/>
              </w:tc>
              <w:tc>
                <w:tcPr>
                  <w:tcW w:type="dxa" w:w="277"/>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菜品质量（</w:t>
                  </w:r>
                  <w:r>
                    <w:rPr>
                      <w:rFonts w:ascii="仿宋_GB2312" w:hAnsi="仿宋_GB2312" w:cs="仿宋_GB2312" w:eastAsia="仿宋_GB2312"/>
                      <w:sz w:val="22"/>
                      <w:color w:val="000000"/>
                    </w:rPr>
                    <w:t>30%）</w:t>
                  </w:r>
                </w:p>
              </w:tc>
              <w:tc>
                <w:tcPr>
                  <w:tcW w:type="dxa" w:w="3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菜品搭配是否合理（</w:t>
                  </w:r>
                  <w:r>
                    <w:rPr>
                      <w:rFonts w:ascii="仿宋_GB2312" w:hAnsi="仿宋_GB2312" w:cs="仿宋_GB2312" w:eastAsia="仿宋_GB2312"/>
                      <w:sz w:val="22"/>
                      <w:color w:val="000000"/>
                    </w:rPr>
                    <w:t>10%）</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r>
            <w:tr>
              <w:tc>
                <w:tcPr>
                  <w:tcW w:type="dxa" w:w="280"/>
                  <w:vMerge/>
                  <w:tcBorders>
                    <w:top w:val="none" w:color="000000" w:sz="4"/>
                    <w:left w:val="single" w:color="000000" w:sz="4"/>
                    <w:bottom w:val="none" w:color="000000" w:sz="4"/>
                    <w:right w:val="single" w:color="000000" w:sz="4"/>
                  </w:tcBorders>
                </w:tcPr>
                <w:p/>
              </w:tc>
              <w:tc>
                <w:tcPr>
                  <w:tcW w:type="dxa" w:w="277"/>
                  <w:vMerge/>
                  <w:tcBorders>
                    <w:top w:val="none" w:color="000000" w:sz="4"/>
                    <w:left w:val="none" w:color="000000" w:sz="4"/>
                    <w:bottom w:val="non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菜品口味是否可口（</w:t>
                  </w:r>
                  <w:r>
                    <w:rPr>
                      <w:rFonts w:ascii="仿宋_GB2312" w:hAnsi="仿宋_GB2312" w:cs="仿宋_GB2312" w:eastAsia="仿宋_GB2312"/>
                      <w:sz w:val="22"/>
                      <w:color w:val="000000"/>
                    </w:rPr>
                    <w:t>10%）</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r>
            <w:tr>
              <w:tc>
                <w:tcPr>
                  <w:tcW w:type="dxa" w:w="280"/>
                  <w:vMerge/>
                  <w:tcBorders>
                    <w:top w:val="none" w:color="000000" w:sz="4"/>
                    <w:left w:val="single" w:color="000000" w:sz="4"/>
                    <w:bottom w:val="none" w:color="000000" w:sz="4"/>
                    <w:right w:val="single" w:color="000000" w:sz="4"/>
                  </w:tcBorders>
                </w:tcPr>
                <w:p/>
              </w:tc>
              <w:tc>
                <w:tcPr>
                  <w:tcW w:type="dxa" w:w="277"/>
                  <w:vMerge/>
                  <w:tcBorders>
                    <w:top w:val="none" w:color="000000" w:sz="4"/>
                    <w:left w:val="none" w:color="000000" w:sz="4"/>
                    <w:bottom w:val="non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菜品分量是否合适（</w:t>
                  </w:r>
                  <w:r>
                    <w:rPr>
                      <w:rFonts w:ascii="仿宋_GB2312" w:hAnsi="仿宋_GB2312" w:cs="仿宋_GB2312" w:eastAsia="仿宋_GB2312"/>
                      <w:sz w:val="22"/>
                      <w:color w:val="000000"/>
                    </w:rPr>
                    <w:t>10%）</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r>
            <w:tr>
              <w:tc>
                <w:tcPr>
                  <w:tcW w:type="dxa" w:w="280"/>
                  <w:vMerge/>
                  <w:tcBorders>
                    <w:top w:val="none" w:color="000000" w:sz="4"/>
                    <w:left w:val="single" w:color="000000" w:sz="4"/>
                    <w:bottom w:val="none" w:color="000000" w:sz="4"/>
                    <w:right w:val="single" w:color="000000" w:sz="4"/>
                  </w:tcBorders>
                </w:tcPr>
                <w:p/>
              </w:tc>
              <w:tc>
                <w:tcPr>
                  <w:tcW w:type="dxa" w:w="277"/>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服务质量（</w:t>
                  </w:r>
                  <w:r>
                    <w:rPr>
                      <w:rFonts w:ascii="仿宋_GB2312" w:hAnsi="仿宋_GB2312" w:cs="仿宋_GB2312" w:eastAsia="仿宋_GB2312"/>
                      <w:sz w:val="22"/>
                      <w:color w:val="000000"/>
                    </w:rPr>
                    <w:t>20%）</w:t>
                  </w:r>
                </w:p>
              </w:tc>
              <w:tc>
                <w:tcPr>
                  <w:tcW w:type="dxa" w:w="3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服务人员精神面貌和着装（</w:t>
                  </w:r>
                  <w:r>
                    <w:rPr>
                      <w:rFonts w:ascii="仿宋_GB2312" w:hAnsi="仿宋_GB2312" w:cs="仿宋_GB2312" w:eastAsia="仿宋_GB2312"/>
                      <w:sz w:val="22"/>
                      <w:color w:val="000000"/>
                    </w:rPr>
                    <w:t>5%）</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r>
            <w:tr>
              <w:tc>
                <w:tcPr>
                  <w:tcW w:type="dxa" w:w="280"/>
                  <w:vMerge/>
                  <w:tcBorders>
                    <w:top w:val="none" w:color="000000" w:sz="4"/>
                    <w:left w:val="single" w:color="000000" w:sz="4"/>
                    <w:bottom w:val="none" w:color="000000" w:sz="4"/>
                    <w:right w:val="single" w:color="000000" w:sz="4"/>
                  </w:tcBorders>
                </w:tcPr>
                <w:p/>
              </w:tc>
              <w:tc>
                <w:tcPr>
                  <w:tcW w:type="dxa" w:w="277"/>
                  <w:vMerge/>
                  <w:tcBorders>
                    <w:top w:val="none" w:color="000000" w:sz="4"/>
                    <w:left w:val="none" w:color="000000" w:sz="4"/>
                    <w:bottom w:val="non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服务人员服务态度（</w:t>
                  </w:r>
                  <w:r>
                    <w:rPr>
                      <w:rFonts w:ascii="仿宋_GB2312" w:hAnsi="仿宋_GB2312" w:cs="仿宋_GB2312" w:eastAsia="仿宋_GB2312"/>
                      <w:sz w:val="22"/>
                      <w:color w:val="000000"/>
                    </w:rPr>
                    <w:t>10%）</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r>
            <w:tr>
              <w:tc>
                <w:tcPr>
                  <w:tcW w:type="dxa" w:w="280"/>
                  <w:vMerge/>
                  <w:tcBorders>
                    <w:top w:val="none" w:color="000000" w:sz="4"/>
                    <w:left w:val="single" w:color="000000" w:sz="4"/>
                    <w:bottom w:val="none" w:color="000000" w:sz="4"/>
                    <w:right w:val="single" w:color="000000" w:sz="4"/>
                  </w:tcBorders>
                </w:tcPr>
                <w:p/>
              </w:tc>
              <w:tc>
                <w:tcPr>
                  <w:tcW w:type="dxa" w:w="277"/>
                  <w:vMerge/>
                  <w:tcBorders>
                    <w:top w:val="none" w:color="000000" w:sz="4"/>
                    <w:left w:val="none" w:color="000000" w:sz="4"/>
                    <w:bottom w:val="none" w:color="000000" w:sz="4"/>
                    <w:right w:val="single" w:color="000000" w:sz="4"/>
                  </w:tcBorders>
                </w:tcPr>
                <w:p/>
              </w:tc>
              <w:tc>
                <w:tcPr>
                  <w:tcW w:type="dxa" w:w="3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排队时间（</w:t>
                  </w:r>
                  <w:r>
                    <w:rPr>
                      <w:rFonts w:ascii="仿宋_GB2312" w:hAnsi="仿宋_GB2312" w:cs="仿宋_GB2312" w:eastAsia="仿宋_GB2312"/>
                      <w:sz w:val="22"/>
                      <w:color w:val="000000"/>
                    </w:rPr>
                    <w:t>5%）</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2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 xml:space="preserve"> </w:t>
                  </w:r>
                </w:p>
              </w:tc>
            </w:tr>
            <w:tr>
              <w:tc>
                <w:tcPr>
                  <w:tcW w:type="dxa" w:w="2666"/>
                  <w:gridSpan w:val="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2"/>
                      <w:color w:val="000000"/>
                    </w:rPr>
                    <w:t>合计得分：</w:t>
                  </w:r>
                </w:p>
              </w:tc>
            </w:tr>
            <w:tr>
              <w:tc>
                <w:tcPr>
                  <w:tcW w:type="dxa" w:w="2666"/>
                  <w:gridSpan w:val="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2"/>
                      <w:color w:val="000000"/>
                    </w:rPr>
                    <w:t>意见及建议：</w:t>
                  </w:r>
                </w:p>
              </w:tc>
            </w:tr>
            <w:tr>
              <w:tc>
                <w:tcPr>
                  <w:tcW w:type="dxa" w:w="2666"/>
                  <w:gridSpan w:val="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2"/>
                      <w:color w:val="000000"/>
                    </w:rPr>
                    <w:t>备注：请在表格相应位置勾选。</w:t>
                  </w:r>
                </w:p>
              </w:tc>
            </w:tr>
          </w:tbl>
          <w:p>
            <w:pPr>
              <w:pStyle w:val="null3"/>
              <w:jc w:val="left"/>
            </w:pPr>
            <w:r>
              <w:rPr>
                <w:rFonts w:ascii="仿宋_GB2312" w:hAnsi="仿宋_GB2312" w:cs="仿宋_GB2312" w:eastAsia="仿宋_GB2312"/>
                <w:sz w:val="24"/>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560"/>
              <w:jc w:val="both"/>
            </w:pPr>
            <w:r>
              <w:rPr>
                <w:rFonts w:ascii="仿宋_GB2312" w:hAnsi="仿宋_GB2312" w:cs="仿宋_GB2312" w:eastAsia="仿宋_GB2312"/>
                <w:sz w:val="28"/>
              </w:rPr>
              <w:t>服务期限：自合同签订之日起满</w:t>
            </w:r>
            <w:r>
              <w:rPr>
                <w:rFonts w:ascii="仿宋_GB2312" w:hAnsi="仿宋_GB2312" w:cs="仿宋_GB2312" w:eastAsia="仿宋_GB2312"/>
                <w:sz w:val="28"/>
              </w:rPr>
              <w:t>2年。</w:t>
            </w:r>
          </w:p>
          <w:p>
            <w:pPr>
              <w:pStyle w:val="null3"/>
              <w:jc w:val="left"/>
            </w:pPr>
            <w:r>
              <w:rPr>
                <w:rFonts w:ascii="仿宋_GB2312" w:hAnsi="仿宋_GB2312" w:cs="仿宋_GB2312" w:eastAsia="仿宋_GB2312"/>
                <w:sz w:val="28"/>
              </w:rPr>
              <w:t>服务地点：国家税务总局澄迈县税务局</w:t>
            </w:r>
          </w:p>
          <w:p>
            <w:pPr>
              <w:pStyle w:val="null3"/>
              <w:jc w:val="left"/>
            </w:pPr>
            <w:r>
              <w:rPr>
                <w:rFonts w:ascii="仿宋_GB2312" w:hAnsi="仿宋_GB2312" w:cs="仿宋_GB2312" w:eastAsia="仿宋_GB2312"/>
                <w:sz w:val="21"/>
              </w:rPr>
              <w:t>1.金马办公区（金江镇金马大道36号）；</w:t>
            </w:r>
          </w:p>
          <w:p>
            <w:pPr>
              <w:pStyle w:val="null3"/>
              <w:jc w:val="left"/>
            </w:pPr>
            <w:r>
              <w:rPr>
                <w:rFonts w:ascii="仿宋_GB2312" w:hAnsi="仿宋_GB2312" w:cs="仿宋_GB2312" w:eastAsia="仿宋_GB2312"/>
                <w:sz w:val="21"/>
              </w:rPr>
              <w:t>2.文化北办公区（金江镇文化北路5号）；</w:t>
            </w:r>
          </w:p>
          <w:p>
            <w:pPr>
              <w:pStyle w:val="null3"/>
              <w:jc w:val="left"/>
            </w:pPr>
            <w:r>
              <w:rPr>
                <w:rFonts w:ascii="仿宋_GB2312" w:hAnsi="仿宋_GB2312" w:cs="仿宋_GB2312" w:eastAsia="仿宋_GB2312"/>
                <w:sz w:val="21"/>
              </w:rPr>
              <w:t>3.老城镇地区（老城镇澄江南路38号）；</w:t>
            </w:r>
          </w:p>
          <w:p>
            <w:pPr>
              <w:pStyle w:val="null3"/>
              <w:jc w:val="left"/>
            </w:pPr>
            <w:r>
              <w:rPr>
                <w:rFonts w:ascii="仿宋_GB2312" w:hAnsi="仿宋_GB2312" w:cs="仿宋_GB2312" w:eastAsia="仿宋_GB2312"/>
                <w:sz w:val="21"/>
              </w:rPr>
              <w:t>4.仁兴分局（仁兴镇昆仑农场桔园路10号）；</w:t>
            </w:r>
          </w:p>
          <w:p>
            <w:pPr>
              <w:pStyle w:val="null3"/>
              <w:jc w:val="left"/>
            </w:pPr>
            <w:r>
              <w:rPr>
                <w:rFonts w:ascii="仿宋_GB2312" w:hAnsi="仿宋_GB2312" w:cs="仿宋_GB2312" w:eastAsia="仿宋_GB2312"/>
                <w:sz w:val="21"/>
              </w:rPr>
              <w:t>5.加乐分局（加乐镇文明北路83号）；</w:t>
            </w:r>
          </w:p>
          <w:p>
            <w:pPr>
              <w:pStyle w:val="null3"/>
              <w:jc w:val="left"/>
            </w:pPr>
            <w:r>
              <w:rPr>
                <w:rFonts w:ascii="仿宋_GB2312" w:hAnsi="仿宋_GB2312" w:cs="仿宋_GB2312" w:eastAsia="仿宋_GB2312"/>
                <w:sz w:val="21"/>
              </w:rPr>
              <w:t>6.福山分局（福山镇海渝大道71号）；</w:t>
            </w:r>
          </w:p>
          <w:p>
            <w:pPr>
              <w:pStyle w:val="null3"/>
              <w:jc w:val="left"/>
            </w:pPr>
            <w:r>
              <w:rPr>
                <w:rFonts w:ascii="仿宋_GB2312" w:hAnsi="仿宋_GB2312" w:cs="仿宋_GB2312" w:eastAsia="仿宋_GB2312"/>
                <w:sz w:val="21"/>
              </w:rPr>
              <w:t>7.瑞溪分局（瑞溪镇解放西路）。</w:t>
            </w:r>
          </w:p>
          <w:p>
            <w:pPr>
              <w:pStyle w:val="null3"/>
              <w:jc w:val="left"/>
            </w:pPr>
            <w:r>
              <w:rPr>
                <w:rFonts w:ascii="仿宋_GB2312" w:hAnsi="仿宋_GB2312" w:cs="仿宋_GB2312" w:eastAsia="仿宋_GB2312"/>
                <w:sz w:val="21"/>
              </w:rPr>
              <w:t>服务范围要求：</w:t>
            </w:r>
          </w:p>
          <w:p>
            <w:pPr>
              <w:pStyle w:val="null3"/>
              <w:jc w:val="left"/>
            </w:pPr>
            <w:r>
              <w:rPr>
                <w:rFonts w:ascii="仿宋_GB2312" w:hAnsi="仿宋_GB2312" w:cs="仿宋_GB2312" w:eastAsia="仿宋_GB2312"/>
                <w:sz w:val="21"/>
              </w:rPr>
              <w:t>（一）食材</w:t>
            </w:r>
            <w:r>
              <w:rPr>
                <w:rFonts w:ascii="仿宋_GB2312" w:hAnsi="仿宋_GB2312" w:cs="仿宋_GB2312" w:eastAsia="仿宋_GB2312"/>
                <w:sz w:val="21"/>
              </w:rPr>
              <w:t>采购</w:t>
            </w:r>
            <w:r>
              <w:rPr>
                <w:rFonts w:ascii="仿宋_GB2312" w:hAnsi="仿宋_GB2312" w:cs="仿宋_GB2312" w:eastAsia="仿宋_GB2312"/>
                <w:sz w:val="21"/>
              </w:rPr>
              <w:t>及配送</w:t>
            </w:r>
          </w:p>
          <w:p>
            <w:pPr>
              <w:pStyle w:val="null3"/>
              <w:jc w:val="left"/>
            </w:pPr>
            <w:r>
              <w:rPr>
                <w:rFonts w:ascii="仿宋_GB2312" w:hAnsi="仿宋_GB2312" w:cs="仿宋_GB2312" w:eastAsia="仿宋_GB2312"/>
                <w:sz w:val="21"/>
              </w:rPr>
              <w:t>国家税务总局澄迈县税务局食堂所需食材等</w:t>
            </w:r>
            <w:r>
              <w:rPr>
                <w:rFonts w:ascii="仿宋_GB2312" w:hAnsi="仿宋_GB2312" w:cs="仿宋_GB2312" w:eastAsia="仿宋_GB2312"/>
                <w:sz w:val="21"/>
              </w:rPr>
              <w:t>采购及</w:t>
            </w:r>
            <w:r>
              <w:rPr>
                <w:rFonts w:ascii="仿宋_GB2312" w:hAnsi="仿宋_GB2312" w:cs="仿宋_GB2312" w:eastAsia="仿宋_GB2312"/>
                <w:sz w:val="21"/>
              </w:rPr>
              <w:t>配送服务，包括但不限于鲜禽畜肉、蔬菜水果、水产品、禽蛋类、豆类奶制品、米面粮油、干货调料、帮扶点产品、加工食品、燃气及其他农副产品、政策规定的扶贫</w:t>
            </w:r>
            <w:r>
              <w:rPr>
                <w:rFonts w:ascii="仿宋_GB2312" w:hAnsi="仿宋_GB2312" w:cs="仿宋_GB2312" w:eastAsia="仿宋_GB2312"/>
                <w:sz w:val="21"/>
              </w:rPr>
              <w:t>832平台、帮扶点产品等供应配送及售后服务。</w:t>
            </w:r>
          </w:p>
          <w:p>
            <w:pPr>
              <w:pStyle w:val="null3"/>
              <w:jc w:val="left"/>
            </w:pPr>
            <w:r>
              <w:rPr>
                <w:rFonts w:ascii="仿宋_GB2312" w:hAnsi="仿宋_GB2312" w:cs="仿宋_GB2312" w:eastAsia="仿宋_GB2312"/>
                <w:sz w:val="21"/>
              </w:rPr>
              <w:t>（二）食堂餐饮服务</w:t>
            </w:r>
          </w:p>
          <w:p>
            <w:pPr>
              <w:pStyle w:val="null3"/>
              <w:jc w:val="left"/>
            </w:pPr>
            <w:r>
              <w:rPr>
                <w:rFonts w:ascii="仿宋_GB2312" w:hAnsi="仿宋_GB2312" w:cs="仿宋_GB2312" w:eastAsia="仿宋_GB2312"/>
                <w:sz w:val="21"/>
              </w:rPr>
              <w:t>1.负责金马办公区、文化北路办公区、老城镇地区3个地区以及仁兴镇、加乐镇、福山镇、瑞溪镇等4个乡镇分局职工食堂的管理运营，为采购方大约170名在职干部职工提供工作日早餐、中餐、晚餐等相关供餐服务。</w:t>
            </w:r>
          </w:p>
          <w:p>
            <w:pPr>
              <w:pStyle w:val="null3"/>
              <w:jc w:val="left"/>
            </w:pPr>
            <w:r>
              <w:rPr>
                <w:rFonts w:ascii="仿宋_GB2312" w:hAnsi="仿宋_GB2312" w:cs="仿宋_GB2312" w:eastAsia="仿宋_GB2312"/>
                <w:sz w:val="21"/>
              </w:rPr>
              <w:t>2.供餐时间：早餐07:00-08:00；中餐12:00-13:30；晚餐18:00-19:30。</w:t>
            </w:r>
          </w:p>
          <w:p>
            <w:pPr>
              <w:pStyle w:val="null3"/>
              <w:jc w:val="left"/>
            </w:pPr>
            <w:r>
              <w:rPr>
                <w:rFonts w:ascii="仿宋_GB2312" w:hAnsi="仿宋_GB2312" w:cs="仿宋_GB2312" w:eastAsia="仿宋_GB2312"/>
                <w:sz w:val="21"/>
              </w:rPr>
              <w:t>3.供餐类型及餐食标准：供餐模式为自助餐，早餐、午餐、晚餐。供餐标准具体以合同和采购方确定的标准为准，餐食标准根据招标方要求安排和调整，晚餐供餐由职工另外自行支付。中标方必须按餐食标准足额采购食材，不能降低标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584.816774万元（报价不得超过采购预算）</w:t>
            </w:r>
            <w:r>
              <w:rPr>
                <w:rFonts w:ascii="仿宋_GB2312" w:hAnsi="仿宋_GB2312" w:cs="仿宋_GB2312" w:eastAsia="仿宋_GB2312"/>
                <w:sz w:val="21"/>
                <w:b/>
              </w:rPr>
              <w:t>，其中食堂服务预算金额总价</w:t>
            </w:r>
            <w:r>
              <w:rPr>
                <w:rFonts w:ascii="仿宋_GB2312" w:hAnsi="仿宋_GB2312" w:cs="仿宋_GB2312" w:eastAsia="仿宋_GB2312"/>
                <w:sz w:val="21"/>
                <w:b/>
              </w:rPr>
              <w:t>3363447.74元（1681723.87元/年）；</w:t>
            </w:r>
            <w:r>
              <w:rPr>
                <w:rFonts w:ascii="仿宋_GB2312" w:hAnsi="仿宋_GB2312" w:cs="仿宋_GB2312" w:eastAsia="仿宋_GB2312"/>
                <w:sz w:val="21"/>
                <w:b/>
              </w:rPr>
              <w:t>食堂食材采购</w:t>
            </w:r>
            <w:r>
              <w:rPr>
                <w:rFonts w:ascii="仿宋_GB2312" w:hAnsi="仿宋_GB2312" w:cs="仿宋_GB2312" w:eastAsia="仿宋_GB2312"/>
                <w:sz w:val="21"/>
                <w:b/>
              </w:rPr>
              <w:t>预算</w:t>
            </w:r>
            <w:r>
              <w:rPr>
                <w:rFonts w:ascii="仿宋_GB2312" w:hAnsi="仿宋_GB2312" w:cs="仿宋_GB2312" w:eastAsia="仿宋_GB2312"/>
                <w:sz w:val="21"/>
                <w:b/>
              </w:rPr>
              <w:t>金额总价</w:t>
            </w:r>
            <w:r>
              <w:rPr>
                <w:rFonts w:ascii="仿宋_GB2312" w:hAnsi="仿宋_GB2312" w:cs="仿宋_GB2312" w:eastAsia="仿宋_GB2312"/>
                <w:sz w:val="21"/>
                <w:b/>
              </w:rPr>
              <w:t>2484720元（1242360元/年）。</w:t>
            </w:r>
          </w:p>
        </w:tc>
      </w:tr>
    </w:tbl>
    <w:p>
      <w:pPr>
        <w:pStyle w:val="null3"/>
        <w:ind w:firstLine="480"/>
        <w:jc w:val="both"/>
      </w:pPr>
      <w:r>
        <w:rPr>
          <w:rFonts w:ascii="仿宋_GB2312" w:hAnsi="仿宋_GB2312" w:cs="仿宋_GB2312" w:eastAsia="仿宋_GB2312"/>
        </w:rPr>
        <w:t>其他商务要求</w:t>
      </w:r>
    </w:p>
    <w:p>
      <w:pPr>
        <w:pStyle w:val="null3"/>
        <w:jc w:val="left"/>
        <w:outlineLvl w:val="1"/>
      </w:pPr>
      <w:r>
        <w:rPr>
          <w:rFonts w:ascii="仿宋_GB2312" w:hAnsi="仿宋_GB2312" w:cs="仿宋_GB2312" w:eastAsia="仿宋_GB2312"/>
          <w:sz w:val="24"/>
          <w:b/>
        </w:rPr>
        <w:t>合同类型、定价方式及合同文本的主要条款</w:t>
      </w:r>
    </w:p>
    <w:p>
      <w:pPr>
        <w:pStyle w:val="null3"/>
        <w:ind w:firstLine="640"/>
        <w:jc w:val="left"/>
      </w:pPr>
      <w:r>
        <w:rPr>
          <w:rFonts w:ascii="仿宋_GB2312" w:hAnsi="仿宋_GB2312" w:cs="仿宋_GB2312" w:eastAsia="仿宋_GB2312"/>
          <w:sz w:val="24"/>
        </w:rPr>
        <w:t>本项目拟签订食堂服务费为固定总价，食堂采购及配送据实结算的服务类合同。</w:t>
      </w:r>
    </w:p>
    <w:p>
      <w:pPr>
        <w:pStyle w:val="null3"/>
        <w:ind w:firstLine="640"/>
        <w:jc w:val="left"/>
      </w:pPr>
      <w:r>
        <w:rPr>
          <w:rFonts w:ascii="仿宋_GB2312" w:hAnsi="仿宋_GB2312" w:cs="仿宋_GB2312" w:eastAsia="仿宋_GB2312"/>
          <w:sz w:val="24"/>
        </w:rPr>
        <w:t>定价和结算依据：</w:t>
      </w:r>
    </w:p>
    <w:p>
      <w:pPr>
        <w:pStyle w:val="null3"/>
        <w:ind w:firstLine="640"/>
        <w:jc w:val="left"/>
      </w:pPr>
      <w:r>
        <w:rPr>
          <w:rFonts w:ascii="仿宋_GB2312" w:hAnsi="仿宋_GB2312" w:cs="仿宋_GB2312" w:eastAsia="仿宋_GB2312"/>
          <w:sz w:val="24"/>
        </w:rPr>
        <w:t>1.食堂服务费：服务费按季度为一个付款周期，供应商于每个付款周期第一个月20日前开具足额发票予采购人，采购人收到发票后于15个自然日内将本周期费用以转账方式支付给供应商（节假日顺延）。供应商未能按时提供发票的，采购人有权延期付款。</w:t>
      </w:r>
    </w:p>
    <w:p>
      <w:pPr>
        <w:pStyle w:val="null3"/>
        <w:ind w:firstLine="640"/>
        <w:jc w:val="left"/>
      </w:pPr>
      <w:r>
        <w:rPr>
          <w:rFonts w:ascii="仿宋_GB2312" w:hAnsi="仿宋_GB2312" w:cs="仿宋_GB2312" w:eastAsia="仿宋_GB2312"/>
          <w:sz w:val="24"/>
        </w:rPr>
        <w:t>2.食堂食材采购费：</w:t>
      </w:r>
    </w:p>
    <w:p>
      <w:pPr>
        <w:pStyle w:val="null3"/>
        <w:ind w:firstLine="640"/>
        <w:jc w:val="left"/>
      </w:pPr>
      <w:r>
        <w:rPr>
          <w:rFonts w:ascii="仿宋_GB2312" w:hAnsi="仿宋_GB2312" w:cs="仿宋_GB2312" w:eastAsia="仿宋_GB2312"/>
          <w:sz w:val="24"/>
        </w:rPr>
        <w:t>结算价格</w:t>
      </w:r>
      <w:r>
        <w:rPr>
          <w:rFonts w:ascii="仿宋_GB2312" w:hAnsi="仿宋_GB2312" w:cs="仿宋_GB2312" w:eastAsia="仿宋_GB2312"/>
          <w:sz w:val="24"/>
        </w:rPr>
        <w:t>=</w:t>
      </w:r>
      <w:r>
        <w:rPr>
          <w:rFonts w:ascii="仿宋_GB2312" w:hAnsi="仿宋_GB2312" w:cs="仿宋_GB2312" w:eastAsia="仿宋_GB2312"/>
          <w:sz w:val="24"/>
        </w:rPr>
        <w:t>食堂食材采购</w:t>
      </w:r>
      <w:r>
        <w:rPr>
          <w:rFonts w:ascii="仿宋_GB2312" w:hAnsi="仿宋_GB2312" w:cs="仿宋_GB2312" w:eastAsia="仿宋_GB2312"/>
          <w:sz w:val="24"/>
        </w:rPr>
        <w:t>报价</w:t>
      </w:r>
      <w:r>
        <w:rPr>
          <w:rFonts w:ascii="仿宋_GB2312" w:hAnsi="仿宋_GB2312" w:cs="仿宋_GB2312" w:eastAsia="仿宋_GB2312"/>
          <w:sz w:val="24"/>
        </w:rPr>
        <w:t>/</w:t>
      </w:r>
      <w:r>
        <w:rPr>
          <w:rFonts w:ascii="仿宋_GB2312" w:hAnsi="仿宋_GB2312" w:cs="仿宋_GB2312" w:eastAsia="仿宋_GB2312"/>
          <w:sz w:val="24"/>
        </w:rPr>
        <w:t>食堂食材采购</w:t>
      </w:r>
      <w:r>
        <w:rPr>
          <w:rFonts w:ascii="仿宋_GB2312" w:hAnsi="仿宋_GB2312" w:cs="仿宋_GB2312" w:eastAsia="仿宋_GB2312"/>
          <w:sz w:val="24"/>
        </w:rPr>
        <w:t>预算（</w:t>
      </w:r>
      <w:r>
        <w:rPr>
          <w:rFonts w:ascii="仿宋_GB2312" w:hAnsi="仿宋_GB2312" w:cs="仿宋_GB2312" w:eastAsia="仿宋_GB2312"/>
          <w:sz w:val="24"/>
        </w:rPr>
        <w:t>2484720元）</w:t>
      </w:r>
      <w:r>
        <w:rPr>
          <w:rFonts w:ascii="仿宋_GB2312" w:hAnsi="仿宋_GB2312" w:cs="仿宋_GB2312" w:eastAsia="仿宋_GB2312"/>
          <w:sz w:val="24"/>
        </w:rPr>
        <w:t>×食材市场调研报价。</w:t>
      </w:r>
    </w:p>
    <w:p>
      <w:pPr>
        <w:pStyle w:val="null3"/>
        <w:ind w:firstLine="640"/>
        <w:jc w:val="left"/>
      </w:pPr>
      <w:r>
        <w:rPr>
          <w:rFonts w:ascii="仿宋_GB2312" w:hAnsi="仿宋_GB2312" w:cs="仿宋_GB2312" w:eastAsia="仿宋_GB2312"/>
          <w:sz w:val="24"/>
        </w:rPr>
        <w:t>①每月开展一次食材市场调研报价，供应商应以本县菜市场、超市等当日食材平均价格为基准进行报价，由采购人审核同意后作为食材市场调研报价。如发现所供食品价格资料造假，采购人有权立即终止本合同。</w:t>
      </w:r>
    </w:p>
    <w:p>
      <w:pPr>
        <w:pStyle w:val="null3"/>
        <w:ind w:firstLine="640"/>
        <w:jc w:val="left"/>
      </w:pPr>
      <w:r>
        <w:rPr>
          <w:rFonts w:ascii="仿宋_GB2312" w:hAnsi="仿宋_GB2312" w:cs="仿宋_GB2312" w:eastAsia="仿宋_GB2312"/>
          <w:sz w:val="24"/>
        </w:rPr>
        <w:t>②如某食材市场价格在一个价格周期内出现剧烈波动超过5%以上的，中标供应商应主动向采购人提交申请，经双方友好协商调整价格。</w:t>
      </w:r>
    </w:p>
    <w:p>
      <w:pPr>
        <w:pStyle w:val="null3"/>
        <w:ind w:firstLine="640"/>
        <w:jc w:val="left"/>
      </w:pPr>
      <w:r>
        <w:rPr>
          <w:rFonts w:ascii="仿宋_GB2312" w:hAnsi="仿宋_GB2312" w:cs="仿宋_GB2312" w:eastAsia="仿宋_GB2312"/>
          <w:sz w:val="24"/>
        </w:rPr>
        <w:t>③投标人应在定价依据基础上，同时结合产品价格、运输、装卸、售后服务、搬运费、税金等情况，对采购项目进行报价。</w:t>
      </w:r>
    </w:p>
    <w:p>
      <w:pPr>
        <w:pStyle w:val="null3"/>
        <w:ind w:firstLine="640"/>
        <w:jc w:val="left"/>
      </w:pPr>
      <w:r>
        <w:rPr>
          <w:rFonts w:ascii="仿宋_GB2312" w:hAnsi="仿宋_GB2312" w:cs="仿宋_GB2312" w:eastAsia="仿宋_GB2312"/>
          <w:sz w:val="24"/>
        </w:rPr>
        <w:t>④最终结算总价金额不超过采购预算金额。</w:t>
      </w:r>
    </w:p>
    <w:p>
      <w:pPr>
        <w:pStyle w:val="null3"/>
        <w:ind w:firstLine="640"/>
        <w:jc w:val="left"/>
      </w:pPr>
      <w:r>
        <w:rPr>
          <w:rFonts w:ascii="仿宋_GB2312" w:hAnsi="仿宋_GB2312" w:cs="仿宋_GB2312" w:eastAsia="仿宋_GB2312"/>
          <w:sz w:val="24"/>
        </w:rPr>
        <w:t>不收取履约保证金。</w:t>
      </w:r>
    </w:p>
    <w:p>
      <w:pPr>
        <w:pStyle w:val="null3"/>
        <w:ind w:firstLine="480"/>
        <w:jc w:val="left"/>
      </w:pPr>
      <w:r>
        <w:rPr>
          <w:rFonts w:ascii="仿宋_GB2312" w:hAnsi="仿宋_GB2312" w:cs="仿宋_GB2312" w:eastAsia="仿宋_GB2312"/>
          <w:sz w:val="24"/>
        </w:rPr>
        <w:t>合同文本的主要条款使用经法律顾问审定的政府采购合同标准文本。</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政府采购促进中小企业发展管理办法》（财库〔2020〕46号印发）有关规定，本项目采取接受分包合同方式，实现预留采购份额专门面向中小企业。若投标人为大型、中型企业，需采取分包合同方式，要求获得采购合同的供应商将采购项目的一定比例分包给一家或者多家中小企业并签订分包意向协议。分包给中小企业的合同金额应当达到的比例为30%（不含）以上，其中预留给小微企业的比例不低于60%。若投标人为小型、微型企业，可以单独投标。</w:t>
            </w:r>
          </w:p>
        </w:tc>
        <w:tc>
          <w:tcPr>
            <w:tcW w:type="dxa" w:w="3322"/>
          </w:tcPr>
          <w:p>
            <w:pPr>
              <w:pStyle w:val="null3"/>
              <w:jc w:val="left"/>
            </w:pPr>
            <w:r>
              <w:rPr>
                <w:rFonts w:ascii="仿宋_GB2312" w:hAnsi="仿宋_GB2312" w:cs="仿宋_GB2312" w:eastAsia="仿宋_GB2312"/>
              </w:rPr>
              <w:t>根据《政府采购促进中小企业发展管理办法》（财库〔2020〕46号印发）有关规定，本项目采取接受分包合同方式，实现预留采购份额专门面向中小企业。若投标人为大型、中型企业，需采取分包合同方式，要求获得采购合同的供应商将采购项目的一定比例分包给一家或者多家中小企业并签订分包意向协议。分包给中小企业的合同金额应当达到的比例为30%（不含）以上，其中预留给小微企业的比例不低于60%。若投标人为小型、微型企业，可以单独投标。</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若采取分包合同方式的应满足下列要求： （1）分包各方必须签订分包意向协议，明确分包人和分包意向单位各方权利、义务及分工、合同工作量比例等； （2）分包意向协议中接受分包的中小企业/监狱企业/残疾人福利单位，应提供《中小企业声明函》/证明材料/残疾人福利性单位声明函； （3）接受分包合同的中小企业与分包企业之间不得存在直接控股、管理关系。</w:t>
            </w:r>
          </w:p>
        </w:tc>
        <w:tc>
          <w:tcPr>
            <w:tcW w:type="dxa" w:w="3322"/>
          </w:tcPr>
          <w:p>
            <w:pPr>
              <w:pStyle w:val="null3"/>
              <w:jc w:val="left"/>
            </w:pPr>
            <w:r>
              <w:rPr>
                <w:rFonts w:ascii="仿宋_GB2312" w:hAnsi="仿宋_GB2312" w:cs="仿宋_GB2312" w:eastAsia="仿宋_GB2312"/>
              </w:rPr>
              <w:t>若采取分包合同方式的应满足下列要求： （1）分包各方必须签订分包意向协议，明确分包人和分包意向单位各方权利、义务及分工、合同工作量比例等； （2）分包意向协议中接受分包的中小企业/监狱企业/残疾人福利单位，应提供《中小企业声明函》/证明材料/残疾人福利性单位声明函； （3）接受分包合同的中小企业与分包企业之间不得存在直接控股、管理关系。</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供应商具有《食品经营许可证》或《食品生产许可证》。仅提供《食品生产许可证》的，许可范围应包括本包中除农产品外的全部供应品类。</w:t>
            </w:r>
          </w:p>
        </w:tc>
        <w:tc>
          <w:tcPr>
            <w:tcW w:type="dxa" w:w="3322"/>
          </w:tcPr>
          <w:p>
            <w:pPr>
              <w:pStyle w:val="null3"/>
              <w:jc w:val="left"/>
            </w:pPr>
            <w:r>
              <w:rPr>
                <w:rFonts w:ascii="仿宋_GB2312" w:hAnsi="仿宋_GB2312" w:cs="仿宋_GB2312" w:eastAsia="仿宋_GB2312"/>
              </w:rPr>
              <w:t>供应商具有《食品经营许可证》或《食品生产许可证》。仅提供《食品生产许可证》的，许可范围应包括本包中除农产品外的全部供应品类。提供许可证扫描件。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商务部分46.00分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1.服务项目的理解（重点突出本项目物业管理的特点及重难点）；2.管理目标及定位；3.管理制度；4.管理模式；5.服务措施等。1.方案涵盖上述5项内容且满足采购需求得10分； 2.上述5项内容每缺少一项扣2分；每项内容中每一处存在缺陷扣1分，扣完为止。内容缺陷是指：不满足采购需求或不适用本项目需求的情形。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秩序维护服务方案</w:t>
            </w:r>
          </w:p>
        </w:tc>
        <w:tc>
          <w:tcPr>
            <w:tcW w:type="dxa" w:w="2492"/>
          </w:tcPr>
          <w:p>
            <w:pPr>
              <w:pStyle w:val="null3"/>
              <w:jc w:val="both"/>
            </w:pPr>
            <w:r>
              <w:rPr>
                <w:rFonts w:ascii="仿宋_GB2312" w:hAnsi="仿宋_GB2312" w:cs="仿宋_GB2312" w:eastAsia="仿宋_GB2312"/>
              </w:rPr>
              <w:t>投标人提供针对本项目特点制定的秩序维护服务方案，方案内容包含但不限于：1.24小时多班值勤值守；2.突发事件处置；3.日常巡查；4.安全检查；5.车辆管理等。 1.方案涵盖上述5项内容且满足采购需求得5分； 2.上述5项内容每缺少一项扣1分；每项内容中每一处存在缺陷扣0.5分，扣完为止。内容缺陷是指：不满足采购需求或不适用本项目需求的情形。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投标人提供针对本项目特点制定的保洁服务方案，方案内容包含但不限于：1. 道路、广场、停车场、绿地等保洁；2. 电梯厅、楼道保洁；3.大厅保洁；4.卫生间保洁；5.化粪池检查及消杀工作；6.办公室、会议保洁等。 1.方案涵盖上述6项内容且满足采购需求得6分； 2.上述6项内容每缺少一项扣1分；每项内容中每一处存在缺陷扣0.5分，扣完为止。内容缺陷是指：不满足采购需求或不适用本项目需求的情形。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设施设备养护及日常维修服务方案</w:t>
            </w:r>
          </w:p>
        </w:tc>
        <w:tc>
          <w:tcPr>
            <w:tcW w:type="dxa" w:w="2492"/>
          </w:tcPr>
          <w:p>
            <w:pPr>
              <w:pStyle w:val="null3"/>
              <w:jc w:val="both"/>
            </w:pPr>
            <w:r>
              <w:rPr>
                <w:rFonts w:ascii="仿宋_GB2312" w:hAnsi="仿宋_GB2312" w:cs="仿宋_GB2312" w:eastAsia="仿宋_GB2312"/>
              </w:rPr>
              <w:t>投标人提供针对本项目特点制定的设施设备养护及日常维修服务方案，方案内容包含但不限于：1.日常巡检制度；2.消防设备养护及日常维修；3.供水设备养护及日常维修；4.供配电设备养护及日常维修；5.电梯系统养护及日常维修等。1.方案涵盖上述5项内容且满足采购需求得5分； 2.上述5项内容每缺少一项扣1分；每项内容中每一处存在缺陷扣0.5分，扣完为止。内容缺陷是指：不满足采购需求或不适用本项目需求的情形。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房屋管理服务方案</w:t>
            </w:r>
          </w:p>
        </w:tc>
        <w:tc>
          <w:tcPr>
            <w:tcW w:type="dxa" w:w="2492"/>
          </w:tcPr>
          <w:p>
            <w:pPr>
              <w:pStyle w:val="null3"/>
              <w:jc w:val="both"/>
            </w:pPr>
            <w:r>
              <w:rPr>
                <w:rFonts w:ascii="仿宋_GB2312" w:hAnsi="仿宋_GB2312" w:cs="仿宋_GB2312" w:eastAsia="仿宋_GB2312"/>
              </w:rPr>
              <w:t>投标人提供针对本项目特点制定的房屋管理服务方案，方案内容包含但不限于：1.房屋主体结构；2.房屋围护结构、部品部件；3.其他设施（路面、家具等）；4.装饰装修监督管理；5.标识标牌。1.方案涵盖上述5项内容且满足采购需求得5分； 2.上述5项内容每缺少一项扣1分；每项内容中每一处存在缺陷扣0.5分，扣完为止。内容缺陷是指：不满足采购需求或不适用本项目需求的情形。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会议服务保障服务方案</w:t>
            </w:r>
          </w:p>
        </w:tc>
        <w:tc>
          <w:tcPr>
            <w:tcW w:type="dxa" w:w="2492"/>
          </w:tcPr>
          <w:p>
            <w:pPr>
              <w:pStyle w:val="null3"/>
              <w:jc w:val="both"/>
            </w:pPr>
            <w:r>
              <w:rPr>
                <w:rFonts w:ascii="仿宋_GB2312" w:hAnsi="仿宋_GB2312" w:cs="仿宋_GB2312" w:eastAsia="仿宋_GB2312"/>
              </w:rPr>
              <w:t>投标人提供针对本项目特点制定的会议服务保障服务方案，方案内容包含但不限于：1.会场布置；2.会议设备保障；3.会议茶水保障；4. 会议资料发放和人员签到；5.会议现场管理。 1.方案涵盖上述5项内容且满足采购需求得5分； 2.上述5项内容每缺少一项扣1分；每项内容中每一处存在缺陷扣0.5分，扣完为止。内容缺陷是指：不满足采购需求或不适用本项目需求的情形。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消防服务方案</w:t>
            </w:r>
          </w:p>
        </w:tc>
        <w:tc>
          <w:tcPr>
            <w:tcW w:type="dxa" w:w="2492"/>
          </w:tcPr>
          <w:p>
            <w:pPr>
              <w:pStyle w:val="null3"/>
              <w:jc w:val="both"/>
            </w:pPr>
            <w:r>
              <w:rPr>
                <w:rFonts w:ascii="仿宋_GB2312" w:hAnsi="仿宋_GB2312" w:cs="仿宋_GB2312" w:eastAsia="仿宋_GB2312"/>
              </w:rPr>
              <w:t>投标人提供针对本项目特点制定的消防服务方案，方案内容包含但不限于：1.消防制度；2.消防设备监管；3.消防应急预案等。 1.方案涵盖上述3项内容且满足采购需求得3分； 2.上述3项内容每缺少一项扣1分；每项内容中每一处存在缺陷扣0.5分，扣完为止。内容缺陷是指：不满足采购需求或不适用本项目需求的情形。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紧急情况处置服务方案</w:t>
            </w:r>
          </w:p>
        </w:tc>
        <w:tc>
          <w:tcPr>
            <w:tcW w:type="dxa" w:w="2492"/>
          </w:tcPr>
          <w:p>
            <w:pPr>
              <w:pStyle w:val="null3"/>
              <w:jc w:val="both"/>
            </w:pPr>
            <w:r>
              <w:rPr>
                <w:rFonts w:ascii="仿宋_GB2312" w:hAnsi="仿宋_GB2312" w:cs="仿宋_GB2312" w:eastAsia="仿宋_GB2312"/>
              </w:rPr>
              <w:t>投标人提供针对本项目特点制定的紧急情况处置服务方案，方案内容包含但不限于：1.重点区域及安全隐患排查；2.应急预案的建立；3.应急预案的培训和演练；4.应急物资的管理；5.应急情况发生30分钟内响应。1.方案涵盖上述5项内容且满足采购需求得5分； 2.上述5项内容每缺少一项扣1分；每项内容中每一处存在缺陷扣0.5分，扣完为止。内容缺陷是指：不满足采购需求或不适用本项目需求的情形。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投标人企业综合实力</w:t>
            </w:r>
          </w:p>
        </w:tc>
        <w:tc>
          <w:tcPr>
            <w:tcW w:type="dxa" w:w="2492"/>
          </w:tcPr>
          <w:p>
            <w:pPr>
              <w:pStyle w:val="null3"/>
              <w:jc w:val="both"/>
            </w:pPr>
            <w:r>
              <w:rPr>
                <w:rFonts w:ascii="仿宋_GB2312" w:hAnsi="仿宋_GB2312" w:cs="仿宋_GB2312" w:eastAsia="仿宋_GB2312"/>
              </w:rPr>
              <w:t>1.投标人具有有效期内的质量管理体系认证证书得4分； 2.投标人具有有效期内的环境管理体系认证证书得4分； 3.投标人具有有效期内的职业健康安全管理体系认证证书的得4分; 备注：需提供证书复印件，并须同时提供在全国认证认可信息公开服务平台对体系证书的信息查询截图作为评审依据，已失效、暂停、撤销或不提供的不得分。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有效案例为2022年1月1日以来（以合同签订日期为准）,供应商独立承担的类似项目案例。每提供一个得2分，最多得8分。备注：类似业绩服务合同里需包含秩序、保洁、会务、工程等其中两项及以上服务内容。需提供合同复印件加盖公章，合同复印件含合同首页、合同金额、服务期限及落款盖章页。（同一业绩不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人员配置情况</w:t>
            </w:r>
          </w:p>
        </w:tc>
        <w:tc>
          <w:tcPr>
            <w:tcW w:type="dxa" w:w="2492"/>
          </w:tcPr>
          <w:p>
            <w:pPr>
              <w:pStyle w:val="null3"/>
              <w:jc w:val="both"/>
            </w:pPr>
            <w:r>
              <w:rPr>
                <w:rFonts w:ascii="仿宋_GB2312" w:hAnsi="仿宋_GB2312" w:cs="仿宋_GB2312" w:eastAsia="仿宋_GB2312"/>
              </w:rPr>
              <w:t>投标人针对本项目所配备的人员应具有相关工作经验： 1.本项目配备的物业经理具有大专及以上学历，得1分，否则不得分；具有5年（含）以上物业管理经验得1分，3年（含）-5年（不含）物业管理经验得0.5分，3年以下物业管理经验不得分，满分2分； 2.本项目配备的2名电工，每名电工具有3年（含）以上工作经验得2分，1年（含）-3年（不含）工作经验经验得1分，1年以下工作经验不得分，满分4分； 3.本项目配备的2名行政仓管人员，每名行政仓管人员具有3年（含）以上工作经验得2分，1年（含）-3年（不含）工作经验经验得1分，1年以下工作经验不得分，满分4分； 4.本项目配备的保安人员20名，具有1年（含）以上的安保服务工作经验，每有一人符合要求，得0.5分，满分10分； 5.本项目配备的保洁人员11名，具有1年（含）以上的保洁工作经验，每有一人符合要求，得0.5分，满分5.5分； 6.本项目配备的会务人员1名，具有1年（含）以上的会务工作经验，每有一人符合要求，得0.5分，满分0.5分； 备注：以上相关人员不重复计分，相关人员须提供2025年1月至今任意3个月单位缴交社保证明和劳动合同复印件加盖投标单位公章，工作经验由该人员服务过的项目甲方出具工作经验证明函或提供的劳动合同中包含该人员姓名的扫描件。</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根据本项目特点制定食堂的整体服务方案，方案内容包含但不限于：1.服务项目的理解（重点突出本项目食堂供餐服务及食堂食材采购的特点及重难点）；2.管理目标及定位；3.管理制度；4.管理模式；5.服务措施等。 1.方案涵盖上述5项内容且满足采购需求得10分； 2.上述5项内容每缺少一项扣2分；每项内容中每一处存在缺陷扣1分，扣完为止。内容缺陷是指：不满足采购需求或不适用本项目需求的情形。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食品质量管控方案</w:t>
            </w:r>
          </w:p>
        </w:tc>
        <w:tc>
          <w:tcPr>
            <w:tcW w:type="dxa" w:w="2492"/>
          </w:tcPr>
          <w:p>
            <w:pPr>
              <w:pStyle w:val="null3"/>
              <w:jc w:val="both"/>
            </w:pPr>
            <w:r>
              <w:rPr>
                <w:rFonts w:ascii="仿宋_GB2312" w:hAnsi="仿宋_GB2312" w:cs="仿宋_GB2312" w:eastAsia="仿宋_GB2312"/>
              </w:rPr>
              <w:t>投标人根据本项目特点制定食堂的食品质量管控方案，方案内容包含但不限于：1.食品的保鲜及存放；2.食品的加工及包装；3.食品的运输及贮存；4.定期品质抽检。1.方案涵盖上述4项内容且满足采购需求得8分； 2.上述4项内容每缺少一项扣2分；每项内容中每一处存在缺陷扣1分，扣完为止。内容缺陷是指：不满足采购需求或不适用本项目需求的情形。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卫生管理管控方案</w:t>
            </w:r>
          </w:p>
        </w:tc>
        <w:tc>
          <w:tcPr>
            <w:tcW w:type="dxa" w:w="2492"/>
          </w:tcPr>
          <w:p>
            <w:pPr>
              <w:pStyle w:val="null3"/>
              <w:jc w:val="both"/>
            </w:pPr>
            <w:r>
              <w:rPr>
                <w:rFonts w:ascii="仿宋_GB2312" w:hAnsi="仿宋_GB2312" w:cs="仿宋_GB2312" w:eastAsia="仿宋_GB2312"/>
              </w:rPr>
              <w:t>投标人根据本项目特点制定食堂的卫生管理管控方案，方案内容包含但不限于：1.人员管理；2.厨房卫生清洁管理；3.设施设备安全操作及清洁维护。 1.方案涵盖上述3项内容且满足采购需求得6分； 2.上述3项内容每缺少一项扣2分；每项内容中每一处存在缺陷扣1分，扣完为止。内容缺陷是指：不满足采购需求或不适用本项目需求的情形。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安全应急预案</w:t>
            </w:r>
          </w:p>
        </w:tc>
        <w:tc>
          <w:tcPr>
            <w:tcW w:type="dxa" w:w="2492"/>
          </w:tcPr>
          <w:p>
            <w:pPr>
              <w:pStyle w:val="null3"/>
              <w:jc w:val="both"/>
            </w:pPr>
            <w:r>
              <w:rPr>
                <w:rFonts w:ascii="仿宋_GB2312" w:hAnsi="仿宋_GB2312" w:cs="仿宋_GB2312" w:eastAsia="仿宋_GB2312"/>
              </w:rPr>
              <w:t>投标人根据本项目特点制定食堂的安全应急预案，方案内容包含但不限于：1.食品安全、生产安全事故应急方案；2.就餐人员及食堂员工人身安全管理的应急方案；3.停水、停电、停气应急方案；4.火灾应急方案；5.自然灾害应急方案；6.各种突发性事件的应急方案。1.方案涵盖上述6项内容且满足采购需求得9分； 2.上述6项内容每缺少一项扣1.5分；每项内容中每一处存在缺陷扣0.75分，扣完为止。内容缺陷是指：不满足采购需求或不适用本项目需求的情形。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食材采购及配送管理方案</w:t>
            </w:r>
          </w:p>
        </w:tc>
        <w:tc>
          <w:tcPr>
            <w:tcW w:type="dxa" w:w="2492"/>
          </w:tcPr>
          <w:p>
            <w:pPr>
              <w:pStyle w:val="null3"/>
              <w:jc w:val="both"/>
            </w:pPr>
            <w:r>
              <w:rPr>
                <w:rFonts w:ascii="仿宋_GB2312" w:hAnsi="仿宋_GB2312" w:cs="仿宋_GB2312" w:eastAsia="仿宋_GB2312"/>
              </w:rPr>
              <w:t>投标人根据本项目特点制定食堂的食材采购及配送管理方案，方案内容包含但不限于：1.采购及配送管理制度；2.食材采购标准、食材自检、采购凭据留存；3.配送装卸流程；4.配送时限保障、临时加货处理、配送遗漏处罚措施；5.食材验收流程；6.采购及配送应急预案等。 1.方案涵盖上述6项内容且满足采购需求得12分； 2.上述6项内容每缺少一项扣2分；每项内容中每一处存在缺陷扣1分，扣完为止。内容缺陷是指：不满足采购需求或不适用本项目需求的情形。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企业资质</w:t>
            </w:r>
          </w:p>
        </w:tc>
        <w:tc>
          <w:tcPr>
            <w:tcW w:type="dxa" w:w="2492"/>
          </w:tcPr>
          <w:p>
            <w:pPr>
              <w:pStyle w:val="null3"/>
              <w:jc w:val="both"/>
            </w:pPr>
            <w:r>
              <w:rPr>
                <w:rFonts w:ascii="仿宋_GB2312" w:hAnsi="仿宋_GB2312" w:cs="仿宋_GB2312" w:eastAsia="仿宋_GB2312"/>
              </w:rPr>
              <w:t>1.投标人具有ISO9001质量体系认证的得3分； 2.投标人具有ISO14001环境管理体系认证的得3分； 3.投标人具有ISO45001职业健康安全管理体系认证证书的得3分； 4.投标人具有ISO22000食品安全管理体系的得3分； 证明材料：需提供证书复印件，并须同时提供在全国认证认可信息公开服务平台对体系证书的信息查询截图作为评审依据，已失效、暂停、撤销或不提供的不得分。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自2022年1月1日至今投标人提供类似项目业绩的，每提供一份得3分，满分9分； 证明材料：类似业绩服务合同里需包含餐饮管理、食堂食材采购等服务内容。请附上合同关键页（含签订合同双方的单位名称、合同项目名称、项目金额与含签订合同双方的落款盖章、签订日期的关键页）复印件作为类似业绩评价证明资料并加盖公章，未按要求提供证明材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本项目餐饮项目经理1名：具有大专及以上学历得1分，否则不得分；具有5年（含）以上餐饮服务工作经验得1分，3年（含）—5年（不含）餐饮服务工作经验得0.5分，3年（不含）以下餐饮服务工作经验不得分，满分2分。 2.本项目配备厨师4名：每名厨师具有5年（含）以上工作经验得2分,具有3年（含）—5年（不含）工作经验的得1分，3年以下工作经验不得分，满分8分。 3.本项目配备2名面点师：每名面点师具有3年（含）以上工作经验的得1分，3年以下工作经验不得分，满分2分。 4.本项目厨房主管1名：具有5年（含）以上工作经验，得2分；具有3年（含）—5年（不含）工作经验的，得1分；3年以下工作经验不得分，满分2分。 5.本项目业务助理兼仓管1名：具有3年（含）以上相关工作经验的，得1分；3年以下工作经验不得分，满分1分。 6.本项目除杂工10名：具有3年（含）以上相关工作经验的，每人得0.5分；3年以下工作经验不得分，满分5分。 7.本项目服务员2名：具有3年（含）以上相关工作经验的，每人得1分；3年以下工作经验不得分，满分2分。 8.本项目配菜厨师2名：具有3年（含）以上相关工作经验的，每人得1分；3年以下工作经验不得分，满分2分。 备注：以上相关人员不重复计分，相关人员须提供2025年1月至今任意3个月单位缴交社保证明和劳动合同复印件加盖投标单位公章，工作经验由该人员服务过的项目甲方出具工作经验证明函或提供的劳动合同中包含该人员姓名的扫描件。</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详见附件：国家税务总局澄迈县税务局2025-2027年物业及食堂服务合同.docx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HNGP2025-70</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国家税务总局澄迈县税务局2025-2027年物业及食堂服务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5093228.95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HNGP2025-70</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国家税务总局澄迈县税务局2025-2027年物业及食堂服务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食堂服务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3363447.74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食堂食材采购</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2484720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