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2025-2026学年度琼中县农村义务教育学生营养改善计划（牛奶+X+坚果）项目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HNPC2025-005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海南品诚项目咨询有限公司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琼中黎族苗族自治县教育局</w:t>
      </w:r>
      <w:r>
        <w:rPr>
          <w:rFonts w:ascii="仿宋_GB2312" w:hAnsi="仿宋_GB2312" w:cs="仿宋_GB2312" w:eastAsia="仿宋_GB2312"/>
        </w:rPr>
        <w:t xml:space="preserve"> 委托， </w:t>
      </w:r>
      <w:r>
        <w:rPr>
          <w:rFonts w:ascii="仿宋_GB2312" w:hAnsi="仿宋_GB2312" w:cs="仿宋_GB2312" w:eastAsia="仿宋_GB2312"/>
        </w:rPr>
        <w:t>海南品诚项目咨询有限公司</w:t>
      </w:r>
      <w:r>
        <w:rPr>
          <w:rFonts w:ascii="仿宋_GB2312" w:hAnsi="仿宋_GB2312" w:cs="仿宋_GB2312" w:eastAsia="仿宋_GB2312"/>
        </w:rPr>
        <w:t xml:space="preserve"> 对 </w:t>
      </w:r>
      <w:r>
        <w:rPr>
          <w:rFonts w:ascii="仿宋_GB2312" w:hAnsi="仿宋_GB2312" w:cs="仿宋_GB2312" w:eastAsia="仿宋_GB2312"/>
        </w:rPr>
        <w:t>2025-2026学年度琼中县农村义务教育学生营养改善计划（牛奶+X+坚果）项目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HNPC2025-005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2025-2026学年度琼中县农村义务教育学生营养改善计划（牛奶+X+坚果）项目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5,066,000.00元</w:t>
      </w:r>
      <w:r>
        <w:rPr>
          <w:rFonts w:ascii="仿宋_GB2312" w:hAnsi="仿宋_GB2312" w:cs="仿宋_GB2312" w:eastAsia="仿宋_GB2312"/>
        </w:rPr>
        <w:t>伍佰零陆万陆仟元整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合同签订之日起至2026年春季学期结束，具体时间以海南省教育厅颁布的校历时间为主</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1、投标人需具备有效的《食品经营许可证》，提供相关证书复印件加盖公章：投标人（如采取分包的，则接受分包的供应商也需提供相关证书复印件）需提供相关证书复印件加盖公章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2.本项目不接受联合体投标。3.本项目采购标的对应行业为零售业。接受分包合同的中小微企业与分包企业之间不得存在直接控股、管理关系。监狱企业、残疾人福利单位视同小型、微型企业。属于监狱企业的，提供由省级以上监狱管理局、戒毒管理局(含新疆生产建设兵团)出具的属于监狱企业的证明文件；属于残疾人福利性单位的，提供《残疾人福利性单位声明函》，否则不予认定。4.请投标人（供应商）详阅本文件中《政府采购电子招标投标活动须知》，并自行在海南省政府采购智慧云平台-下载专区查看相应的系统操作指南，严格按照操作指南要求进行系统操作。在使用交易系统遇到问题可致电海南省政府采购智慧云平台咨询。</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琼中黎族苗族自治县营根镇海榆路287号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0898-86225536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海南品诚项目咨询有限公司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海南省海口市龙华区新港路9号新港商业城401-405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0898-65381678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采购包1：5,066,000.00元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说明：签订合同之后打入采购人指定账户（具体以合同约定为准）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代理服务费收费标准：参照《海南省物价局关于降低部分招标代理服务收费标准的通知》(琼价费管【2011】225号)相关规定计取。本项目代理服务费为￥59520.00元（人民币伍万玖仟伍佰贰拾元整）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本项目为预留份额专门面向中小企业采购，要求合同分包给中小企业，且中小企业的合同金额不低于合同总额的30%。供应商须符合下列情形之一：（1）投标人不属于本项目采购标的对应行业（零售业）划分标准的中小企业的，须将适宜分包的内容分包给中小微企业（中小微企业分担的比例不得低于合同金额的30%），接受分包的中小微企业须符合分包标的对应行业（零售业）的政策划分标准。供应商须在投标（响应）文件中提交《分包意向协议书》和《中小企业声明函》。  （2）投标人属于本项目采购标的对应行业（零售业）划分标准的中小企业的，是否采取分包不作强制要求。若进行分包，则只能分包给中小微企业，接受分包的中小微企业须符合分包标的对应行业（零售业）的政策划分标准，供应商须在投标（响应）文件中提交《分包意向协议书》和《中小企业声明函》。若不进行分包，提交《中小企业声明函》。 注：①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②接受分包合同的中小微企业与分包企业之间不得存在直接控股、管理关系。③监狱企业、残疾人福利单位视同小型、微型企业。属于监狱企业的，提供由省级以上监狱管理局、戒毒管理局(含新疆生产建设兵团)出具的属于监狱企业的证明文件；属于残疾人福利性单位的，提供《残疾人福利性单位声明函》，否则不予认定。</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1.本项目接受供应商成功加密后的电子备用标书，未自备备份投标文件供应商可参加政府采购活动，但需自行承担因未自备备份投标文件而引起不利的后果。 2.采购预算补充说明：（1）本项目投标报价按采购预算金额进行固定报价，如不按要求报价视无效投标处理。（2）本 项 目 招 标 实 行 固 定 单 价 招 标，投标人报价填报等同项目预算金额的固定价即可。中标后按照5元/1天/1人/1餐标准配送，按实际配送量结算。 3.本项目资金来源：财政资金。 4.第二章投标人须知/二、总则/2.3.1.1中“（5）投标人无不良信用记录。”的原“投标人在“信用中国”网站（www.creditchina.gov.cn）未被列入失信被执行人、重大税收违法失信主体，在中国政府采购网（www.ccgp.gov.cn）未被列入政府采购严重违法失信行为记录名单。”，修改为“投标人在“信用中国”网站（www.creditchina.gov.cn）没有被列入重大税收违法失信主体，没有被列入中国执行信息公开网（http://zxgk.court.gov.cn/shixin/）失信被执行人名单和没有被列入“中国政府采购网”（www.ccgp.gov.cn）政府采购严重违法失信行为记录名单（以资格审查时采购人、采购代理机构在上述网站查询的结果为准，如相关失信记录已失效，投标人须提供相关证明资料并加盖公章）”。 5.评标委员会构成：5人，其中采购人代表1人，评标专家4人； 评标专家确定方式：（1）专家成员从海南省综合评标专家库中随机抽取；（2）技术、经济等方面专家不得少于三分之二。 6.中标人应在中标通知书签发后5个工作日内与采购人签订合同。 7.第五章的合同文本为云平台系统自带模板，但并不适用于本项目。本项目合同文本以采购文件“附件”中合同文本为准，请投标人注意。</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联系电话：0898-65381678</w:t>
      </w:r>
    </w:p>
    <w:p>
      <w:pPr>
        <w:pStyle w:val="null3"/>
        <w:jc w:val="left"/>
      </w:pPr>
      <w:r>
        <w:rPr>
          <w:rFonts w:ascii="仿宋_GB2312" w:hAnsi="仿宋_GB2312" w:cs="仿宋_GB2312" w:eastAsia="仿宋_GB2312"/>
        </w:rPr>
        <w:t>地址：海口市新港路9号新港商业城401-405</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为全县各中小学校没有食堂的单位或有食堂但条件不成熟单位的学生免费提供牛奶＋</w:t>
      </w:r>
      <w:r>
        <w:rPr>
          <w:rFonts w:ascii="仿宋_GB2312" w:hAnsi="仿宋_GB2312" w:cs="仿宋_GB2312" w:eastAsia="仿宋_GB2312"/>
          <w:sz w:val="21"/>
        </w:rPr>
        <w:t>X+坚果。在一定程度上提高学生的学习能力，学生营养状况有所改善，学生身高体重有所增长。6所学校5066名在校学生，每生每天享受到5元牛奶＋X+坚果的课间餐，由中标单位按时配送到指定学校，一年按200天配送。学校名单详见附件：2025年秋季学期至2026年春季学期学校营养餐配送表(以学期开始时实际学校名单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5,066,000.00</w:t>
      </w:r>
    </w:p>
    <w:p>
      <w:pPr>
        <w:pStyle w:val="null3"/>
        <w:jc w:val="left"/>
      </w:pPr>
      <w:r>
        <w:rPr>
          <w:rFonts w:ascii="仿宋_GB2312" w:hAnsi="仿宋_GB2312" w:cs="仿宋_GB2312" w:eastAsia="仿宋_GB2312"/>
        </w:rPr>
        <w:t>采购包最高限价（元）: 5,066,000.00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A07060203-方便食品</w:t>
            </w:r>
          </w:p>
        </w:tc>
        <w:tc>
          <w:tcPr>
            <w:tcW w:type="dxa" w:w="831"/>
          </w:tcPr>
          <w:p>
            <w:pPr>
              <w:pStyle w:val="null3"/>
              <w:jc w:val="right"/>
            </w:pPr>
            <w:r>
              <w:rPr>
                <w:rFonts w:ascii="仿宋_GB2312" w:hAnsi="仿宋_GB2312" w:cs="仿宋_GB2312" w:eastAsia="仿宋_GB2312"/>
              </w:rPr>
              <w:t>1,013,200.00</w:t>
            </w:r>
          </w:p>
        </w:tc>
        <w:tc>
          <w:tcPr>
            <w:tcW w:type="dxa" w:w="831"/>
          </w:tcPr>
          <w:p>
            <w:pPr>
              <w:pStyle w:val="null3"/>
              <w:jc w:val="right"/>
            </w:pPr>
            <w:r>
              <w:rPr>
                <w:rFonts w:ascii="仿宋_GB2312" w:hAnsi="仿宋_GB2312" w:cs="仿宋_GB2312" w:eastAsia="仿宋_GB2312"/>
              </w:rPr>
              <w:t>5,066,000.00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2025-2026学年度琼中县农村义务教育学生营养改善计划（牛奶+X+坚果）项目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本项目为固定报价，即5066000.00元。报价不参与竞争。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标的名称：A07060203-方便食品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Pr>
                <w:p>
                  <w:pPr>
                    <w:pStyle w:val="null3"/>
                    <w:jc w:val="left"/>
                  </w:pPr>
                  <w:r>
                    <w:rPr>
                      <w:rFonts w:ascii="仿宋_GB2312" w:hAnsi="仿宋_GB2312" w:cs="仿宋_GB2312" w:eastAsia="仿宋_GB2312"/>
                      <w:sz w:val="19"/>
                    </w:rPr>
                    <w:t>序号</w:t>
                  </w:r>
                </w:p>
              </w:tc>
              <w:tc>
                <w:tcPr>
                  <w:tcW w:type="dxa" w:w="365"/>
                </w:tcPr>
                <w:p>
                  <w:pPr>
                    <w:pStyle w:val="null3"/>
                    <w:jc w:val="left"/>
                  </w:pPr>
                  <w:r>
                    <w:rPr>
                      <w:rFonts w:ascii="仿宋_GB2312" w:hAnsi="仿宋_GB2312" w:cs="仿宋_GB2312" w:eastAsia="仿宋_GB2312"/>
                      <w:sz w:val="19"/>
                    </w:rPr>
                    <w:t>标的名称</w:t>
                  </w:r>
                </w:p>
              </w:tc>
              <w:tc>
                <w:tcPr>
                  <w:tcW w:type="dxa" w:w="365"/>
                </w:tcPr>
                <w:p>
                  <w:pPr>
                    <w:pStyle w:val="null3"/>
                    <w:jc w:val="left"/>
                  </w:pPr>
                  <w:r>
                    <w:rPr>
                      <w:rFonts w:ascii="仿宋_GB2312" w:hAnsi="仿宋_GB2312" w:cs="仿宋_GB2312" w:eastAsia="仿宋_GB2312"/>
                      <w:sz w:val="19"/>
                    </w:rPr>
                    <w:t>技术参数/功能描述</w:t>
                  </w:r>
                </w:p>
              </w:tc>
              <w:tc>
                <w:tcPr>
                  <w:tcW w:type="dxa" w:w="365"/>
                </w:tcPr>
                <w:p>
                  <w:pPr>
                    <w:pStyle w:val="null3"/>
                    <w:jc w:val="left"/>
                  </w:pPr>
                  <w:r>
                    <w:rPr>
                      <w:rFonts w:ascii="仿宋_GB2312" w:hAnsi="仿宋_GB2312" w:cs="仿宋_GB2312" w:eastAsia="仿宋_GB2312"/>
                      <w:sz w:val="19"/>
                    </w:rPr>
                    <w:t>单位</w:t>
                  </w:r>
                </w:p>
              </w:tc>
              <w:tc>
                <w:tcPr>
                  <w:tcW w:type="dxa" w:w="365"/>
                </w:tcPr>
                <w:p>
                  <w:pPr>
                    <w:pStyle w:val="null3"/>
                    <w:jc w:val="left"/>
                  </w:pPr>
                  <w:r>
                    <w:rPr>
                      <w:rFonts w:ascii="仿宋_GB2312" w:hAnsi="仿宋_GB2312" w:cs="仿宋_GB2312" w:eastAsia="仿宋_GB2312"/>
                      <w:sz w:val="19"/>
                    </w:rPr>
                    <w:t>数量</w:t>
                  </w:r>
                </w:p>
              </w:tc>
              <w:tc>
                <w:tcPr>
                  <w:tcW w:type="dxa" w:w="365"/>
                </w:tcPr>
                <w:p>
                  <w:pPr>
                    <w:pStyle w:val="null3"/>
                    <w:jc w:val="left"/>
                  </w:pPr>
                  <w:r>
                    <w:rPr>
                      <w:rFonts w:ascii="仿宋_GB2312" w:hAnsi="仿宋_GB2312" w:cs="仿宋_GB2312" w:eastAsia="仿宋_GB2312"/>
                      <w:sz w:val="19"/>
                    </w:rPr>
                    <w:t>补助标准</w:t>
                  </w:r>
                </w:p>
              </w:tc>
              <w:tc>
                <w:tcPr>
                  <w:tcW w:type="dxa" w:w="365"/>
                </w:tcPr>
                <w:p>
                  <w:pPr>
                    <w:pStyle w:val="null3"/>
                    <w:jc w:val="left"/>
                  </w:pPr>
                  <w:r>
                    <w:rPr>
                      <w:rFonts w:ascii="仿宋_GB2312" w:hAnsi="仿宋_GB2312" w:cs="仿宋_GB2312" w:eastAsia="仿宋_GB2312"/>
                      <w:sz w:val="19"/>
                    </w:rPr>
                    <w:t>备注</w:t>
                  </w:r>
                </w:p>
              </w:tc>
            </w:tr>
            <w:tr>
              <w:tc>
                <w:tcPr>
                  <w:tcW w:type="dxa" w:w="365"/>
                </w:tcPr>
                <w:p>
                  <w:pPr>
                    <w:pStyle w:val="null3"/>
                    <w:jc w:val="left"/>
                  </w:pPr>
                  <w:r>
                    <w:rPr>
                      <w:rFonts w:ascii="仿宋_GB2312" w:hAnsi="仿宋_GB2312" w:cs="仿宋_GB2312" w:eastAsia="仿宋_GB2312"/>
                      <w:sz w:val="19"/>
                    </w:rPr>
                    <w:t>1</w:t>
                  </w:r>
                </w:p>
              </w:tc>
              <w:tc>
                <w:tcPr>
                  <w:tcW w:type="dxa" w:w="365"/>
                </w:tcPr>
                <w:p>
                  <w:pPr>
                    <w:pStyle w:val="null3"/>
                    <w:jc w:val="left"/>
                  </w:pPr>
                  <w:r>
                    <w:rPr>
                      <w:rFonts w:ascii="仿宋_GB2312" w:hAnsi="仿宋_GB2312" w:cs="仿宋_GB2312" w:eastAsia="仿宋_GB2312"/>
                      <w:sz w:val="19"/>
                    </w:rPr>
                    <w:t>学生饮用奶200ml/人/天</w:t>
                  </w:r>
                </w:p>
              </w:tc>
              <w:tc>
                <w:tcPr>
                  <w:tcW w:type="dxa" w:w="365"/>
                </w:tcPr>
                <w:p>
                  <w:pPr>
                    <w:pStyle w:val="null3"/>
                    <w:jc w:val="left"/>
                  </w:pPr>
                  <w:r>
                    <w:rPr>
                      <w:rFonts w:ascii="仿宋_GB2312" w:hAnsi="仿宋_GB2312" w:cs="仿宋_GB2312" w:eastAsia="仿宋_GB2312"/>
                      <w:sz w:val="19"/>
                    </w:rPr>
                    <w:t>1.产品规格：每份牛奶的单盒装净含量采用200毫升规格，净含量负偏差符合国家规定。</w:t>
                  </w:r>
                </w:p>
                <w:p>
                  <w:pPr>
                    <w:pStyle w:val="null3"/>
                    <w:jc w:val="left"/>
                  </w:pPr>
                  <w:r>
                    <w:rPr>
                      <w:rFonts w:ascii="仿宋_GB2312" w:hAnsi="仿宋_GB2312" w:cs="仿宋_GB2312" w:eastAsia="仿宋_GB2312"/>
                      <w:sz w:val="19"/>
                    </w:rPr>
                    <w:t>2.执行标准：乳品企业有完善的生产工艺流程和质量控制手段，通过国际质量管理体系认证、环境管理体系认证、质量危害控制HACCP认证。</w:t>
                  </w:r>
                </w:p>
                <w:p>
                  <w:pPr>
                    <w:pStyle w:val="null3"/>
                    <w:jc w:val="left"/>
                  </w:pPr>
                  <w:r>
                    <w:rPr>
                      <w:rFonts w:ascii="仿宋_GB2312" w:hAnsi="仿宋_GB2312" w:cs="仿宋_GB2312" w:eastAsia="仿宋_GB2312"/>
                      <w:sz w:val="19"/>
                    </w:rPr>
                    <w:t xml:space="preserve"> 3.学生饮用奶必须是纯奶制品。生产全脂灭菌调味乳作学生饮用奶，纯牛奶的比例不得低于80%。</w:t>
                  </w:r>
                </w:p>
                <w:p>
                  <w:pPr>
                    <w:pStyle w:val="null3"/>
                    <w:jc w:val="left"/>
                  </w:pPr>
                  <w:r>
                    <w:rPr>
                      <w:rFonts w:ascii="仿宋_GB2312" w:hAnsi="仿宋_GB2312" w:cs="仿宋_GB2312" w:eastAsia="仿宋_GB2312"/>
                      <w:sz w:val="19"/>
                    </w:rPr>
                    <w:t xml:space="preserve">   4.采用赶高温瞬时灭菌或保持灭菌制成，无菌灌装，利乐砖包装，不添加任何防腐剂，常温下至少能保质30天以上。在包装盒上印制学生饮用奶统一标志。</w:t>
                  </w:r>
                </w:p>
                <w:p>
                  <w:pPr>
                    <w:pStyle w:val="null3"/>
                    <w:jc w:val="left"/>
                  </w:pPr>
                  <w:r>
                    <w:rPr>
                      <w:rFonts w:ascii="仿宋_GB2312" w:hAnsi="仿宋_GB2312" w:cs="仿宋_GB2312" w:eastAsia="仿宋_GB2312"/>
                      <w:sz w:val="19"/>
                    </w:rPr>
                    <w:t xml:space="preserve">   5.每周提供4天纯牛奶，1天调制奶（不同口味轮流换）。</w:t>
                  </w:r>
                </w:p>
                <w:p>
                  <w:pPr>
                    <w:pStyle w:val="null3"/>
                    <w:jc w:val="left"/>
                  </w:pPr>
                  <w:r>
                    <w:rPr>
                      <w:rFonts w:ascii="仿宋_GB2312" w:hAnsi="仿宋_GB2312" w:cs="仿宋_GB2312" w:eastAsia="仿宋_GB2312"/>
                      <w:sz w:val="19"/>
                    </w:rPr>
                    <w:t xml:space="preserve">   6.提供的牛奶(学生饮用奶)必须是新鲜的，必须是从出厂之日起60天内送达实施营养改善计划的学校。</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val="restart"/>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5元/人·天</w:t>
                  </w:r>
                </w:p>
              </w:tc>
              <w:tc>
                <w:tcPr>
                  <w:tcW w:type="dxa" w:w="365"/>
                  <w:vMerge w:val="restart"/>
                </w:tcPr>
                <w:p>
                  <w:pPr>
                    <w:pStyle w:val="null3"/>
                    <w:jc w:val="left"/>
                  </w:pPr>
                  <w:r>
                    <w:rPr>
                      <w:rFonts w:ascii="仿宋_GB2312" w:hAnsi="仿宋_GB2312" w:cs="仿宋_GB2312" w:eastAsia="仿宋_GB2312"/>
                      <w:sz w:val="19"/>
                    </w:rPr>
                    <w:t>按</w:t>
                  </w:r>
                </w:p>
                <w:p>
                  <w:pPr>
                    <w:pStyle w:val="null3"/>
                    <w:jc w:val="left"/>
                  </w:pPr>
                  <w:r>
                    <w:rPr>
                      <w:rFonts w:ascii="仿宋_GB2312" w:hAnsi="仿宋_GB2312" w:cs="仿宋_GB2312" w:eastAsia="仿宋_GB2312"/>
                      <w:sz w:val="19"/>
                    </w:rPr>
                    <w:t>实</w:t>
                  </w:r>
                </w:p>
                <w:p>
                  <w:pPr>
                    <w:pStyle w:val="null3"/>
                    <w:jc w:val="left"/>
                  </w:pPr>
                  <w:r>
                    <w:rPr>
                      <w:rFonts w:ascii="仿宋_GB2312" w:hAnsi="仿宋_GB2312" w:cs="仿宋_GB2312" w:eastAsia="仿宋_GB2312"/>
                      <w:sz w:val="19"/>
                    </w:rPr>
                    <w:t>际</w:t>
                  </w:r>
                </w:p>
                <w:p>
                  <w:pPr>
                    <w:pStyle w:val="null3"/>
                    <w:jc w:val="left"/>
                  </w:pPr>
                  <w:r>
                    <w:rPr>
                      <w:rFonts w:ascii="仿宋_GB2312" w:hAnsi="仿宋_GB2312" w:cs="仿宋_GB2312" w:eastAsia="仿宋_GB2312"/>
                      <w:sz w:val="19"/>
                    </w:rPr>
                    <w:t>配</w:t>
                  </w:r>
                </w:p>
                <w:p>
                  <w:pPr>
                    <w:pStyle w:val="null3"/>
                    <w:jc w:val="left"/>
                  </w:pPr>
                  <w:r>
                    <w:rPr>
                      <w:rFonts w:ascii="仿宋_GB2312" w:hAnsi="仿宋_GB2312" w:cs="仿宋_GB2312" w:eastAsia="仿宋_GB2312"/>
                      <w:sz w:val="19"/>
                    </w:rPr>
                    <w:t>送</w:t>
                  </w:r>
                </w:p>
                <w:p>
                  <w:pPr>
                    <w:pStyle w:val="null3"/>
                    <w:jc w:val="left"/>
                  </w:pPr>
                  <w:r>
                    <w:rPr>
                      <w:rFonts w:ascii="仿宋_GB2312" w:hAnsi="仿宋_GB2312" w:cs="仿宋_GB2312" w:eastAsia="仿宋_GB2312"/>
                      <w:sz w:val="19"/>
                    </w:rPr>
                    <w:t>结</w:t>
                  </w:r>
                </w:p>
                <w:p>
                  <w:pPr>
                    <w:pStyle w:val="null3"/>
                    <w:jc w:val="left"/>
                  </w:pPr>
                  <w:r>
                    <w:rPr>
                      <w:rFonts w:ascii="仿宋_GB2312" w:hAnsi="仿宋_GB2312" w:cs="仿宋_GB2312" w:eastAsia="仿宋_GB2312"/>
                      <w:sz w:val="19"/>
                    </w:rPr>
                    <w:t>算</w:t>
                  </w:r>
                </w:p>
              </w:tc>
            </w:tr>
            <w:tr>
              <w:tc>
                <w:tcPr>
                  <w:tcW w:type="dxa" w:w="365"/>
                </w:tcPr>
                <w:p>
                  <w:pPr>
                    <w:pStyle w:val="null3"/>
                    <w:jc w:val="left"/>
                  </w:pPr>
                  <w:r>
                    <w:rPr>
                      <w:rFonts w:ascii="仿宋_GB2312" w:hAnsi="仿宋_GB2312" w:cs="仿宋_GB2312" w:eastAsia="仿宋_GB2312"/>
                      <w:sz w:val="19"/>
                    </w:rPr>
                    <w:t>2</w:t>
                  </w:r>
                </w:p>
              </w:tc>
              <w:tc>
                <w:tcPr>
                  <w:tcW w:type="dxa" w:w="365"/>
                </w:tcPr>
                <w:p>
                  <w:pPr>
                    <w:pStyle w:val="null3"/>
                    <w:jc w:val="left"/>
                  </w:pPr>
                  <w:r>
                    <w:rPr>
                      <w:rFonts w:ascii="仿宋_GB2312" w:hAnsi="仿宋_GB2312" w:cs="仿宋_GB2312" w:eastAsia="仿宋_GB2312"/>
                      <w:sz w:val="19"/>
                    </w:rPr>
                    <w:t>鸡蛋/人/天</w:t>
                  </w:r>
                </w:p>
              </w:tc>
              <w:tc>
                <w:tcPr>
                  <w:tcW w:type="dxa" w:w="365"/>
                </w:tcPr>
                <w:p>
                  <w:pPr>
                    <w:pStyle w:val="null3"/>
                    <w:jc w:val="left"/>
                  </w:pPr>
                  <w:r>
                    <w:rPr>
                      <w:rFonts w:ascii="仿宋_GB2312" w:hAnsi="仿宋_GB2312" w:cs="仿宋_GB2312" w:eastAsia="仿宋_GB2312"/>
                      <w:sz w:val="19"/>
                    </w:rPr>
                    <w:t>鸡蛋的基本要求：单个鸡蛋重量不低50克；鸡蛋必须是煮熟的经过安全加工的新鲜鸡蛋，且不能破损；鸡蛋无公害、无残药、无激素，大小均匀。</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tcPr>
                <w:p/>
              </w:tc>
              <w:tc>
                <w:tcPr>
                  <w:tcW w:type="dxa" w:w="365"/>
                  <w:vMerge/>
                </w:tcPr>
                <w:p/>
              </w:tc>
            </w:tr>
            <w:tr>
              <w:tc>
                <w:tcPr>
                  <w:tcW w:type="dxa" w:w="365"/>
                </w:tcPr>
                <w:p>
                  <w:pPr>
                    <w:pStyle w:val="null3"/>
                    <w:jc w:val="left"/>
                  </w:pPr>
                  <w:r>
                    <w:rPr>
                      <w:rFonts w:ascii="仿宋_GB2312" w:hAnsi="仿宋_GB2312" w:cs="仿宋_GB2312" w:eastAsia="仿宋_GB2312"/>
                      <w:sz w:val="19"/>
                    </w:rPr>
                    <w:t>3</w:t>
                  </w:r>
                </w:p>
              </w:tc>
              <w:tc>
                <w:tcPr>
                  <w:tcW w:type="dxa" w:w="365"/>
                </w:tcPr>
                <w:p>
                  <w:pPr>
                    <w:pStyle w:val="null3"/>
                    <w:jc w:val="left"/>
                  </w:pPr>
                  <w:r>
                    <w:rPr>
                      <w:rFonts w:ascii="仿宋_GB2312" w:hAnsi="仿宋_GB2312" w:cs="仿宋_GB2312" w:eastAsia="仿宋_GB2312"/>
                      <w:sz w:val="19"/>
                    </w:rPr>
                    <w:t>面包/人/天</w:t>
                  </w:r>
                </w:p>
              </w:tc>
              <w:tc>
                <w:tcPr>
                  <w:tcW w:type="dxa" w:w="365"/>
                </w:tcPr>
                <w:p>
                  <w:pPr>
                    <w:pStyle w:val="null3"/>
                    <w:jc w:val="left"/>
                  </w:pPr>
                  <w:r>
                    <w:rPr>
                      <w:rFonts w:ascii="仿宋_GB2312" w:hAnsi="仿宋_GB2312" w:cs="仿宋_GB2312" w:eastAsia="仿宋_GB2312"/>
                      <w:sz w:val="19"/>
                    </w:rPr>
                    <w:t>面包的基本要求：净重量不低于50克，符合国家相关标准和强制性规定要求；食品成品必须符合《食品安全国家标准》，卫生、营养，保质期在60天以上，食品应从出厂之日起30天内送达实施营养改善计划的学校，包装符合相关要求（可开袋直接食用）；无破漏、胀包、霉包、坏包。</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tcPr>
                <w:p/>
              </w:tc>
              <w:tc>
                <w:tcPr>
                  <w:tcW w:type="dxa" w:w="365"/>
                  <w:vMerge/>
                </w:tcPr>
                <w:p/>
              </w:tc>
            </w:tr>
            <w:tr>
              <w:tc>
                <w:tcPr>
                  <w:tcW w:type="dxa" w:w="365"/>
                </w:tcPr>
                <w:p>
                  <w:pPr>
                    <w:pStyle w:val="null3"/>
                    <w:jc w:val="left"/>
                  </w:pPr>
                  <w:r>
                    <w:rPr>
                      <w:rFonts w:ascii="仿宋_GB2312" w:hAnsi="仿宋_GB2312" w:cs="仿宋_GB2312" w:eastAsia="仿宋_GB2312"/>
                      <w:sz w:val="19"/>
                    </w:rPr>
                    <w:t>4</w:t>
                  </w:r>
                </w:p>
              </w:tc>
              <w:tc>
                <w:tcPr>
                  <w:tcW w:type="dxa" w:w="365"/>
                </w:tcPr>
                <w:p>
                  <w:pPr>
                    <w:pStyle w:val="null3"/>
                    <w:jc w:val="left"/>
                  </w:pPr>
                  <w:r>
                    <w:rPr>
                      <w:rFonts w:ascii="仿宋_GB2312" w:hAnsi="仿宋_GB2312" w:cs="仿宋_GB2312" w:eastAsia="仿宋_GB2312"/>
                      <w:sz w:val="19"/>
                    </w:rPr>
                    <w:t>小蛋糕/人/天</w:t>
                  </w:r>
                </w:p>
              </w:tc>
              <w:tc>
                <w:tcPr>
                  <w:tcW w:type="dxa" w:w="365"/>
                </w:tcPr>
                <w:p>
                  <w:pPr>
                    <w:pStyle w:val="null3"/>
                    <w:jc w:val="left"/>
                  </w:pPr>
                  <w:r>
                    <w:rPr>
                      <w:rFonts w:ascii="仿宋_GB2312" w:hAnsi="仿宋_GB2312" w:cs="仿宋_GB2312" w:eastAsia="仿宋_GB2312"/>
                      <w:sz w:val="19"/>
                    </w:rPr>
                    <w:t>小蛋糕的基本要求：净重量不低于50克，符合国家相关标准和强制性规定要求；食品成品必须符合《食品安全国家标准》，卫生、营养，保质期在60天以上，食品应从出厂之日起30天内送达实施营养改善计划的学校，包装符合相关要求（可开袋直接食用）；无破漏、胀包、霉包、坏包。</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tcPr>
                <w:p/>
              </w:tc>
              <w:tc>
                <w:tcPr>
                  <w:tcW w:type="dxa" w:w="365"/>
                  <w:vMerge/>
                </w:tcPr>
                <w:p/>
              </w:tc>
            </w:tr>
            <w:tr>
              <w:tc>
                <w:tcPr>
                  <w:tcW w:type="dxa" w:w="365"/>
                </w:tcPr>
                <w:p>
                  <w:pPr>
                    <w:pStyle w:val="null3"/>
                    <w:jc w:val="left"/>
                  </w:pPr>
                  <w:r>
                    <w:rPr>
                      <w:rFonts w:ascii="仿宋_GB2312" w:hAnsi="仿宋_GB2312" w:cs="仿宋_GB2312" w:eastAsia="仿宋_GB2312"/>
                      <w:sz w:val="19"/>
                    </w:rPr>
                    <w:t>5</w:t>
                  </w:r>
                </w:p>
              </w:tc>
              <w:tc>
                <w:tcPr>
                  <w:tcW w:type="dxa" w:w="365"/>
                </w:tcPr>
                <w:p>
                  <w:pPr>
                    <w:pStyle w:val="null3"/>
                    <w:jc w:val="left"/>
                  </w:pPr>
                  <w:r>
                    <w:rPr>
                      <w:rFonts w:ascii="仿宋_GB2312" w:hAnsi="仿宋_GB2312" w:cs="仿宋_GB2312" w:eastAsia="仿宋_GB2312"/>
                      <w:sz w:val="19"/>
                    </w:rPr>
                    <w:t>果蔬干类/人/天</w:t>
                  </w:r>
                </w:p>
              </w:tc>
              <w:tc>
                <w:tcPr>
                  <w:tcW w:type="dxa" w:w="365"/>
                </w:tcPr>
                <w:p>
                  <w:pPr>
                    <w:pStyle w:val="null3"/>
                    <w:jc w:val="left"/>
                  </w:pPr>
                  <w:r>
                    <w:rPr>
                      <w:rFonts w:ascii="仿宋_GB2312" w:hAnsi="仿宋_GB2312" w:cs="仿宋_GB2312" w:eastAsia="仿宋_GB2312"/>
                      <w:sz w:val="19"/>
                    </w:rPr>
                    <w:t>果蔬干类基本要求：1.产品必须符合国家相关标准和强制性规定要求； 2.食品成品必须符合《食品安全国家标准》，卫生、营养，保质期在60天以上，食品应从出厂之日起30天内送达实施营养改善计划的学校，包装符合相关要求（可开袋直接食用）3.滋味和口感：具有该产品应有的滋味与口感，无霉味、无异味；4.水分含量每 100g不大于20g。</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tcPr>
                <w:p/>
              </w:tc>
              <w:tc>
                <w:tcPr>
                  <w:tcW w:type="dxa" w:w="365"/>
                  <w:vMerge/>
                </w:tcPr>
                <w:p/>
              </w:tc>
            </w:tr>
            <w:tr>
              <w:tc>
                <w:tcPr>
                  <w:tcW w:type="dxa" w:w="365"/>
                </w:tcPr>
                <w:p>
                  <w:pPr>
                    <w:pStyle w:val="null3"/>
                    <w:jc w:val="left"/>
                  </w:pPr>
                  <w:r>
                    <w:rPr>
                      <w:rFonts w:ascii="仿宋_GB2312" w:hAnsi="仿宋_GB2312" w:cs="仿宋_GB2312" w:eastAsia="仿宋_GB2312"/>
                      <w:sz w:val="19"/>
                    </w:rPr>
                    <w:t>6</w:t>
                  </w:r>
                </w:p>
              </w:tc>
              <w:tc>
                <w:tcPr>
                  <w:tcW w:type="dxa" w:w="365"/>
                </w:tcPr>
                <w:p>
                  <w:pPr>
                    <w:pStyle w:val="null3"/>
                    <w:jc w:val="left"/>
                  </w:pPr>
                  <w:r>
                    <w:rPr>
                      <w:rFonts w:ascii="仿宋_GB2312" w:hAnsi="仿宋_GB2312" w:cs="仿宋_GB2312" w:eastAsia="仿宋_GB2312"/>
                      <w:sz w:val="19"/>
                    </w:rPr>
                    <w:t>坚果/人/天</w:t>
                  </w:r>
                </w:p>
              </w:tc>
              <w:tc>
                <w:tcPr>
                  <w:tcW w:type="dxa" w:w="365"/>
                </w:tcPr>
                <w:p>
                  <w:pPr>
                    <w:pStyle w:val="null3"/>
                    <w:jc w:val="left"/>
                  </w:pPr>
                  <w:r>
                    <w:rPr>
                      <w:rFonts w:ascii="仿宋_GB2312" w:hAnsi="仿宋_GB2312" w:cs="仿宋_GB2312" w:eastAsia="仿宋_GB2312"/>
                      <w:sz w:val="19"/>
                    </w:rPr>
                    <w:t>坚果的基本要求：净重量不低于20克，符合国家相关标准和强制性规定要求；食品成品必须符合《食品安全国家标准》，卫生、营养，保质期在60天以上，食品应从出厂之日起30天内送达实施营养改善计划的学校，包装符合相关要求（可开袋直接食用）；无破漏、胀包、霉包、坏包。</w:t>
                  </w:r>
                </w:p>
              </w:tc>
              <w:tc>
                <w:tcPr>
                  <w:tcW w:type="dxa" w:w="365"/>
                </w:tcPr>
                <w:p>
                  <w:pPr>
                    <w:pStyle w:val="null3"/>
                    <w:jc w:val="left"/>
                  </w:pPr>
                  <w:r>
                    <w:rPr>
                      <w:rFonts w:ascii="仿宋_GB2312" w:hAnsi="仿宋_GB2312" w:cs="仿宋_GB2312" w:eastAsia="仿宋_GB2312"/>
                      <w:sz w:val="19"/>
                    </w:rPr>
                    <w:t>天</w:t>
                  </w:r>
                </w:p>
              </w:tc>
              <w:tc>
                <w:tcPr>
                  <w:tcW w:type="dxa" w:w="365"/>
                </w:tcPr>
                <w:p>
                  <w:pPr>
                    <w:pStyle w:val="null3"/>
                    <w:jc w:val="left"/>
                  </w:pPr>
                  <w:r>
                    <w:rPr>
                      <w:rFonts w:ascii="仿宋_GB2312" w:hAnsi="仿宋_GB2312" w:cs="仿宋_GB2312" w:eastAsia="仿宋_GB2312"/>
                      <w:sz w:val="19"/>
                    </w:rPr>
                    <w:t>200</w:t>
                  </w:r>
                </w:p>
              </w:tc>
              <w:tc>
                <w:tcPr>
                  <w:tcW w:type="dxa" w:w="365"/>
                  <w:vMerge/>
                </w:tcPr>
                <w:p/>
              </w:tc>
              <w:tc>
                <w:tcPr>
                  <w:tcW w:type="dxa" w:w="365"/>
                  <w:vMerge/>
                </w:tcPr>
                <w:p/>
              </w:tc>
            </w:tr>
            <w:tr>
              <w:tc>
                <w:tcPr>
                  <w:tcW w:type="dxa" w:w="365"/>
                </w:tcPr>
                <w:p>
                  <w:pPr>
                    <w:pStyle w:val="null3"/>
                    <w:jc w:val="left"/>
                  </w:pPr>
                  <w:r>
                    <w:rPr>
                      <w:rFonts w:ascii="仿宋_GB2312" w:hAnsi="仿宋_GB2312" w:cs="仿宋_GB2312" w:eastAsia="仿宋_GB2312"/>
                      <w:sz w:val="19"/>
                    </w:rPr>
                    <w:t>7</w:t>
                  </w:r>
                </w:p>
              </w:tc>
              <w:tc>
                <w:tcPr>
                  <w:tcW w:type="dxa" w:w="365"/>
                </w:tcPr>
                <w:p>
                  <w:pPr>
                    <w:pStyle w:val="null3"/>
                    <w:jc w:val="left"/>
                  </w:pPr>
                  <w:r>
                    <w:rPr>
                      <w:rFonts w:ascii="仿宋_GB2312" w:hAnsi="仿宋_GB2312" w:cs="仿宋_GB2312" w:eastAsia="仿宋_GB2312"/>
                      <w:sz w:val="19"/>
                    </w:rPr>
                    <w:t>其他类</w:t>
                  </w:r>
                </w:p>
              </w:tc>
              <w:tc>
                <w:tcPr>
                  <w:tcW w:type="dxa" w:w="365"/>
                </w:tcPr>
                <w:p>
                  <w:pPr>
                    <w:pStyle w:val="null3"/>
                    <w:jc w:val="left"/>
                  </w:pPr>
                  <w:r>
                    <w:rPr>
                      <w:rFonts w:ascii="仿宋_GB2312" w:hAnsi="仿宋_GB2312" w:cs="仿宋_GB2312" w:eastAsia="仿宋_GB2312"/>
                      <w:sz w:val="19"/>
                    </w:rPr>
                    <w:t>1.产品必须符合国家相关标准和强制性规定要求。</w:t>
                  </w:r>
                </w:p>
                <w:p>
                  <w:pPr>
                    <w:pStyle w:val="null3"/>
                    <w:jc w:val="left"/>
                  </w:pPr>
                  <w:r>
                    <w:rPr>
                      <w:rFonts w:ascii="仿宋_GB2312" w:hAnsi="仿宋_GB2312" w:cs="仿宋_GB2312" w:eastAsia="仿宋_GB2312"/>
                      <w:sz w:val="19"/>
                    </w:rPr>
                    <w:t>2.符合学生日常的营养需要，不得提供垃圾食品。</w:t>
                  </w:r>
                </w:p>
              </w:tc>
              <w:tc>
                <w:tcPr>
                  <w:tcW w:type="dxa" w:w="365"/>
                </w:tcPr>
                <w:p>
                  <w:pPr>
                    <w:pStyle w:val="null3"/>
                    <w:jc w:val="left"/>
                  </w:pPr>
                  <w:r>
                    <w:rPr>
                      <w:rFonts w:ascii="仿宋_GB2312" w:hAnsi="仿宋_GB2312" w:cs="仿宋_GB2312" w:eastAsia="仿宋_GB2312"/>
                      <w:sz w:val="19"/>
                    </w:rPr>
                    <w:t xml:space="preserve"> </w:t>
                  </w:r>
                </w:p>
              </w:tc>
              <w:tc>
                <w:tcPr>
                  <w:tcW w:type="dxa" w:w="365"/>
                </w:tcPr>
                <w:p>
                  <w:pPr>
                    <w:pStyle w:val="null3"/>
                    <w:jc w:val="left"/>
                  </w:pPr>
                  <w:r>
                    <w:rPr>
                      <w:rFonts w:ascii="仿宋_GB2312" w:hAnsi="仿宋_GB2312" w:cs="仿宋_GB2312" w:eastAsia="仿宋_GB2312"/>
                      <w:sz w:val="19"/>
                    </w:rPr>
                    <w:t xml:space="preserve"> </w:t>
                  </w:r>
                </w:p>
              </w:tc>
              <w:tc>
                <w:tcPr>
                  <w:tcW w:type="dxa" w:w="365"/>
                  <w:vMerge/>
                </w:tcPr>
                <w:p/>
              </w:tc>
              <w:tc>
                <w:tcPr>
                  <w:tcW w:type="dxa" w:w="365"/>
                  <w:vMerge/>
                </w:tcPr>
                <w:p/>
              </w:tc>
            </w:tr>
          </w:tbl>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1.学生饮用奶为核心产品。</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2.投标人需提供不少于4组（含）组合方案，明确各类食品品牌和产品，并在报价明细表中体现，牛奶和坚果为每天固定提供，剩下的X由供应商根据自身情况自行提供，提供的牛奶+X+坚果须保证学生每周摄入的能量和营养素目标值达到《海南省农村义务教育学生营养改善计划“牛奶+X”课间餐食物营养标准》的通知（琼学生营养办〔2017〕15号）的要求：能量1750-2000kcal，蛋白质 60g，碳水化合物 250g， 维生物 A：670ugRAE，维生素 D：10ug，钙 1000mg，铁 15mg。</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3.投标人提供的组成方案需提供具有检验检测资质的第三方出具符合营养标准的检测报告或食品能量表，并且投标人须让生产企业出具责任函，确保检测报告真实有效，以满足课间餐食物营养的标准。</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4.所投产品生产企业产品近三年均无重大质量安全方面事故（提供声明函（格式自拟）加盖生产企业公章）。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（一）产品配送、储存、加工及验收基本要求</w:t>
            </w:r>
          </w:p>
          <w:p>
            <w:pPr>
              <w:pStyle w:val="null3"/>
              <w:jc w:val="left"/>
            </w:pPr>
            <w:r>
              <w:rPr>
                <w:rFonts w:ascii="仿宋_GB2312" w:hAnsi="仿宋_GB2312" w:cs="仿宋_GB2312" w:eastAsia="仿宋_GB2312"/>
              </w:rPr>
              <w:t>1.配送</w:t>
            </w:r>
          </w:p>
          <w:p>
            <w:pPr>
              <w:pStyle w:val="null3"/>
              <w:jc w:val="left"/>
            </w:pPr>
            <w:r>
              <w:rPr>
                <w:rFonts w:ascii="仿宋_GB2312" w:hAnsi="仿宋_GB2312" w:cs="仿宋_GB2312" w:eastAsia="仿宋_GB2312"/>
              </w:rPr>
              <w:t>（1）中标人需每个星期向学校配送二至三次满足学生一周食用的安全新鲜、符合国家规定标准的学生营养餐食品。不得超时供货，不得一次配送l周以上的学生饮用奶、鸡蛋、面包、小蛋糕、果蔬干类、坚果。</w:t>
            </w:r>
          </w:p>
          <w:p>
            <w:pPr>
              <w:pStyle w:val="null3"/>
              <w:jc w:val="left"/>
            </w:pPr>
            <w:r>
              <w:rPr>
                <w:rFonts w:ascii="仿宋_GB2312" w:hAnsi="仿宋_GB2312" w:cs="仿宋_GB2312" w:eastAsia="仿宋_GB2312"/>
              </w:rPr>
              <w:t>（2）中标人应在合同签订5日内向采购方及有关学校提供其完善后的配送、储藏、延误、危情处理等工作方案或预案，经采购方审核同意后执行。超期限提供或拒不提供的，采购人扣除履约保证金30000元。</w:t>
            </w:r>
          </w:p>
          <w:p>
            <w:pPr>
              <w:pStyle w:val="null3"/>
              <w:jc w:val="left"/>
            </w:pPr>
            <w:r>
              <w:rPr>
                <w:rFonts w:ascii="仿宋_GB2312" w:hAnsi="仿宋_GB2312" w:cs="仿宋_GB2312" w:eastAsia="仿宋_GB2312"/>
              </w:rPr>
              <w:t>（3）中标人必须确定专人、专车，按合同的规定，将学生营养餐食品配送到琼中黎族苗族自治县教育局指定的学校。</w:t>
            </w:r>
          </w:p>
          <w:p>
            <w:pPr>
              <w:pStyle w:val="null3"/>
              <w:jc w:val="left"/>
            </w:pPr>
            <w:r>
              <w:rPr>
                <w:rFonts w:ascii="仿宋_GB2312" w:hAnsi="仿宋_GB2312" w:cs="仿宋_GB2312" w:eastAsia="仿宋_GB2312"/>
              </w:rPr>
              <w:t>（4）中标人必须指定专人参加配送及联系工作，必须保证24小时电话畅通，如果被指定专人变更或联系电话发生变化，应及时通报琼中黎族苗族自治县教育局。</w:t>
            </w:r>
          </w:p>
          <w:p>
            <w:pPr>
              <w:pStyle w:val="null3"/>
              <w:jc w:val="left"/>
            </w:pPr>
            <w:r>
              <w:rPr>
                <w:rFonts w:ascii="仿宋_GB2312" w:hAnsi="仿宋_GB2312" w:cs="仿宋_GB2312" w:eastAsia="仿宋_GB2312"/>
              </w:rPr>
              <w:t>（5）中标人必须保证产品质量安全和运输安全，凡因产品质量收发的安全问题和向学校派送学生营养餐食品途中的一切安全问题均一律由中标人承担全部责任。</w:t>
            </w:r>
          </w:p>
          <w:p>
            <w:pPr>
              <w:pStyle w:val="null3"/>
              <w:jc w:val="left"/>
            </w:pPr>
            <w:r>
              <w:rPr>
                <w:rFonts w:ascii="仿宋_GB2312" w:hAnsi="仿宋_GB2312" w:cs="仿宋_GB2312" w:eastAsia="仿宋_GB2312"/>
              </w:rPr>
              <w:t>（6）对鸡蛋过敏的学生，中标人指定专人与学校及时沟通并进行统计(每学期开始10天内统计汇总并报送琼中黎族苗族自治县教育局)，中标人应配送价格和营养相当于鸡蛋的替代食物发放给鸡蛋过敏的学生食用。</w:t>
            </w:r>
          </w:p>
          <w:p>
            <w:pPr>
              <w:pStyle w:val="null3"/>
              <w:jc w:val="left"/>
            </w:pPr>
            <w:r>
              <w:rPr>
                <w:rFonts w:ascii="仿宋_GB2312" w:hAnsi="仿宋_GB2312" w:cs="仿宋_GB2312" w:eastAsia="仿宋_GB2312"/>
              </w:rPr>
              <w:t>（7）中标人应根据琼中黎族苗族自治县教育局相关文件规定的学生在校时间进行配送(间隔五天以上不得一次性配送)。</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rPr>
              <w:t>（二）储存</w:t>
            </w:r>
          </w:p>
          <w:p>
            <w:pPr>
              <w:pStyle w:val="null3"/>
              <w:jc w:val="left"/>
            </w:pPr>
            <w:r>
              <w:rPr>
                <w:rFonts w:ascii="仿宋_GB2312" w:hAnsi="仿宋_GB2312" w:cs="仿宋_GB2312" w:eastAsia="仿宋_GB2312"/>
              </w:rPr>
              <w:t>中标人要保证配送的营养食品存放场地的环境卫生整洁、空气流通，符合国家卫生要求，避免营养早餐腐坏、变质或被老鼠、蟑螂等害虫叮咬。</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rPr>
              <w:t>（三）加工</w:t>
            </w:r>
          </w:p>
          <w:p>
            <w:pPr>
              <w:pStyle w:val="null3"/>
              <w:jc w:val="left"/>
            </w:pPr>
            <w:r>
              <w:rPr>
                <w:rFonts w:ascii="仿宋_GB2312" w:hAnsi="仿宋_GB2312" w:cs="仿宋_GB2312" w:eastAsia="仿宋_GB2312"/>
              </w:rPr>
              <w:t>中标人要保证每天发放给学生的鸡蛋是当天加工的，保证学生饮用饮用奶、面包、小蛋糕、果蔬干类、坚果等配送的食品是质保期内的合格产品。中标人应安排专人负责学生营养餐食品的储存管理和加工工作。</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rPr>
              <w:t>（四）验收</w:t>
            </w:r>
          </w:p>
          <w:p>
            <w:pPr>
              <w:pStyle w:val="null3"/>
              <w:jc w:val="left"/>
            </w:pPr>
            <w:r>
              <w:rPr>
                <w:rFonts w:ascii="仿宋_GB2312" w:hAnsi="仿宋_GB2312" w:cs="仿宋_GB2312" w:eastAsia="仿宋_GB2312"/>
              </w:rPr>
              <w:t>由采购人指派专人负责对配送的学生营养餐食品进行验收，验收不合格的，采购人有权拒收，所有损失由中标人承担。采购人签字验收不视为豁免中标人对所配送的学生营养餐食品质量确保义务，因中标人提供的学生营养餐食品质量不合格的，采购人有权要求中标人进行更换或有权退货。</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rPr>
              <w:t>（五）质量保证及售后服务要求</w:t>
            </w:r>
          </w:p>
          <w:p>
            <w:pPr>
              <w:pStyle w:val="null3"/>
              <w:jc w:val="left"/>
            </w:pPr>
            <w:r>
              <w:rPr>
                <w:rFonts w:ascii="仿宋_GB2312" w:hAnsi="仿宋_GB2312" w:cs="仿宋_GB2312" w:eastAsia="仿宋_GB2312"/>
              </w:rPr>
              <w:t>1.产品质量保证</w:t>
            </w:r>
          </w:p>
          <w:p>
            <w:pPr>
              <w:pStyle w:val="null3"/>
              <w:jc w:val="left"/>
            </w:pPr>
            <w:r>
              <w:rPr>
                <w:rFonts w:ascii="仿宋_GB2312" w:hAnsi="仿宋_GB2312" w:cs="仿宋_GB2312" w:eastAsia="仿宋_GB2312"/>
              </w:rPr>
              <w:t>投标人必须书面承诺：配送的学生营养餐食品，从出厂开始到学生食用结束全过程的各个环节，均按照最新的国家标准规范配送和存储保鲜，确保卫生安全和新鲜。[提供承诺函（格式自拟）并加盖公章]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rPr>
              <w:t>★2.售后服务内容</w:t>
            </w:r>
          </w:p>
          <w:p>
            <w:pPr>
              <w:pStyle w:val="null3"/>
              <w:jc w:val="left"/>
            </w:pPr>
            <w:r>
              <w:rPr>
                <w:rFonts w:ascii="仿宋_GB2312" w:hAnsi="仿宋_GB2312" w:cs="仿宋_GB2312" w:eastAsia="仿宋_GB2312"/>
              </w:rPr>
              <w:t>投标供应商须对以下售后服务进行承诺(承诺函格式自定)。未进行承诺的投标供应商，视为无效投标。</w:t>
            </w:r>
          </w:p>
          <w:p>
            <w:pPr>
              <w:pStyle w:val="null3"/>
              <w:jc w:val="left"/>
            </w:pPr>
            <w:r>
              <w:rPr>
                <w:rFonts w:ascii="仿宋_GB2312" w:hAnsi="仿宋_GB2312" w:cs="仿宋_GB2312" w:eastAsia="仿宋_GB2312"/>
              </w:rPr>
              <w:t>（1）因奶产品和鸡蛋、面包、小蛋糕、果蔬干类、坚果质量问题给学生身心健康带来影响或发生疾病，伤亡事故，承担全部经济和法律责任。不得以产品质量问题为由抗辩，应由产品生产商承担责任，中标人应在承担责任后向相关责任人主张权利。若因产品质量原因出现的安全、卫生问题、由中标人承担全部责任并不以履约保证金金额为限。</w:t>
            </w:r>
          </w:p>
          <w:p>
            <w:pPr>
              <w:pStyle w:val="null3"/>
              <w:jc w:val="left"/>
            </w:pPr>
            <w:r>
              <w:rPr>
                <w:rFonts w:ascii="仿宋_GB2312" w:hAnsi="仿宋_GB2312" w:cs="仿宋_GB2312" w:eastAsia="仿宋_GB2312"/>
              </w:rPr>
              <w:t>（2）按质、按时、按量、按合同要求做好配送服务工作；按照监管部门要求严把质量关。</w:t>
            </w:r>
          </w:p>
          <w:p>
            <w:pPr>
              <w:pStyle w:val="null3"/>
              <w:jc w:val="left"/>
            </w:pPr>
            <w:r>
              <w:rPr>
                <w:rFonts w:ascii="仿宋_GB2312" w:hAnsi="仿宋_GB2312" w:cs="仿宋_GB2312" w:eastAsia="仿宋_GB2312"/>
              </w:rPr>
              <w:t>（3）对牛奶、鸡蛋、面包、小蛋糕、果蔬干类和坚果等食品担供质量保证，对破漏、胀包、霉包、坏包等应于当天无条件更换。对鸡蛋提供质量保证，对运输过程中的损耗应于当天配送时无条件更换；烹煮过程中的破损无法实施发放的鸡蛋要予以更换；无条件提供留样产品，留样产品的费用由中标人承担。</w:t>
            </w:r>
          </w:p>
          <w:p>
            <w:pPr>
              <w:pStyle w:val="null3"/>
              <w:jc w:val="left"/>
            </w:pPr>
            <w:r>
              <w:rPr>
                <w:rFonts w:ascii="仿宋_GB2312" w:hAnsi="仿宋_GB2312" w:cs="仿宋_GB2312" w:eastAsia="仿宋_GB2312"/>
              </w:rPr>
              <w:t>（4）派遣工作认真负责、身体健康(有健康证)的人员对口衔接学校，建立接送卡，专人配送。</w:t>
            </w:r>
          </w:p>
          <w:p>
            <w:pPr>
              <w:pStyle w:val="null3"/>
              <w:jc w:val="left"/>
            </w:pPr>
            <w:r>
              <w:rPr>
                <w:rFonts w:ascii="仿宋_GB2312" w:hAnsi="仿宋_GB2312" w:cs="仿宋_GB2312" w:eastAsia="仿宋_GB2312"/>
              </w:rPr>
              <w:t>（5）严格执行学生营养配送食品检验、留样、放行程序，对每批次出厂的配送食品都留样备查，并对奶产品提供商业保险。</w:t>
            </w:r>
          </w:p>
          <w:p>
            <w:pPr>
              <w:pStyle w:val="null3"/>
              <w:jc w:val="left"/>
            </w:pPr>
            <w:r>
              <w:rPr>
                <w:rFonts w:ascii="仿宋_GB2312" w:hAnsi="仿宋_GB2312" w:cs="仿宋_GB2312" w:eastAsia="仿宋_GB2312"/>
              </w:rPr>
              <w:t>（6）每学期接受琼中县教育局随机抽样检查并进行评估考核。</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rPr>
              <w:t>（六）交货期和交货地点</w:t>
            </w:r>
          </w:p>
          <w:p>
            <w:pPr>
              <w:pStyle w:val="null3"/>
              <w:jc w:val="left"/>
            </w:pPr>
            <w:r>
              <w:rPr>
                <w:rFonts w:ascii="仿宋_GB2312" w:hAnsi="仿宋_GB2312" w:cs="仿宋_GB2312" w:eastAsia="仿宋_GB2312"/>
              </w:rPr>
              <w:t>1.交货期（交付期）：合同签订之日起至2026年春季学期结束，具体时间以海南省教育厅颁布的校历时间为主。</w:t>
            </w:r>
          </w:p>
          <w:p>
            <w:pPr>
              <w:pStyle w:val="null3"/>
              <w:jc w:val="left"/>
            </w:pPr>
            <w:r>
              <w:rPr>
                <w:rFonts w:ascii="仿宋_GB2312" w:hAnsi="仿宋_GB2312" w:cs="仿宋_GB2312" w:eastAsia="仿宋_GB2312"/>
              </w:rPr>
              <w:t>2.交货地点（交付地点）：用户指定地点。</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rPr>
              <w:t>（七）交付其他要求：中标人在合同规定的起止时间内，指派专人、专车于每周一至周五，按照琼中黎族苗族自治县教育局提供的学生人数，按时将学生营养餐食品送到指定的学校。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rPr>
              <w:t>（八）付款方式与结算</w:t>
            </w:r>
          </w:p>
          <w:p>
            <w:pPr>
              <w:pStyle w:val="null3"/>
              <w:jc w:val="left"/>
            </w:pPr>
            <w:r>
              <w:rPr>
                <w:rFonts w:ascii="仿宋_GB2312" w:hAnsi="仿宋_GB2312" w:cs="仿宋_GB2312" w:eastAsia="仿宋_GB2312"/>
              </w:rPr>
              <w:t>1.付款方式与结算：中标公司与学校签订合同后，每月凭学校出具的学生每天实际领取的营养餐食品统计表(校长、分管校长、管理员签名后，加盖学校公章)，经学校领导审核，可到学校财务处办理货款支付手续。</w:t>
            </w:r>
          </w:p>
          <w:p>
            <w:pPr>
              <w:pStyle w:val="null3"/>
              <w:jc w:val="left"/>
            </w:pPr>
            <w:r>
              <w:rPr>
                <w:rFonts w:ascii="仿宋_GB2312" w:hAnsi="仿宋_GB2312" w:cs="仿宋_GB2312" w:eastAsia="仿宋_GB2312"/>
              </w:rPr>
              <w:t>2.供应商应在合同签订之日起15个工作日内向采购人支付履约保证金，履约完毕后没有违约的无息退还。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rPr>
              <w:t>（九）其他要求</w:t>
            </w:r>
          </w:p>
          <w:p>
            <w:pPr>
              <w:pStyle w:val="null3"/>
              <w:jc w:val="left"/>
            </w:pPr>
            <w:r>
              <w:rPr>
                <w:rFonts w:ascii="仿宋_GB2312" w:hAnsi="仿宋_GB2312" w:cs="仿宋_GB2312" w:eastAsia="仿宋_GB2312"/>
              </w:rPr>
              <w:t>1.安全卫生检查：中标人必须接受由有关职能部门组成的检查小组给学生营养工程实施情况进行定期和不定期检查。</w:t>
            </w:r>
          </w:p>
          <w:p>
            <w:pPr>
              <w:pStyle w:val="null3"/>
              <w:jc w:val="left"/>
            </w:pPr>
            <w:r>
              <w:rPr>
                <w:rFonts w:ascii="仿宋_GB2312" w:hAnsi="仿宋_GB2312" w:cs="仿宋_GB2312" w:eastAsia="仿宋_GB2312"/>
              </w:rPr>
              <w:t>2.投标人编制的投标文件，应附详细的供货及运输方案、售后管理办法等。</w:t>
            </w:r>
          </w:p>
          <w:p>
            <w:pPr>
              <w:pStyle w:val="null3"/>
              <w:jc w:val="left"/>
            </w:pPr>
            <w:r>
              <w:rPr>
                <w:rFonts w:ascii="仿宋_GB2312" w:hAnsi="仿宋_GB2312" w:cs="仿宋_GB2312" w:eastAsia="仿宋_GB2312"/>
              </w:rPr>
              <w:t>3.投标报价应为包括货物、人工、办理相关的证件工本费、机械、运输、保险、各种税费等一切费用的总报价。</w:t>
            </w:r>
          </w:p>
          <w:p>
            <w:pPr>
              <w:pStyle w:val="null3"/>
              <w:jc w:val="left"/>
            </w:pPr>
            <w:r>
              <w:rPr>
                <w:rFonts w:ascii="仿宋_GB2312" w:hAnsi="仿宋_GB2312" w:cs="仿宋_GB2312" w:eastAsia="仿宋_GB2312"/>
              </w:rPr>
              <w:t>4.凡涉及招标文件的补充说明修改，均以指定政府公告为准。</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rPr>
              <w:t>（十）附件</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left"/>
                  </w:pPr>
                  <w:r>
                    <w:rPr>
                      <w:rFonts w:ascii="仿宋_GB2312" w:hAnsi="仿宋_GB2312" w:cs="仿宋_GB2312" w:eastAsia="仿宋_GB2312"/>
                    </w:rPr>
                    <w:t>琼中县2025年秋季至2026春季学期学校学生营养餐配送表</w:t>
                  </w:r>
                </w:p>
              </w:tc>
            </w:tr>
            <w:tr>
              <w:tc>
                <w:tcPr>
                  <w:tcW w:type="dxa" w:w="511"/>
                </w:tcPr>
                <w:p>
                  <w:pPr>
                    <w:pStyle w:val="null3"/>
                    <w:jc w:val="left"/>
                  </w:pPr>
                  <w:r>
                    <w:rPr>
                      <w:rFonts w:ascii="仿宋_GB2312" w:hAnsi="仿宋_GB2312" w:cs="仿宋_GB2312" w:eastAsia="仿宋_GB2312"/>
                    </w:rPr>
                    <w:t>序号</w:t>
                  </w:r>
                </w:p>
              </w:tc>
              <w:tc>
                <w:tcPr>
                  <w:tcW w:type="dxa" w:w="511"/>
                </w:tcPr>
                <w:p>
                  <w:pPr>
                    <w:pStyle w:val="null3"/>
                    <w:jc w:val="left"/>
                  </w:pPr>
                  <w:r>
                    <w:rPr>
                      <w:rFonts w:ascii="仿宋_GB2312" w:hAnsi="仿宋_GB2312" w:cs="仿宋_GB2312" w:eastAsia="仿宋_GB2312"/>
                    </w:rPr>
                    <w:t>学校名称</w:t>
                  </w:r>
                </w:p>
              </w:tc>
              <w:tc>
                <w:tcPr>
                  <w:tcW w:type="dxa" w:w="511"/>
                </w:tcPr>
                <w:p>
                  <w:pPr>
                    <w:pStyle w:val="null3"/>
                    <w:jc w:val="left"/>
                  </w:pPr>
                  <w:r>
                    <w:rPr>
                      <w:rFonts w:ascii="仿宋_GB2312" w:hAnsi="仿宋_GB2312" w:cs="仿宋_GB2312" w:eastAsia="仿宋_GB2312"/>
                    </w:rPr>
                    <w:t>办学类型</w:t>
                  </w:r>
                </w:p>
              </w:tc>
              <w:tc>
                <w:tcPr>
                  <w:tcW w:type="dxa" w:w="511"/>
                </w:tcPr>
                <w:p>
                  <w:pPr>
                    <w:pStyle w:val="null3"/>
                    <w:jc w:val="left"/>
                  </w:pPr>
                  <w:r>
                    <w:rPr>
                      <w:rFonts w:ascii="仿宋_GB2312" w:hAnsi="仿宋_GB2312" w:cs="仿宋_GB2312" w:eastAsia="仿宋_GB2312"/>
                    </w:rPr>
                    <w:t>人数</w:t>
                  </w:r>
                </w:p>
              </w:tc>
              <w:tc>
                <w:tcPr>
                  <w:tcW w:type="dxa" w:w="511"/>
                </w:tcPr>
                <w:p>
                  <w:pPr>
                    <w:pStyle w:val="null3"/>
                    <w:jc w:val="left"/>
                  </w:pPr>
                  <w:r>
                    <w:rPr>
                      <w:rFonts w:ascii="仿宋_GB2312" w:hAnsi="仿宋_GB2312" w:cs="仿宋_GB2312" w:eastAsia="仿宋_GB2312"/>
                    </w:rPr>
                    <w:t>备注</w:t>
                  </w:r>
                </w:p>
              </w:tc>
            </w:tr>
            <w:tr>
              <w:tc>
                <w:tcPr>
                  <w:tcW w:type="dxa" w:w="511"/>
                </w:tcPr>
                <w:p>
                  <w:pPr>
                    <w:pStyle w:val="null3"/>
                    <w:jc w:val="left"/>
                  </w:pPr>
                  <w:r>
                    <w:rPr>
                      <w:rFonts w:ascii="仿宋_GB2312" w:hAnsi="仿宋_GB2312" w:cs="仿宋_GB2312" w:eastAsia="仿宋_GB2312"/>
                    </w:rPr>
                    <w:t>1</w:t>
                  </w:r>
                </w:p>
              </w:tc>
              <w:tc>
                <w:tcPr>
                  <w:tcW w:type="dxa" w:w="511"/>
                </w:tcPr>
                <w:p>
                  <w:pPr>
                    <w:pStyle w:val="null3"/>
                    <w:jc w:val="left"/>
                  </w:pPr>
                  <w:r>
                    <w:rPr>
                      <w:rFonts w:ascii="仿宋_GB2312" w:hAnsi="仿宋_GB2312" w:cs="仿宋_GB2312" w:eastAsia="仿宋_GB2312"/>
                    </w:rPr>
                    <w:t>海口市滨海第九小学琼中附属实验小学（含加钗八一爱民小学）</w:t>
                  </w:r>
                </w:p>
              </w:tc>
              <w:tc>
                <w:tcPr>
                  <w:tcW w:type="dxa" w:w="511"/>
                </w:tcPr>
                <w:p>
                  <w:pPr>
                    <w:pStyle w:val="null3"/>
                    <w:jc w:val="left"/>
                  </w:pPr>
                  <w:r>
                    <w:rPr>
                      <w:rFonts w:ascii="仿宋_GB2312" w:hAnsi="仿宋_GB2312" w:cs="仿宋_GB2312" w:eastAsia="仿宋_GB2312"/>
                    </w:rPr>
                    <w:t>小学</w:t>
                  </w:r>
                </w:p>
              </w:tc>
              <w:tc>
                <w:tcPr>
                  <w:tcW w:type="dxa" w:w="511"/>
                </w:tcPr>
                <w:p>
                  <w:pPr>
                    <w:pStyle w:val="null3"/>
                    <w:jc w:val="left"/>
                  </w:pPr>
                  <w:r>
                    <w:rPr>
                      <w:rFonts w:ascii="仿宋_GB2312" w:hAnsi="仿宋_GB2312" w:cs="仿宋_GB2312" w:eastAsia="仿宋_GB2312"/>
                    </w:rPr>
                    <w:t>2194</w:t>
                  </w:r>
                </w:p>
              </w:tc>
              <w:tc>
                <w:tcPr>
                  <w:tcW w:type="dxa" w:w="511"/>
                </w:tcPr>
                <w:p>
                  <w:pPr>
                    <w:pStyle w:val="null3"/>
                    <w:jc w:val="left"/>
                  </w:pPr>
                  <w:r>
                    <w:rPr>
                      <w:rFonts w:ascii="仿宋_GB2312" w:hAnsi="仿宋_GB2312" w:cs="仿宋_GB2312" w:eastAsia="仿宋_GB2312"/>
                    </w:rPr>
                    <w:t xml:space="preserve"> </w:t>
                  </w:r>
                </w:p>
              </w:tc>
            </w:tr>
            <w:tr>
              <w:tc>
                <w:tcPr>
                  <w:tcW w:type="dxa" w:w="511"/>
                </w:tcPr>
                <w:p>
                  <w:pPr>
                    <w:pStyle w:val="null3"/>
                    <w:jc w:val="left"/>
                  </w:pPr>
                  <w:r>
                    <w:rPr>
                      <w:rFonts w:ascii="仿宋_GB2312" w:hAnsi="仿宋_GB2312" w:cs="仿宋_GB2312" w:eastAsia="仿宋_GB2312"/>
                    </w:rPr>
                    <w:t>2</w:t>
                  </w:r>
                </w:p>
              </w:tc>
              <w:tc>
                <w:tcPr>
                  <w:tcW w:type="dxa" w:w="511"/>
                </w:tcPr>
                <w:p>
                  <w:pPr>
                    <w:pStyle w:val="null3"/>
                    <w:jc w:val="left"/>
                  </w:pPr>
                  <w:r>
                    <w:rPr>
                      <w:rFonts w:ascii="仿宋_GB2312" w:hAnsi="仿宋_GB2312" w:cs="仿宋_GB2312" w:eastAsia="仿宋_GB2312"/>
                    </w:rPr>
                    <w:t>县第一小学（含红岛小学）</w:t>
                  </w:r>
                </w:p>
              </w:tc>
              <w:tc>
                <w:tcPr>
                  <w:tcW w:type="dxa" w:w="511"/>
                </w:tcPr>
                <w:p>
                  <w:pPr>
                    <w:pStyle w:val="null3"/>
                    <w:jc w:val="left"/>
                  </w:pPr>
                  <w:r>
                    <w:rPr>
                      <w:rFonts w:ascii="仿宋_GB2312" w:hAnsi="仿宋_GB2312" w:cs="仿宋_GB2312" w:eastAsia="仿宋_GB2312"/>
                    </w:rPr>
                    <w:t>小学</w:t>
                  </w:r>
                </w:p>
              </w:tc>
              <w:tc>
                <w:tcPr>
                  <w:tcW w:type="dxa" w:w="511"/>
                </w:tcPr>
                <w:p>
                  <w:pPr>
                    <w:pStyle w:val="null3"/>
                    <w:jc w:val="left"/>
                  </w:pPr>
                  <w:r>
                    <w:rPr>
                      <w:rFonts w:ascii="仿宋_GB2312" w:hAnsi="仿宋_GB2312" w:cs="仿宋_GB2312" w:eastAsia="仿宋_GB2312"/>
                    </w:rPr>
                    <w:t>1407</w:t>
                  </w:r>
                </w:p>
              </w:tc>
              <w:tc>
                <w:tcPr>
                  <w:tcW w:type="dxa" w:w="511"/>
                </w:tcPr>
                <w:p>
                  <w:pPr>
                    <w:pStyle w:val="null3"/>
                    <w:jc w:val="left"/>
                  </w:pPr>
                  <w:r>
                    <w:rPr>
                      <w:rFonts w:ascii="仿宋_GB2312" w:hAnsi="仿宋_GB2312" w:cs="仿宋_GB2312" w:eastAsia="仿宋_GB2312"/>
                    </w:rPr>
                    <w:t xml:space="preserve"> </w:t>
                  </w:r>
                </w:p>
              </w:tc>
            </w:tr>
            <w:tr>
              <w:tc>
                <w:tcPr>
                  <w:tcW w:type="dxa" w:w="511"/>
                </w:tcPr>
                <w:p>
                  <w:pPr>
                    <w:pStyle w:val="null3"/>
                    <w:jc w:val="left"/>
                  </w:pPr>
                  <w:r>
                    <w:rPr>
                      <w:rFonts w:ascii="仿宋_GB2312" w:hAnsi="仿宋_GB2312" w:cs="仿宋_GB2312" w:eastAsia="仿宋_GB2312"/>
                    </w:rPr>
                    <w:t>3</w:t>
                  </w:r>
                </w:p>
              </w:tc>
              <w:tc>
                <w:tcPr>
                  <w:tcW w:type="dxa" w:w="511"/>
                </w:tcPr>
                <w:p>
                  <w:pPr>
                    <w:pStyle w:val="null3"/>
                    <w:jc w:val="left"/>
                  </w:pPr>
                  <w:r>
                    <w:rPr>
                      <w:rFonts w:ascii="仿宋_GB2312" w:hAnsi="仿宋_GB2312" w:cs="仿宋_GB2312" w:eastAsia="仿宋_GB2312"/>
                    </w:rPr>
                    <w:t>县第二小学（含高田小学）</w:t>
                  </w:r>
                </w:p>
              </w:tc>
              <w:tc>
                <w:tcPr>
                  <w:tcW w:type="dxa" w:w="511"/>
                </w:tcPr>
                <w:p>
                  <w:pPr>
                    <w:pStyle w:val="null3"/>
                    <w:jc w:val="left"/>
                  </w:pPr>
                  <w:r>
                    <w:rPr>
                      <w:rFonts w:ascii="仿宋_GB2312" w:hAnsi="仿宋_GB2312" w:cs="仿宋_GB2312" w:eastAsia="仿宋_GB2312"/>
                    </w:rPr>
                    <w:t>小学</w:t>
                  </w:r>
                </w:p>
              </w:tc>
              <w:tc>
                <w:tcPr>
                  <w:tcW w:type="dxa" w:w="511"/>
                </w:tcPr>
                <w:p>
                  <w:pPr>
                    <w:pStyle w:val="null3"/>
                    <w:jc w:val="left"/>
                  </w:pPr>
                  <w:r>
                    <w:rPr>
                      <w:rFonts w:ascii="仿宋_GB2312" w:hAnsi="仿宋_GB2312" w:cs="仿宋_GB2312" w:eastAsia="仿宋_GB2312"/>
                    </w:rPr>
                    <w:t>1310</w:t>
                  </w:r>
                </w:p>
              </w:tc>
              <w:tc>
                <w:tcPr>
                  <w:tcW w:type="dxa" w:w="511"/>
                </w:tcPr>
                <w:p>
                  <w:pPr>
                    <w:pStyle w:val="null3"/>
                    <w:jc w:val="left"/>
                  </w:pPr>
                  <w:r>
                    <w:rPr>
                      <w:rFonts w:ascii="仿宋_GB2312" w:hAnsi="仿宋_GB2312" w:cs="仿宋_GB2312" w:eastAsia="仿宋_GB2312"/>
                    </w:rPr>
                    <w:t xml:space="preserve"> </w:t>
                  </w:r>
                </w:p>
              </w:tc>
            </w:tr>
            <w:tr>
              <w:tc>
                <w:tcPr>
                  <w:tcW w:type="dxa" w:w="511"/>
                </w:tcPr>
                <w:p>
                  <w:pPr>
                    <w:pStyle w:val="null3"/>
                    <w:jc w:val="left"/>
                  </w:pPr>
                  <w:r>
                    <w:rPr>
                      <w:rFonts w:ascii="仿宋_GB2312" w:hAnsi="仿宋_GB2312" w:cs="仿宋_GB2312" w:eastAsia="仿宋_GB2312"/>
                    </w:rPr>
                    <w:t>4</w:t>
                  </w:r>
                </w:p>
              </w:tc>
              <w:tc>
                <w:tcPr>
                  <w:tcW w:type="dxa" w:w="511"/>
                </w:tcPr>
                <w:p>
                  <w:pPr>
                    <w:pStyle w:val="null3"/>
                    <w:jc w:val="left"/>
                  </w:pPr>
                  <w:r>
                    <w:rPr>
                      <w:rFonts w:ascii="仿宋_GB2312" w:hAnsi="仿宋_GB2312" w:cs="仿宋_GB2312" w:eastAsia="仿宋_GB2312"/>
                    </w:rPr>
                    <w:t>阳江学校（松涛小学）</w:t>
                  </w:r>
                </w:p>
              </w:tc>
              <w:tc>
                <w:tcPr>
                  <w:tcW w:type="dxa" w:w="511"/>
                </w:tcPr>
                <w:p>
                  <w:pPr>
                    <w:pStyle w:val="null3"/>
                    <w:jc w:val="left"/>
                  </w:pPr>
                  <w:r>
                    <w:rPr>
                      <w:rFonts w:ascii="仿宋_GB2312" w:hAnsi="仿宋_GB2312" w:cs="仿宋_GB2312" w:eastAsia="仿宋_GB2312"/>
                    </w:rPr>
                    <w:t>九年一贯制</w:t>
                  </w:r>
                </w:p>
              </w:tc>
              <w:tc>
                <w:tcPr>
                  <w:tcW w:type="dxa" w:w="511"/>
                </w:tcPr>
                <w:p>
                  <w:pPr>
                    <w:pStyle w:val="null3"/>
                    <w:jc w:val="left"/>
                  </w:pPr>
                  <w:r>
                    <w:rPr>
                      <w:rFonts w:ascii="仿宋_GB2312" w:hAnsi="仿宋_GB2312" w:cs="仿宋_GB2312" w:eastAsia="仿宋_GB2312"/>
                    </w:rPr>
                    <w:t>50</w:t>
                  </w:r>
                </w:p>
              </w:tc>
              <w:tc>
                <w:tcPr>
                  <w:tcW w:type="dxa" w:w="511"/>
                </w:tcPr>
                <w:p>
                  <w:pPr>
                    <w:pStyle w:val="null3"/>
                    <w:jc w:val="left"/>
                  </w:pPr>
                  <w:r>
                    <w:rPr>
                      <w:rFonts w:ascii="仿宋_GB2312" w:hAnsi="仿宋_GB2312" w:cs="仿宋_GB2312" w:eastAsia="仿宋_GB2312"/>
                    </w:rPr>
                    <w:t xml:space="preserve"> </w:t>
                  </w:r>
                </w:p>
              </w:tc>
            </w:tr>
            <w:tr>
              <w:tc>
                <w:tcPr>
                  <w:tcW w:type="dxa" w:w="511"/>
                </w:tcPr>
                <w:p>
                  <w:pPr>
                    <w:pStyle w:val="null3"/>
                    <w:jc w:val="left"/>
                  </w:pPr>
                  <w:r>
                    <w:rPr>
                      <w:rFonts w:ascii="仿宋_GB2312" w:hAnsi="仿宋_GB2312" w:cs="仿宋_GB2312" w:eastAsia="仿宋_GB2312"/>
                    </w:rPr>
                    <w:t>5</w:t>
                  </w:r>
                </w:p>
              </w:tc>
              <w:tc>
                <w:tcPr>
                  <w:tcW w:type="dxa" w:w="511"/>
                </w:tcPr>
                <w:p>
                  <w:pPr>
                    <w:pStyle w:val="null3"/>
                    <w:jc w:val="left"/>
                  </w:pPr>
                  <w:r>
                    <w:rPr>
                      <w:rFonts w:ascii="仿宋_GB2312" w:hAnsi="仿宋_GB2312" w:cs="仿宋_GB2312" w:eastAsia="仿宋_GB2312"/>
                    </w:rPr>
                    <w:t>乌石学校（大墩小学）</w:t>
                  </w:r>
                </w:p>
              </w:tc>
              <w:tc>
                <w:tcPr>
                  <w:tcW w:type="dxa" w:w="511"/>
                </w:tcPr>
                <w:p>
                  <w:pPr>
                    <w:pStyle w:val="null3"/>
                    <w:jc w:val="left"/>
                  </w:pPr>
                  <w:r>
                    <w:rPr>
                      <w:rFonts w:ascii="仿宋_GB2312" w:hAnsi="仿宋_GB2312" w:cs="仿宋_GB2312" w:eastAsia="仿宋_GB2312"/>
                    </w:rPr>
                    <w:t>九年一贯制</w:t>
                  </w:r>
                </w:p>
              </w:tc>
              <w:tc>
                <w:tcPr>
                  <w:tcW w:type="dxa" w:w="511"/>
                </w:tcPr>
                <w:p>
                  <w:pPr>
                    <w:pStyle w:val="null3"/>
                    <w:jc w:val="left"/>
                  </w:pPr>
                  <w:r>
                    <w:rPr>
                      <w:rFonts w:ascii="仿宋_GB2312" w:hAnsi="仿宋_GB2312" w:cs="仿宋_GB2312" w:eastAsia="仿宋_GB2312"/>
                    </w:rPr>
                    <w:t>35</w:t>
                  </w:r>
                </w:p>
              </w:tc>
              <w:tc>
                <w:tcPr>
                  <w:tcW w:type="dxa" w:w="511"/>
                </w:tcPr>
                <w:p>
                  <w:pPr>
                    <w:pStyle w:val="null3"/>
                    <w:jc w:val="left"/>
                  </w:pPr>
                  <w:r>
                    <w:rPr>
                      <w:rFonts w:ascii="仿宋_GB2312" w:hAnsi="仿宋_GB2312" w:cs="仿宋_GB2312" w:eastAsia="仿宋_GB2312"/>
                    </w:rPr>
                    <w:t xml:space="preserve"> </w:t>
                  </w:r>
                </w:p>
              </w:tc>
            </w:tr>
            <w:tr>
              <w:tc>
                <w:tcPr>
                  <w:tcW w:type="dxa" w:w="511"/>
                </w:tcPr>
                <w:p>
                  <w:pPr>
                    <w:pStyle w:val="null3"/>
                    <w:jc w:val="left"/>
                  </w:pPr>
                  <w:r>
                    <w:rPr>
                      <w:rFonts w:ascii="仿宋_GB2312" w:hAnsi="仿宋_GB2312" w:cs="仿宋_GB2312" w:eastAsia="仿宋_GB2312"/>
                    </w:rPr>
                    <w:t>6</w:t>
                  </w:r>
                </w:p>
              </w:tc>
              <w:tc>
                <w:tcPr>
                  <w:tcW w:type="dxa" w:w="511"/>
                </w:tcPr>
                <w:p>
                  <w:pPr>
                    <w:pStyle w:val="null3"/>
                    <w:jc w:val="left"/>
                  </w:pPr>
                  <w:r>
                    <w:rPr>
                      <w:rFonts w:ascii="仿宋_GB2312" w:hAnsi="仿宋_GB2312" w:cs="仿宋_GB2312" w:eastAsia="仿宋_GB2312"/>
                    </w:rPr>
                    <w:t>华中师范大学琼中附属中学思源实验学校（大平新华希望小学）</w:t>
                  </w:r>
                </w:p>
              </w:tc>
              <w:tc>
                <w:tcPr>
                  <w:tcW w:type="dxa" w:w="511"/>
                </w:tcPr>
                <w:p>
                  <w:pPr>
                    <w:pStyle w:val="null3"/>
                    <w:jc w:val="left"/>
                  </w:pPr>
                  <w:r>
                    <w:rPr>
                      <w:rFonts w:ascii="仿宋_GB2312" w:hAnsi="仿宋_GB2312" w:cs="仿宋_GB2312" w:eastAsia="仿宋_GB2312"/>
                    </w:rPr>
                    <w:t>九年一贯制</w:t>
                  </w:r>
                </w:p>
              </w:tc>
              <w:tc>
                <w:tcPr>
                  <w:tcW w:type="dxa" w:w="511"/>
                </w:tcPr>
                <w:p>
                  <w:pPr>
                    <w:pStyle w:val="null3"/>
                    <w:jc w:val="left"/>
                  </w:pPr>
                  <w:r>
                    <w:rPr>
                      <w:rFonts w:ascii="仿宋_GB2312" w:hAnsi="仿宋_GB2312" w:cs="仿宋_GB2312" w:eastAsia="仿宋_GB2312"/>
                    </w:rPr>
                    <w:t>70</w:t>
                  </w:r>
                </w:p>
              </w:tc>
              <w:tc>
                <w:tcPr>
                  <w:tcW w:type="dxa" w:w="511"/>
                </w:tcPr>
                <w:p>
                  <w:pPr>
                    <w:pStyle w:val="null3"/>
                    <w:jc w:val="left"/>
                  </w:pPr>
                  <w:r>
                    <w:rPr>
                      <w:rFonts w:ascii="仿宋_GB2312" w:hAnsi="仿宋_GB2312" w:cs="仿宋_GB2312" w:eastAsia="仿宋_GB2312"/>
                    </w:rPr>
                    <w:t xml:space="preserve"> </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带“★”号条款为不允许偏离的实质性要求，如不满足则认定其投标无效。带“▲”号条款为允许负偏离的参数需求，若未响应或者不满足，将在综合评审中予以扣分处理。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投标人需具备有效的《食品经营许可证》，提供相关证书复印件加盖公章</w:t>
            </w:r>
          </w:p>
        </w:tc>
        <w:tc>
          <w:tcPr>
            <w:tcW w:type="dxa" w:w="3322"/>
          </w:tcPr>
          <w:p>
            <w:pPr>
              <w:pStyle w:val="null3"/>
              <w:jc w:val="left"/>
            </w:pPr>
            <w:r>
              <w:rPr>
                <w:rFonts w:ascii="仿宋_GB2312" w:hAnsi="仿宋_GB2312" w:cs="仿宋_GB2312" w:eastAsia="仿宋_GB2312"/>
              </w:rPr>
              <w:t>投标人（如采取分包的，则接受分包的供应商也需提供相关证书复印件）需提供相关证书复印件加盖公章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本项目为预留份额专门面向中小企业采购，要求合同分包给中小企业，且中小企业的合同金额不低于合同总额的30%。供应商须符合下列情形之一： （1）投标人不属于本项目采购标的对应行业（零售业）划分标准的中小企业的，须将适宜分包的内容分包给中小微企业（中小微企业分担的比例不得低于合同金额的30%），接受分包的中小微企业须符合分包标的对应行业（零售业）的政策划分标准。供应商须在投标（响应）文件中提交《分包意向协议书》和《中小企业声明函》。  （2）投标人属于本项目采购标的对应行业（零售业）划分标准的中小企业的，是否采取分包不作强制要求。若进行分包，则只能分包给中小微企业，接受分包的中小微企业须符合分包标的对应行业（零售业）的政策划分标准，供应商须在投标（响应）文件中提交《分包意向协议书》和《中小企业声明函》。若不进行分包，提交《中小企业声明函》。 注：①本项目为货物类，投标人须根据本项目采购类别选择对应的《中小企业声明函》填写。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②接受分包合同的中小微企业与分包企业之间不得存在直接控股、管理关系。③监狱企业、残疾人福利单位视同小型、微型企业。属于监狱企业的，提供由省级以上监狱管理局、戒毒管理局(含新疆生产建设兵团)出具的属于监狱企业的证明文件；属于残疾人福利性单位的，提供《残疾人福利性单位声明函》，否则不予认定。</w:t>
            </w:r>
          </w:p>
        </w:tc>
        <w:tc>
          <w:tcPr>
            <w:tcW w:type="dxa" w:w="1661"/>
          </w:tcPr>
          <w:p>
            <w:pPr>
              <w:pStyle w:val="null3"/>
              <w:jc w:val="left"/>
            </w:pPr>
            <w:r>
              <w:rPr>
                <w:rFonts w:ascii="仿宋_GB2312" w:hAnsi="仿宋_GB2312" w:cs="仿宋_GB2312" w:eastAsia="仿宋_GB2312"/>
              </w:rPr>
              <w:t>中小企业声明函 残疾人福利性单位声明函 分包意向协议书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技术、商务响应表 采购需求“技术和服务要求”中要求的其他相关文件（若有） 自觉抵制政府采购领域商业贿赂行为承诺书 食品安全责任险响应情况 封面 其他材料 供应商应提交的相关证明材料 法定代表人资格证明书或法定代表人授权委托书 接受分包合同的中小企业与分包企业之间不存在直接控股、管理关系的声明函 监狱企业的证明文件 具备履行合同所必需设备和专业技术能力的声明函 资格承诺函 货物来源及供货能力证明情况表3 开标（报价）一览表 货物来源及供货能力证明情况表2 中小企业声明函 分包意向协议书 货物来源及供货能力证明情况表1 仓库资源配置情况一览表 拟投入本项目配送车辆情况一览表 具有独立承担民事责任的能力证明文件 投标函（投标人承诺函） 投标（响应）报价明细表 残疾人福利性单位声明函 无重大违法记录声明函 货物来源及供货能力证明情况表5 货物来源及供货能力证明情况表4 拟投入本项目人员情况一览表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投标函（投标人承诺函）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商务部分43.00分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根据投标人提供的“技术、商务响应表”响应情况进行评分：对采购需求中的技术要求完全满足或高于招标文件要求的得22分，每负偏离一项或不响应的扣2分。扣完为止。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技术、商务响应表</w:t>
            </w:r>
          </w:p>
          <w:p>
            <w:pPr>
              <w:pStyle w:val="null3"/>
              <w:jc w:val="both"/>
            </w:pPr>
            <w:r>
              <w:rPr>
                <w:rFonts w:ascii="仿宋_GB2312" w:hAnsi="仿宋_GB2312" w:cs="仿宋_GB2312" w:eastAsia="仿宋_GB2312"/>
              </w:rPr>
              <w:t>采购需求“技术和服务要求”中要求的其他相关文件（若有）</w:t>
            </w:r>
          </w:p>
        </w:tc>
      </w:tr>
      <w:tr>
        <w:tc>
          <w:tcPr>
            <w:tcW w:type="dxa" w:w="831"/>
            <w:vMerge/>
          </w:tcPr>
          <w:p/>
        </w:tc>
        <w:tc>
          <w:tcPr>
            <w:tcW w:type="dxa" w:w="1661"/>
          </w:tcPr>
          <w:p>
            <w:pPr>
              <w:pStyle w:val="null3"/>
              <w:jc w:val="both"/>
            </w:pPr>
            <w:r>
              <w:rPr>
                <w:rFonts w:ascii="仿宋_GB2312" w:hAnsi="仿宋_GB2312" w:cs="仿宋_GB2312" w:eastAsia="仿宋_GB2312"/>
              </w:rPr>
              <w:t>坚果增值服务项目</w:t>
            </w:r>
          </w:p>
        </w:tc>
        <w:tc>
          <w:tcPr>
            <w:tcW w:type="dxa" w:w="2492"/>
          </w:tcPr>
          <w:p>
            <w:pPr>
              <w:pStyle w:val="null3"/>
              <w:jc w:val="both"/>
            </w:pPr>
            <w:r>
              <w:rPr>
                <w:rFonts w:ascii="仿宋_GB2312" w:hAnsi="仿宋_GB2312" w:cs="仿宋_GB2312" w:eastAsia="仿宋_GB2312"/>
              </w:rPr>
              <w:t>根据投标人拟配送坚果种类进行评分： 1.坚果净重量不低于20克（含），坚果种类含：核桃，且占比30%（含）以上的，得10分。 2.坚果净重量不低于30克（含），坚果种类含：核桃，且占比30%（含）以上的，得12分。 3.坚果净重量不低于20克（含），坚果种类含：核桃、腰果，且分别占比为25%（含）以上，得14分； 4.坚果净重量不低于30克（含），坚果种类含：核桃、腰果，且分别占比为30%以上（含），得16分； 5.坚果净重量不低于20克（含），坚果种类为：核桃、腰果、杏仁，且分别占比为25%（含）以上，得18分。 6.坚果净重量不低于30克（含），坚果种类为：核桃、腰果、杏仁，且分别占比为30%（含）以上，得20分。 证明材料：根据投标供应商在技术、商务响应表的响应情况进行打分。未符合以上条件均不得分。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技术、商务响应表</w:t>
            </w:r>
          </w:p>
        </w:tc>
      </w:tr>
      <w:tr>
        <w:tc>
          <w:tcPr>
            <w:tcW w:type="dxa" w:w="831"/>
            <w:vMerge/>
          </w:tcPr>
          <w:p/>
        </w:tc>
        <w:tc>
          <w:tcPr>
            <w:tcW w:type="dxa" w:w="1661"/>
          </w:tcPr>
          <w:p>
            <w:pPr>
              <w:pStyle w:val="null3"/>
              <w:jc w:val="both"/>
            </w:pPr>
            <w:r>
              <w:rPr>
                <w:rFonts w:ascii="仿宋_GB2312" w:hAnsi="仿宋_GB2312" w:cs="仿宋_GB2312" w:eastAsia="仿宋_GB2312"/>
              </w:rPr>
              <w:t>面包或小蛋糕增值服务项目</w:t>
            </w:r>
          </w:p>
        </w:tc>
        <w:tc>
          <w:tcPr>
            <w:tcW w:type="dxa" w:w="2492"/>
          </w:tcPr>
          <w:p>
            <w:pPr>
              <w:pStyle w:val="null3"/>
              <w:jc w:val="both"/>
            </w:pPr>
            <w:r>
              <w:rPr>
                <w:rFonts w:ascii="仿宋_GB2312" w:hAnsi="仿宋_GB2312" w:cs="仿宋_GB2312" w:eastAsia="仿宋_GB2312"/>
              </w:rPr>
              <w:t>根据投标人拟配送面包或小蛋糕进行评分： 1.面包或小蛋糕净重量不低于55克（含），得2分； 2.面包或小蛋糕净重量不低于60克（含），得4分； 3.面包或小蛋糕净重量不低于65克（含），得6分。 证明材料：根据投标供应商在技术、商务响应表的响应情况进行打分。未符合以上条件均不得分。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技术、商务响应表</w:t>
            </w:r>
          </w:p>
        </w:tc>
      </w:tr>
      <w:tr>
        <w:tc>
          <w:tcPr>
            <w:tcW w:type="dxa" w:w="831"/>
            <w:vMerge/>
          </w:tcPr>
          <w:p/>
        </w:tc>
        <w:tc>
          <w:tcPr>
            <w:tcW w:type="dxa" w:w="1661"/>
          </w:tcPr>
          <w:p>
            <w:pPr>
              <w:pStyle w:val="null3"/>
              <w:jc w:val="both"/>
            </w:pPr>
            <w:r>
              <w:rPr>
                <w:rFonts w:ascii="仿宋_GB2312" w:hAnsi="仿宋_GB2312" w:cs="仿宋_GB2312" w:eastAsia="仿宋_GB2312"/>
              </w:rPr>
              <w:t>仓储及配送方案</w:t>
            </w:r>
          </w:p>
        </w:tc>
        <w:tc>
          <w:tcPr>
            <w:tcW w:type="dxa" w:w="2492"/>
          </w:tcPr>
          <w:p>
            <w:pPr>
              <w:pStyle w:val="null3"/>
              <w:jc w:val="both"/>
            </w:pPr>
            <w:r>
              <w:rPr>
                <w:rFonts w:ascii="仿宋_GB2312" w:hAnsi="仿宋_GB2312" w:cs="仿宋_GB2312" w:eastAsia="仿宋_GB2312"/>
              </w:rPr>
              <w:t>根据采购需求的要求制定仓储及配送方案： 1.投标人的方案内容全面、详细、合理，适用性强，思路清晰，根据实际情况制订，满足采购人的需要，考虑问题周全，具体措施严谨，实施过程务实，保障性强，可操作性强的，得3分； 2.方案内容比较全面，较为详细，思路比较清晰，内容比较严谨，能根据实际情况制订，基本满足采购人的需要，实施过程比较务实，保障性较一般，可操作性一般的，2.5分； 3.方案适用性差，思路不清晰，内容不够全面，表述简单，没有根据实际情况制订，不能够满足采购人的需要，考虑问题片面，保障性较差，可操作性较差的，得2分。 4.无方案得0分。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食品安全事故处置方案及应急处理方案</w:t>
            </w:r>
          </w:p>
        </w:tc>
        <w:tc>
          <w:tcPr>
            <w:tcW w:type="dxa" w:w="2492"/>
          </w:tcPr>
          <w:p>
            <w:pPr>
              <w:pStyle w:val="null3"/>
              <w:jc w:val="both"/>
            </w:pPr>
            <w:r>
              <w:rPr>
                <w:rFonts w:ascii="仿宋_GB2312" w:hAnsi="仿宋_GB2312" w:cs="仿宋_GB2312" w:eastAsia="仿宋_GB2312"/>
              </w:rPr>
              <w:t>投标人应结合本项目的实际情况提供食品安全事故处置方案和应急处理方案，包括适用于本项目保障学生用餐及配送的各类应急预案（含风天气物资保障、应急事故处理等方面），评标委员会对预案、措施、人员救治、危害控制、事故调查、善后处理方面进行综合评审。 1.方案内容全面、详细、合理，适用性强，思路清晰，根据实际情况制订，满足采购人的需要，考虑问题周全，具体措施严谨，实施过程务实，保障性强，可操作性强的，得3分； 2.方案内容比较全面，较为详细，思路比较清晰，内容比较严谨，能根据实际情况制订，基本满足采购人的需要，实施过程比较务实，保障性较一般，可操作性一般的，得2.5分； 3.方案适用性差，思路不清晰，内容不够全面，表述简单，没有根据实际情况制订，不能够满足采购人的需要，考虑问题片面，保障性较差，可操作性较差的，得2分； 4.无方案得0分。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投标人提供适用于本项目的科学、完整的质量保证及售后服务方案，内容包括但不限于质量保证措施、售后服务内容及保障措施等，评标委员会根据投标人提供的质量保证及售后服务方案进行综合评审。 1.方案内容全面、详细、合理，适用性强，思路清晰，根据实际情况制订，满足采购人的需要，考虑问题周全，具体措施严谨，实施过程务实，保障性强，可操作性强的，得3分； 2.方案内容比较全面，较为详细，思路比较清晰，内容比较严谨，能根据实际情况制订，基本满足采购人的需要，实施过程比较务实，保障性较一般，可操作性一般的，得2.5分； 3.方案适用性差，思路不清晰，内容不够全面，表述简单，没有根据实际情况制订，不能够满足采购人的需要，考虑问题片面，保障性较差，可操作性较差的，得2分； 4.无方案得0分。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商务要求响应</w:t>
            </w:r>
          </w:p>
        </w:tc>
        <w:tc>
          <w:tcPr>
            <w:tcW w:type="dxa" w:w="2492"/>
          </w:tcPr>
          <w:p>
            <w:pPr>
              <w:pStyle w:val="null3"/>
              <w:jc w:val="both"/>
            </w:pPr>
            <w:r>
              <w:rPr>
                <w:rFonts w:ascii="仿宋_GB2312" w:hAnsi="仿宋_GB2312" w:cs="仿宋_GB2312" w:eastAsia="仿宋_GB2312"/>
              </w:rPr>
              <w:t>根据投标人提供的“技术、商务响应表”响应情况进行评分：对采购需求的商务要求中的“1.产品配送、储存、加工及验收基本要求；2.交货期和交货地点；3付款方式与结算；4.其他要求；”完全满足或高于招标文件要求的得6分，每负偏离一项或不响应的扣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采购需求“技术和服务要求”中要求的其他相关文件（若有）</w:t>
            </w:r>
          </w:p>
          <w:p>
            <w:pPr>
              <w:pStyle w:val="null3"/>
              <w:jc w:val="both"/>
            </w:pPr>
            <w:r>
              <w:rPr>
                <w:rFonts w:ascii="仿宋_GB2312" w:hAnsi="仿宋_GB2312" w:cs="仿宋_GB2312" w:eastAsia="仿宋_GB2312"/>
              </w:rPr>
              <w:t>技术、商务响应表</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货物来源及供货能力证明1</w:t>
            </w:r>
          </w:p>
        </w:tc>
        <w:tc>
          <w:tcPr>
            <w:tcW w:type="dxa" w:w="2492"/>
          </w:tcPr>
          <w:p>
            <w:pPr>
              <w:pStyle w:val="null3"/>
              <w:jc w:val="both"/>
            </w:pPr>
            <w:r>
              <w:rPr>
                <w:rFonts w:ascii="仿宋_GB2312" w:hAnsi="仿宋_GB2312" w:cs="仿宋_GB2312" w:eastAsia="仿宋_GB2312"/>
              </w:rPr>
              <w:t>1.投标人所投面包的生产企业： （1）取得有效的质量管理体系认证证书，得1分； （2）取得有效的食品安全管理体系认证证书，得1分； （3）取得有效的食品生产许可证，得1分。 证明材料：①第（1）和第（2）项内容因企业成立时间不足，导致未能取得相关认证且提供书面说明的，可获得对应证书的分值；②第（1）和第（2）项内容提供相关证书复印件，在全国认证认可信息公共服务平台（http://cx.cnca.cn/）查询截图，查询时间需在招标公告发布时间之后，需要显示截图时间和投标人名称、有效期，证书认证范围应与面包食品种类相关；③第（3）项提供相应证书复印件加盖公章。④上述材料未提供或未按要求提供或提供的不清晰导致评审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货物来源及供货能力证明情况表1</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货物来源及供货能力证明2</w:t>
            </w:r>
          </w:p>
        </w:tc>
        <w:tc>
          <w:tcPr>
            <w:tcW w:type="dxa" w:w="2492"/>
          </w:tcPr>
          <w:p>
            <w:pPr>
              <w:pStyle w:val="null3"/>
              <w:jc w:val="both"/>
            </w:pPr>
            <w:r>
              <w:rPr>
                <w:rFonts w:ascii="仿宋_GB2312" w:hAnsi="仿宋_GB2312" w:cs="仿宋_GB2312" w:eastAsia="仿宋_GB2312"/>
              </w:rPr>
              <w:t>2.投标人所投蛋糕的生产企业： （1）取得有效的质量管理体系认证证书，得1分；； （2）取得有效的食品安全管理体系认证证书，得1分； （3）取得有效的食品生产许可证，得1分。 证明材料：①第（1）和第（2）项内容因企业成立时间不足，导致未能取得相关认证且提供书面说明的，可获得对应证书的分值；②第（1）和第（2）项内容提供相关证书复印件，在全国认证认可信息公共服务平台（http://cx.cnca.cn/）查询截图，查询时间需在招标公告发布时间之后，需要显示截图时间和投标人名称、有效期，证书认证范围应与面包食品种类相关；③第（3）项提供相应证书复印件加盖公章。④上述材料未提供或未按要求提供或提供的不清晰导致评审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货物来源及供货能力证明情况表2</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货物来源及供货能力证明3</w:t>
            </w:r>
          </w:p>
        </w:tc>
        <w:tc>
          <w:tcPr>
            <w:tcW w:type="dxa" w:w="2492"/>
          </w:tcPr>
          <w:p>
            <w:pPr>
              <w:pStyle w:val="null3"/>
              <w:jc w:val="both"/>
            </w:pPr>
            <w:r>
              <w:rPr>
                <w:rFonts w:ascii="仿宋_GB2312" w:hAnsi="仿宋_GB2312" w:cs="仿宋_GB2312" w:eastAsia="仿宋_GB2312"/>
              </w:rPr>
              <w:t>3.投标人所投鸡蛋的生产企业： （1）取得有效的环评报告，得1分。 （2）取得有效的产品检测报告，得1分。 证明材料：提供相应报告复印件加盖公章，不提供不得分。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货物来源及供货能力证明情况表3</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货物来源及供货能力证明4</w:t>
            </w:r>
          </w:p>
        </w:tc>
        <w:tc>
          <w:tcPr>
            <w:tcW w:type="dxa" w:w="2492"/>
          </w:tcPr>
          <w:p>
            <w:pPr>
              <w:pStyle w:val="null3"/>
              <w:jc w:val="both"/>
            </w:pPr>
            <w:r>
              <w:rPr>
                <w:rFonts w:ascii="仿宋_GB2312" w:hAnsi="仿宋_GB2312" w:cs="仿宋_GB2312" w:eastAsia="仿宋_GB2312"/>
              </w:rPr>
              <w:t>4.投标人所投坚果的生产企业： （1）取得有效的质量管理体系认证证书，得1分；； （2）取得有效的食品安全管理体系认证证书，得1分； （3）取得有效的食品生产许可证，得1分。 证明材料：①第（1）和第（2）项内容因企业成立时间不足，导致未能取得相关认证且提供书面说明的，可获得对应证书的分值；②第（1）和第（2）项内容提供相关证书复印件，在全国认证认可信息公共服务平台（http://cx.cnca.cn/）查询截图，查询时间需在招标公告发布时间之后，需要显示截图时间和投标人名称、有效期，证书认证范围应与面包食品种类相关；③第（3）项提供相应证书复印件加盖公章。④上述材料未提供或未按要求提供或提供的不清晰导致评审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货物来源及供货能力证明情况表4</w:t>
            </w:r>
          </w:p>
        </w:tc>
      </w:tr>
      <w:tr>
        <w:tc>
          <w:tcPr>
            <w:tcW w:type="dxa" w:w="831"/>
            <w:vMerge/>
          </w:tcPr>
          <w:p/>
        </w:tc>
        <w:tc>
          <w:tcPr>
            <w:tcW w:type="dxa" w:w="1661"/>
          </w:tcPr>
          <w:p>
            <w:pPr>
              <w:pStyle w:val="null3"/>
              <w:jc w:val="both"/>
            </w:pPr>
            <w:r>
              <w:rPr>
                <w:rFonts w:ascii="仿宋_GB2312" w:hAnsi="仿宋_GB2312" w:cs="仿宋_GB2312" w:eastAsia="仿宋_GB2312"/>
              </w:rPr>
              <w:t>货物来源及供货能力证明5</w:t>
            </w:r>
          </w:p>
        </w:tc>
        <w:tc>
          <w:tcPr>
            <w:tcW w:type="dxa" w:w="2492"/>
          </w:tcPr>
          <w:p>
            <w:pPr>
              <w:pStyle w:val="null3"/>
              <w:jc w:val="both"/>
            </w:pPr>
            <w:r>
              <w:rPr>
                <w:rFonts w:ascii="仿宋_GB2312" w:hAnsi="仿宋_GB2312" w:cs="仿宋_GB2312" w:eastAsia="仿宋_GB2312"/>
              </w:rPr>
              <w:t>5.投标人具有稳定合法的货物来源和供货能力证明：投标人具有学生饮用奶生产企业针对本项目的授权委托书、投标人具有蛋类生产企业针对本项目的授权委托书、投标人具有面包类或蛋糕类或果蔬干类生产企业针对本项目的授权委托书、投标人具有坚果类生产企业针对本项目的授权委托书，须同时具备相关证明材料得2分。 证明材料：提供授权书加盖生产企业公章复印件，缺项或未提供均不得分。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货物来源及供货能力证明情况表5</w:t>
            </w:r>
          </w:p>
        </w:tc>
      </w:tr>
      <w:tr>
        <w:tc>
          <w:tcPr>
            <w:tcW w:type="dxa" w:w="831"/>
            <w:vMerge/>
          </w:tcPr>
          <w:p/>
        </w:tc>
        <w:tc>
          <w:tcPr>
            <w:tcW w:type="dxa" w:w="1661"/>
          </w:tcPr>
          <w:p>
            <w:pPr>
              <w:pStyle w:val="null3"/>
              <w:jc w:val="both"/>
            </w:pPr>
            <w:r>
              <w:rPr>
                <w:rFonts w:ascii="仿宋_GB2312" w:hAnsi="仿宋_GB2312" w:cs="仿宋_GB2312" w:eastAsia="仿宋_GB2312"/>
              </w:rPr>
              <w:t>人员配备1</w:t>
            </w:r>
          </w:p>
        </w:tc>
        <w:tc>
          <w:tcPr>
            <w:tcW w:type="dxa" w:w="2492"/>
          </w:tcPr>
          <w:p>
            <w:pPr>
              <w:pStyle w:val="null3"/>
              <w:jc w:val="both"/>
            </w:pPr>
            <w:r>
              <w:rPr>
                <w:rFonts w:ascii="仿宋_GB2312" w:hAnsi="仿宋_GB2312" w:cs="仿宋_GB2312" w:eastAsia="仿宋_GB2312"/>
              </w:rPr>
              <w:t>1.投标人根据货物配送需要配备专职食品安全管理人员1名，每1人得1分，本小项最高得1分。 证明材料：提供健康证、投标企业法人颁发的聘用证书、今年内连续三个月在本公司的社保缴纳记录复印件加盖公章，少提供或不提供不得分。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拟投入本项目人员情况一览表</w:t>
            </w:r>
          </w:p>
        </w:tc>
      </w:tr>
      <w:tr>
        <w:tc>
          <w:tcPr>
            <w:tcW w:type="dxa" w:w="831"/>
            <w:vMerge/>
          </w:tcPr>
          <w:p/>
        </w:tc>
        <w:tc>
          <w:tcPr>
            <w:tcW w:type="dxa" w:w="1661"/>
          </w:tcPr>
          <w:p>
            <w:pPr>
              <w:pStyle w:val="null3"/>
              <w:jc w:val="both"/>
            </w:pPr>
            <w:r>
              <w:rPr>
                <w:rFonts w:ascii="仿宋_GB2312" w:hAnsi="仿宋_GB2312" w:cs="仿宋_GB2312" w:eastAsia="仿宋_GB2312"/>
              </w:rPr>
              <w:t>人员配备2</w:t>
            </w:r>
          </w:p>
        </w:tc>
        <w:tc>
          <w:tcPr>
            <w:tcW w:type="dxa" w:w="2492"/>
          </w:tcPr>
          <w:p>
            <w:pPr>
              <w:pStyle w:val="null3"/>
              <w:jc w:val="both"/>
            </w:pPr>
            <w:r>
              <w:rPr>
                <w:rFonts w:ascii="仿宋_GB2312" w:hAnsi="仿宋_GB2312" w:cs="仿宋_GB2312" w:eastAsia="仿宋_GB2312"/>
              </w:rPr>
              <w:t>2.专职配送人员4人，少于4人不得分，4人得2分，每增加1人得0.5分，本小项最高得4分。 证明材料：拟派专职配送人员不能与专职食品安全管理人员为同一人。提供符合准驾车型驾驶证、健康证、投标企业法人颁发的聘用证书、今年内连续三个月在本公司的社保缴纳记录，以上材料需要提供复印件加盖公章，少提供或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拟投入本项目人员情况一览表</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根据投标人拟投入的配餐冷藏车情况进行评分： 投标人配备符合国家和行业对食品标准要求配餐冷藏运输配送车辆至少有3辆，提供两辆及以下的不得分，提供三辆得4分，在三辆的基础上每多加一辆加1分，本项最高得6分。 证明材料：投标人自有车辆的提供在年审有效期内的行驶证复印件、购车发票及车辆照片并加盖公章；非投标人名下车辆提供车辆租赁合同、车辆照片及在年审有效期内的行驶证复印件加盖公章，材料缺项或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拟投入本项目配送车辆情况一览表</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在本省已设立自有或租赁仓库且面积在1000㎡（含）以上，得4分；投标人本省自有或租赁仓库且面积在500㎡（含）-1000㎡，得3分；投标人本省自有或租赁仓库且面积在500㎡以下能满足本项目仓储量的，得2分；投标人不具有仓库不得分。本项最高得4分。 证明材料：投标人自有仓库的须提供投标人自有房产证明，并提供仓库照片。租赁仓库的须提供投标人与出租方签订的租赁合同，并提供仓库照片。提供证明材料复印件加盖投标人公章，不提供不得分。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仓库资源配置情况一览表</w:t>
            </w:r>
          </w:p>
        </w:tc>
      </w:tr>
      <w:tr>
        <w:tc>
          <w:tcPr>
            <w:tcW w:type="dxa" w:w="831"/>
            <w:vMerge/>
          </w:tcPr>
          <w:p/>
        </w:tc>
        <w:tc>
          <w:tcPr>
            <w:tcW w:type="dxa" w:w="1661"/>
          </w:tcPr>
          <w:p>
            <w:pPr>
              <w:pStyle w:val="null3"/>
              <w:jc w:val="both"/>
            </w:pPr>
            <w:r>
              <w:rPr>
                <w:rFonts w:ascii="仿宋_GB2312" w:hAnsi="仿宋_GB2312" w:cs="仿宋_GB2312" w:eastAsia="仿宋_GB2312"/>
              </w:rPr>
              <w:t>食品安全责任险</w:t>
            </w:r>
          </w:p>
        </w:tc>
        <w:tc>
          <w:tcPr>
            <w:tcW w:type="dxa" w:w="2492"/>
          </w:tcPr>
          <w:p>
            <w:pPr>
              <w:pStyle w:val="null3"/>
              <w:jc w:val="both"/>
            </w:pPr>
            <w:r>
              <w:rPr>
                <w:rFonts w:ascii="仿宋_GB2312" w:hAnsi="仿宋_GB2312" w:cs="仿宋_GB2312" w:eastAsia="仿宋_GB2312"/>
              </w:rPr>
              <w:t>已购买或承诺购买具有赔付额为1500万(含)以上的食品安全责任险得9分；已购买或承诺购买具有赔付额为1000万(含)—1500万的食品安全责任险得6分；已购买或承诺购买具有赔付额为1000万以下的食品安全责任险得3分；不购买或无承诺的均不得分。本项最高得9分。 证明材料：提供有效期内的保单复印件或承诺函（格式自拟）加盖公章。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食品安全责任险响应情况</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HNPC2025-005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2025-2026学年度琼中县农村义务教育学生营养改善计划（牛奶+X+坚果）项目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1(2025-2026学年度琼中县农村义务教育学生营养改善计划（牛奶+X+坚果）项目)</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交付地点</w:t>
            </w:r>
          </w:p>
        </w:tc>
        <w:tc>
          <w:tcPr>
            <w:tcW w:type="dxa" w:w="1038"/>
          </w:tcPr>
          <w:p>
            <w:pPr>
              <w:pStyle w:val="null3"/>
              <w:jc w:val="left"/>
            </w:pPr>
            <w:r>
              <w:rPr>
                <w:rFonts w:ascii="仿宋_GB2312" w:hAnsi="仿宋_GB2312" w:cs="仿宋_GB2312" w:eastAsia="仿宋_GB2312"/>
              </w:rPr>
              <w:t xml:space="preserve"> 交付期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2025-2026学年度琼中县农村义务教育学生营养改善计划（牛奶+X+坚果）项目</w:t>
            </w:r>
          </w:p>
        </w:tc>
        <w:tc>
          <w:tcPr>
            <w:tcW w:type="dxa" w:w="1038"/>
          </w:tcPr>
          <w:p>
            <w:pPr>
              <w:pStyle w:val="null3"/>
              <w:jc w:val="left"/>
            </w:pPr>
            <w:r>
              <w:rPr>
                <w:rFonts w:ascii="仿宋_GB2312" w:hAnsi="仿宋_GB2312" w:cs="仿宋_GB2312" w:eastAsia="仿宋_GB2312"/>
              </w:rPr>
              <w:t xml:space="preserve"> 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5066000.00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备注：中标后按照5元/1天/1人/1餐标准配送，按实际配送量结算。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详见附件：技术、商务响应表</w:t>
      </w:r>
    </w:p>
    <w:p>
      <w:pPr>
        <w:pStyle w:val="null3"/>
        <w:ind w:firstLine="960"/>
        <w:jc w:val="left"/>
      </w:pPr>
      <w:r>
        <w:rPr>
          <w:rFonts w:ascii="仿宋_GB2312" w:hAnsi="仿宋_GB2312" w:cs="仿宋_GB2312" w:eastAsia="仿宋_GB2312"/>
        </w:rPr>
        <w:t>详见附件：采购需求“技术和服务要求”中要求的其他相关文件（若有）</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详见附件：投标函（投标人承诺函）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详见附件：分包意向协议书</w:t>
      </w:r>
    </w:p>
    <w:p>
      <w:pPr>
        <w:pStyle w:val="null3"/>
        <w:ind w:firstLine="960"/>
        <w:jc w:val="left"/>
      </w:pPr>
      <w:r>
        <w:rPr>
          <w:rFonts w:ascii="仿宋_GB2312" w:hAnsi="仿宋_GB2312" w:cs="仿宋_GB2312" w:eastAsia="仿宋_GB2312"/>
        </w:rPr>
        <w:t>详见附件：接受分包合同的中小企业与分包企业之间不存在直接控股、管理关系的声明函</w:t>
      </w:r>
    </w:p>
    <w:p>
      <w:pPr>
        <w:pStyle w:val="null3"/>
        <w:ind w:firstLine="960"/>
        <w:jc w:val="left"/>
      </w:pPr>
      <w:r>
        <w:rPr>
          <w:rFonts w:ascii="仿宋_GB2312" w:hAnsi="仿宋_GB2312" w:cs="仿宋_GB2312" w:eastAsia="仿宋_GB2312"/>
        </w:rPr>
        <w:t>详见附件：拟投入本项目人员情况一览表</w:t>
      </w:r>
    </w:p>
    <w:p>
      <w:pPr>
        <w:pStyle w:val="null3"/>
        <w:ind w:firstLine="960"/>
        <w:jc w:val="left"/>
      </w:pPr>
      <w:r>
        <w:rPr>
          <w:rFonts w:ascii="仿宋_GB2312" w:hAnsi="仿宋_GB2312" w:cs="仿宋_GB2312" w:eastAsia="仿宋_GB2312"/>
        </w:rPr>
        <w:t>详见附件：拟投入本项目配送车辆情况一览表</w:t>
      </w:r>
    </w:p>
    <w:p>
      <w:pPr>
        <w:pStyle w:val="null3"/>
        <w:ind w:firstLine="960"/>
        <w:jc w:val="left"/>
      </w:pPr>
      <w:r>
        <w:rPr>
          <w:rFonts w:ascii="仿宋_GB2312" w:hAnsi="仿宋_GB2312" w:cs="仿宋_GB2312" w:eastAsia="仿宋_GB2312"/>
        </w:rPr>
        <w:t>详见附件：仓库资源配置情况一览表</w:t>
      </w:r>
    </w:p>
    <w:p>
      <w:pPr>
        <w:pStyle w:val="null3"/>
        <w:ind w:firstLine="960"/>
        <w:jc w:val="left"/>
      </w:pPr>
      <w:r>
        <w:rPr>
          <w:rFonts w:ascii="仿宋_GB2312" w:hAnsi="仿宋_GB2312" w:cs="仿宋_GB2312" w:eastAsia="仿宋_GB2312"/>
        </w:rPr>
        <w:t>详见附件：食品安全责任险响应情况</w:t>
      </w:r>
    </w:p>
    <w:p>
      <w:pPr>
        <w:pStyle w:val="null3"/>
        <w:ind w:firstLine="960"/>
        <w:jc w:val="left"/>
      </w:pPr>
      <w:r>
        <w:rPr>
          <w:rFonts w:ascii="仿宋_GB2312" w:hAnsi="仿宋_GB2312" w:cs="仿宋_GB2312" w:eastAsia="仿宋_GB2312"/>
        </w:rPr>
        <w:t>详见附件：货物来源及供货能力证明情况表1</w:t>
      </w:r>
    </w:p>
    <w:p>
      <w:pPr>
        <w:pStyle w:val="null3"/>
        <w:ind w:firstLine="960"/>
        <w:jc w:val="left"/>
      </w:pPr>
      <w:r>
        <w:rPr>
          <w:rFonts w:ascii="仿宋_GB2312" w:hAnsi="仿宋_GB2312" w:cs="仿宋_GB2312" w:eastAsia="仿宋_GB2312"/>
        </w:rPr>
        <w:t>详见附件：货物来源及供货能力证明情况表2</w:t>
      </w:r>
    </w:p>
    <w:p>
      <w:pPr>
        <w:pStyle w:val="null3"/>
        <w:ind w:firstLine="960"/>
        <w:jc w:val="left"/>
      </w:pPr>
      <w:r>
        <w:rPr>
          <w:rFonts w:ascii="仿宋_GB2312" w:hAnsi="仿宋_GB2312" w:cs="仿宋_GB2312" w:eastAsia="仿宋_GB2312"/>
        </w:rPr>
        <w:t>详见附件：货物来源及供货能力证明情况表3</w:t>
      </w:r>
    </w:p>
    <w:p>
      <w:pPr>
        <w:pStyle w:val="null3"/>
        <w:ind w:firstLine="960"/>
        <w:jc w:val="left"/>
      </w:pPr>
      <w:r>
        <w:rPr>
          <w:rFonts w:ascii="仿宋_GB2312" w:hAnsi="仿宋_GB2312" w:cs="仿宋_GB2312" w:eastAsia="仿宋_GB2312"/>
        </w:rPr>
        <w:t>详见附件：货物来源及供货能力证明情况表4</w:t>
      </w:r>
    </w:p>
    <w:p>
      <w:pPr>
        <w:pStyle w:val="null3"/>
        <w:ind w:firstLine="960"/>
        <w:jc w:val="left"/>
      </w:pPr>
      <w:r>
        <w:rPr>
          <w:rFonts w:ascii="仿宋_GB2312" w:hAnsi="仿宋_GB2312" w:cs="仿宋_GB2312" w:eastAsia="仿宋_GB2312"/>
        </w:rPr>
        <w:t>详见附件：货物来源及供货能力证明情况表5</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