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7"/>
        <w:ind w:firstLineChars="0" w:firstLine="0"/>
        <w:jc w:val="center"/>
        <w:rPr>
          <w:b/>
          <w:bCs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</w:rPr>
        <w:t>分项报价明细表</w:t>
      </w:r>
    </w:p>
    <w:p>
      <w:pPr>
        <w:pStyle w:val="a5"/>
        <w:spacing w:line="240" w:lineRule="auto"/>
        <w:ind w:leftChars="0" w:left="0" w:firstLineChars="100" w:firstLine="24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项目名称：</w:t>
      </w:r>
    </w:p>
    <w:p>
      <w:pPr>
        <w:pStyle w:val="a5"/>
        <w:spacing w:line="240" w:lineRule="auto"/>
        <w:ind w:leftChars="0" w:left="0" w:firstLineChars="100" w:firstLine="240"/>
        <w:jc w:val="both"/>
        <w:rPr>
          <w:rFonts w:ascii="宋体" w:hAnsi="宋体"/>
          <w:b w:val="0"/>
          <w:sz w:val="24"/>
          <w:szCs w:val="24"/>
        </w:rPr>
      </w:pPr>
      <w:r>
        <w:rPr>
          <w:rFonts w:ascii="宋体" w:hAnsi="宋体" w:hint="eastAsia"/>
          <w:b w:val="0"/>
          <w:sz w:val="24"/>
          <w:szCs w:val="24"/>
        </w:rPr>
        <w:t>项目编号：</w:t>
      </w:r>
    </w:p>
    <w:tbl>
      <w:tblPr>
        <w:tblW w:w="10474" w:type="dxa"/>
        <w:tblInd w:w="-885" w:type="dxa"/>
        <w:tblBorders>
          <w:top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169"/>
        <w:gridCol w:w="2410"/>
        <w:gridCol w:w="1478"/>
        <w:gridCol w:w="840"/>
        <w:gridCol w:w="975"/>
        <w:gridCol w:w="1073"/>
        <w:gridCol w:w="998"/>
        <w:gridCol w:w="998"/>
      </w:tblGrid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3579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采购品目名称</w:t>
            </w:r>
          </w:p>
        </w:tc>
        <w:tc>
          <w:tcPr>
            <w:tcW w:w="147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链路点位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带宽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数量（条）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服务期（月）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pStyle w:val="1"/>
              <w:spacing w:line="400" w:lineRule="exact"/>
              <w:jc w:val="center"/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  <w:t>单价（元/月）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pStyle w:val="1"/>
              <w:spacing w:line="400" w:lineRule="exact"/>
              <w:jc w:val="center"/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  <w:t>小计（元</w:t>
            </w:r>
            <w:r>
              <w:rPr>
                <w:rStyle w:val="Char10"/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/年</w:t>
            </w:r>
            <w:r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  <w:t>）</w:t>
            </w: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9" w:type="dxa"/>
            <w:vMerge w:val="restart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C16020400-安全集成实施服务1</w:t>
            </w: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琼中黎族苗族自治县公安局智能卡口（一期）链路服务</w:t>
            </w:r>
          </w:p>
        </w:tc>
        <w:tc>
          <w:tcPr>
            <w:tcW w:w="14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营根镇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、黎母镇、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湾岭镇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、和平镇、长征镇、红毛镇、中平镇、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吊罗山乡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、上安乡、什运乡境内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琼中黎族苗族自治县公安局“平安校园”二期链路服务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bookmarkStart w:id="0" w:name="OLE_LINK1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公安三级网光纤链路服务</w:t>
            </w:r>
            <w:bookmarkEnd w:id="0"/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1000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公安三级网光纤链路服务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4112" w:type="dxa"/>
            <w:gridSpan w:val="3"/>
            <w:tcBorders>
              <w:left w:val="single" w:sz="4" w:space="0" w:color="000000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分项合计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07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69" w:type="dxa"/>
            <w:vMerge w:val="restart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C16020400-安全集成实施服务2</w:t>
            </w: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琼中黎族苗族自治县公安局交警违章停拍（交通警察礼让行人）链路服务</w:t>
            </w:r>
          </w:p>
        </w:tc>
        <w:tc>
          <w:tcPr>
            <w:tcW w:w="14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营根镇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、黎母镇、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湾岭镇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、和平镇、长征镇、红毛镇、中平镇、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吊罗山乡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、上安乡、什运乡境内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bookmarkStart w:id="1" w:name="OLE_LINK2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琼中黎族苗族自治县公安局立体化治安防控一、二期链路服务</w:t>
            </w:r>
            <w:bookmarkEnd w:id="1"/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368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琼中黎族苗族自治县公安局立体化治安防控一、二期链路服务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1000M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琼中黎族苗族自治县公安局“平安校园”三期链路服务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4112" w:type="dxa"/>
            <w:gridSpan w:val="3"/>
            <w:tcBorders>
              <w:left w:val="single" w:sz="4" w:space="0" w:color="000000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分项合计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07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69" w:type="dxa"/>
            <w:vMerge w:val="restart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C16070400-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安全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运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维服务</w:t>
            </w: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琼中黎族苗族自治县公安局立</w:t>
            </w:r>
            <w:bookmarkStart w:id="2" w:name="_GoBack"/>
            <w:bookmarkEnd w:id="2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体化治安防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控系统三期链路服务</w:t>
            </w:r>
          </w:p>
        </w:tc>
        <w:tc>
          <w:tcPr>
            <w:tcW w:w="14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营根镇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、黎母镇、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湾岭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镇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、和平镇、长征镇、红毛镇、中平镇、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吊罗山乡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、上安乡、什运乡境内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100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408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33" w:type="dxa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69" w:type="dxa"/>
            <w:vMerge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琼中黎族苗族自治县公安局精品光纤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VPN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业务链路服务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10G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4112" w:type="dxa"/>
            <w:gridSpan w:val="3"/>
            <w:tcBorders>
              <w:left w:val="single" w:sz="4" w:space="0" w:color="000000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分项合计</w:t>
            </w:r>
          </w:p>
        </w:tc>
        <w:tc>
          <w:tcPr>
            <w:tcW w:w="147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107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590" w:type="dxa"/>
            <w:gridSpan w:val="4"/>
            <w:tcBorders>
              <w:left w:val="single" w:sz="4" w:space="0" w:color="000000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总合计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923</w:t>
            </w:r>
          </w:p>
        </w:tc>
        <w:tc>
          <w:tcPr>
            <w:tcW w:w="1073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l2br w:val="nil"/>
              <w:tr2bl w:val="nil"/>
            </w:tcBorders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>
        <w:trPr>
          <w:trHeight w:val="375"/>
        </w:trPr>
        <w:tc>
          <w:tcPr>
            <w:tcW w:w="5590" w:type="dxa"/>
            <w:gridSpan w:val="4"/>
            <w:tcBorders>
              <w:left w:val="single" w:sz="4" w:space="0" w:color="00000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投标总价</w:t>
            </w:r>
          </w:p>
        </w:tc>
        <w:tc>
          <w:tcPr>
            <w:tcW w:w="488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"/>
              <w:spacing w:line="400" w:lineRule="exact"/>
              <w:jc w:val="left"/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  <w:t>小写：</w:t>
            </w:r>
          </w:p>
          <w:p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  <w:t>大写：</w:t>
            </w:r>
          </w:p>
        </w:tc>
      </w:tr>
      <w:tr>
        <w:trPr>
          <w:trHeight w:val="588"/>
        </w:trPr>
        <w:tc>
          <w:tcPr>
            <w:tcW w:w="10474" w:type="dxa"/>
            <w:gridSpan w:val="9"/>
            <w:tcBorders>
              <w:left w:val="single" w:sz="4" w:space="0" w:color="000000"/>
            </w:tcBorders>
            <w:vAlign w:val="center"/>
          </w:tcPr>
          <w:p>
            <w:pPr>
              <w:pStyle w:val="1"/>
              <w:spacing w:line="400" w:lineRule="exact"/>
              <w:rPr>
                <w:rStyle w:val="Char10"/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>
              <w:rPr>
                <w:rStyle w:val="Char10"/>
                <w:rFonts w:asciiTheme="minorEastAsia" w:eastAsiaTheme="minorEastAsia" w:hAnsiTheme="minorEastAsia" w:hint="eastAsia"/>
                <w:b/>
                <w:color w:val="000000" w:themeColor="text1"/>
                <w:szCs w:val="24"/>
              </w:rPr>
              <w:t>备注：以上点位名称及数量以采购需求内容为准，以上表行数可自行添加或调整。</w:t>
            </w:r>
          </w:p>
        </w:tc>
      </w:tr>
    </w:tbl>
    <w:p/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投标单位名称（公章）：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  <w:szCs w:val="24"/>
        </w:rPr>
        <w:t xml:space="preserve">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法定代表人或被授权人（签字或盖章）：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日期：    年  月  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注:①投标人必须按“分项报价明细表”的格式详细报出投标总价的各个组成部分的报价，否则作无效投标处理。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②“报价明细表”各分项报价合计应当与“开标一览表”报价合计相等。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单价和投标总价。如果单价与总价有出入，以单价为准；大写金额与小写金额不一致的，以大写金额为准；总价金额与按单价汇总金额不一致的，以单价金额计算结果金额为准；单价金额小数点有明显错位的，应以总价为准并修改单价。</w:t>
      </w:r>
    </w:p>
    <w:p/>
    <w:p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ody Text Indent"/>
    <w:basedOn w:val="a"/>
    <w:next w:val="a6"/>
    <w:link w:val="Char1"/>
    <w:uiPriority w:val="99"/>
    <w:unhideWhenUsed/>
    <w:qFormat/>
    <w:pPr>
      <w:widowControl/>
      <w:spacing w:after="120" w:line="360" w:lineRule="auto"/>
      <w:ind w:leftChars="200" w:left="420" w:firstLine="420"/>
      <w:jc w:val="left"/>
    </w:pPr>
    <w:rPr>
      <w:rFonts w:ascii="Niagara Engraved" w:eastAsia="宋体" w:hAnsi="Niagara Engraved" w:cs="Times New Roman"/>
      <w:b/>
      <w:sz w:val="28"/>
      <w:szCs w:val="21"/>
    </w:rPr>
  </w:style>
  <w:style w:type="character" w:customStyle="1" w:styleId="Char1">
    <w:name w:val="正文文本缩进 Char"/>
    <w:basedOn w:val="a0"/>
    <w:link w:val="a5"/>
    <w:uiPriority w:val="99"/>
    <w:qFormat/>
    <w:rPr>
      <w:rFonts w:ascii="Niagara Engraved" w:eastAsia="宋体" w:hAnsi="Niagara Engraved" w:cs="Times New Roman"/>
      <w:b/>
      <w:sz w:val="28"/>
      <w:szCs w:val="21"/>
    </w:rPr>
  </w:style>
  <w:style w:type="paragraph" w:customStyle="1" w:styleId="a7">
    <w:name w:val="*正文"/>
    <w:basedOn w:val="a"/>
    <w:link w:val="Char2"/>
    <w:qFormat/>
    <w:pPr>
      <w:spacing w:line="360" w:lineRule="auto"/>
      <w:ind w:firstLineChars="200" w:firstLine="200"/>
    </w:pPr>
    <w:rPr>
      <w:rFonts w:ascii="宋体" w:eastAsia="宋体" w:hAnsi="宋体" w:cs="Times New Roman"/>
      <w:sz w:val="24"/>
      <w:szCs w:val="24"/>
    </w:rPr>
  </w:style>
  <w:style w:type="character" w:customStyle="1" w:styleId="Char2">
    <w:name w:val="*正文 Char"/>
    <w:link w:val="a7"/>
    <w:qFormat/>
    <w:rPr>
      <w:rFonts w:ascii="宋体" w:eastAsia="宋体" w:hAnsi="宋体" w:cs="Times New Roman"/>
      <w:sz w:val="24"/>
      <w:szCs w:val="24"/>
    </w:rPr>
  </w:style>
  <w:style w:type="paragraph" w:styleId="a6">
    <w:name w:val="envelope return"/>
    <w:basedOn w:val="a"/>
    <w:uiPriority w:val="99"/>
    <w:semiHidden/>
    <w:unhideWhenUsed/>
    <w:pPr>
      <w:snapToGrid w:val="0"/>
    </w:pPr>
    <w:rPr>
      <w:rFonts w:asciiTheme="majorHAnsi" w:eastAsiaTheme="majorEastAsia" w:hAnsiTheme="majorHAnsi" w:cstheme="majorBidi"/>
    </w:rPr>
  </w:style>
  <w:style w:type="paragraph" w:customStyle="1" w:styleId="1">
    <w:name w:val="无间隔1"/>
    <w:link w:val="Char3"/>
    <w:uiPriority w:val="1"/>
    <w:qFormat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Char10">
    <w:name w:val="列出段落 Char1"/>
    <w:uiPriority w:val="34"/>
    <w:qFormat/>
    <w:locked/>
    <w:rPr>
      <w:rFonts w:ascii="Calibri" w:eastAsia="宋体" w:hAnsi="Calibri" w:cs="Times New Roman"/>
      <w:kern w:val="2"/>
      <w:sz w:val="24"/>
    </w:rPr>
  </w:style>
  <w:style w:type="character" w:customStyle="1" w:styleId="Char3">
    <w:name w:val="无间隔 Char"/>
    <w:link w:val="1"/>
    <w:uiPriority w:val="1"/>
    <w:qFormat/>
    <w:rPr>
      <w:rFonts w:ascii="Calibri" w:eastAsia="宋体" w:hAnsi="Calibri" w:cs="Times New Roman"/>
    </w:rPr>
  </w:style>
  <w:style w:type="paragraph" w:styleId="2">
    <w:name w:val="Body Text First Indent 2"/>
    <w:basedOn w:val="a5"/>
    <w:link w:val="2Char"/>
    <w:uiPriority w:val="99"/>
    <w:semiHidden/>
    <w:unhideWhenUsed/>
    <w:pPr>
      <w:widowControl w:val="0"/>
      <w:spacing w:line="240" w:lineRule="auto"/>
      <w:ind w:firstLineChars="200" w:firstLine="200"/>
      <w:jc w:val="both"/>
    </w:pPr>
    <w:rPr>
      <w:rFonts w:asciiTheme="minorHAnsi" w:eastAsiaTheme="minorEastAsia" w:hAnsiTheme="minorHAnsi" w:cstheme="minorBidi"/>
      <w:b w:val="0"/>
      <w:sz w:val="21"/>
      <w:szCs w:val="22"/>
    </w:rPr>
  </w:style>
  <w:style w:type="character" w:customStyle="1" w:styleId="2Char">
    <w:name w:val="正文首行缩进 2 Char"/>
    <w:basedOn w:val="Char1"/>
    <w:link w:val="2"/>
    <w:uiPriority w:val="99"/>
    <w:semiHidden/>
    <w:rPr>
      <w:rFonts w:ascii="Niagara Engraved" w:eastAsia="宋体" w:hAnsi="Niagara Engraved" w:cs="Times New Roman"/>
      <w:b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ody Text Indent"/>
    <w:basedOn w:val="a"/>
    <w:next w:val="a6"/>
    <w:link w:val="Char1"/>
    <w:uiPriority w:val="99"/>
    <w:unhideWhenUsed/>
    <w:qFormat/>
    <w:pPr>
      <w:widowControl/>
      <w:spacing w:after="120" w:line="360" w:lineRule="auto"/>
      <w:ind w:leftChars="200" w:left="420" w:firstLine="420"/>
      <w:jc w:val="left"/>
    </w:pPr>
    <w:rPr>
      <w:rFonts w:ascii="Niagara Engraved" w:eastAsia="宋体" w:hAnsi="Niagara Engraved" w:cs="Times New Roman"/>
      <w:b/>
      <w:sz w:val="28"/>
      <w:szCs w:val="21"/>
    </w:rPr>
  </w:style>
  <w:style w:type="character" w:customStyle="1" w:styleId="Char1">
    <w:name w:val="正文文本缩进 Char"/>
    <w:basedOn w:val="a0"/>
    <w:link w:val="a5"/>
    <w:uiPriority w:val="99"/>
    <w:qFormat/>
    <w:rPr>
      <w:rFonts w:ascii="Niagara Engraved" w:eastAsia="宋体" w:hAnsi="Niagara Engraved" w:cs="Times New Roman"/>
      <w:b/>
      <w:sz w:val="28"/>
      <w:szCs w:val="21"/>
    </w:rPr>
  </w:style>
  <w:style w:type="paragraph" w:customStyle="1" w:styleId="a7">
    <w:name w:val="*正文"/>
    <w:basedOn w:val="a"/>
    <w:link w:val="Char2"/>
    <w:qFormat/>
    <w:pPr>
      <w:spacing w:line="360" w:lineRule="auto"/>
      <w:ind w:firstLineChars="200" w:firstLine="200"/>
    </w:pPr>
    <w:rPr>
      <w:rFonts w:ascii="宋体" w:eastAsia="宋体" w:hAnsi="宋体" w:cs="Times New Roman"/>
      <w:sz w:val="24"/>
      <w:szCs w:val="24"/>
    </w:rPr>
  </w:style>
  <w:style w:type="character" w:customStyle="1" w:styleId="Char2">
    <w:name w:val="*正文 Char"/>
    <w:link w:val="a7"/>
    <w:qFormat/>
    <w:rPr>
      <w:rFonts w:ascii="宋体" w:eastAsia="宋体" w:hAnsi="宋体" w:cs="Times New Roman"/>
      <w:sz w:val="24"/>
      <w:szCs w:val="24"/>
    </w:rPr>
  </w:style>
  <w:style w:type="paragraph" w:styleId="a6">
    <w:name w:val="envelope return"/>
    <w:basedOn w:val="a"/>
    <w:uiPriority w:val="99"/>
    <w:semiHidden/>
    <w:unhideWhenUsed/>
    <w:pPr>
      <w:snapToGrid w:val="0"/>
    </w:pPr>
    <w:rPr>
      <w:rFonts w:asciiTheme="majorHAnsi" w:eastAsiaTheme="majorEastAsia" w:hAnsiTheme="majorHAnsi" w:cstheme="majorBidi"/>
    </w:rPr>
  </w:style>
  <w:style w:type="paragraph" w:customStyle="1" w:styleId="1">
    <w:name w:val="无间隔1"/>
    <w:link w:val="Char3"/>
    <w:uiPriority w:val="1"/>
    <w:qFormat/>
    <w:pPr>
      <w:widowControl w:val="0"/>
      <w:jc w:val="both"/>
    </w:pPr>
    <w:rPr>
      <w:rFonts w:ascii="Calibri" w:eastAsia="宋体" w:hAnsi="Calibri" w:cs="Times New Roman"/>
    </w:rPr>
  </w:style>
  <w:style w:type="character" w:customStyle="1" w:styleId="Char10">
    <w:name w:val="列出段落 Char1"/>
    <w:uiPriority w:val="34"/>
    <w:qFormat/>
    <w:locked/>
    <w:rPr>
      <w:rFonts w:ascii="Calibri" w:eastAsia="宋体" w:hAnsi="Calibri" w:cs="Times New Roman"/>
      <w:kern w:val="2"/>
      <w:sz w:val="24"/>
    </w:rPr>
  </w:style>
  <w:style w:type="character" w:customStyle="1" w:styleId="Char3">
    <w:name w:val="无间隔 Char"/>
    <w:link w:val="1"/>
    <w:uiPriority w:val="1"/>
    <w:qFormat/>
    <w:rPr>
      <w:rFonts w:ascii="Calibri" w:eastAsia="宋体" w:hAnsi="Calibri" w:cs="Times New Roman"/>
    </w:rPr>
  </w:style>
  <w:style w:type="paragraph" w:styleId="2">
    <w:name w:val="Body Text First Indent 2"/>
    <w:basedOn w:val="a5"/>
    <w:link w:val="2Char"/>
    <w:uiPriority w:val="99"/>
    <w:semiHidden/>
    <w:unhideWhenUsed/>
    <w:pPr>
      <w:widowControl w:val="0"/>
      <w:spacing w:line="240" w:lineRule="auto"/>
      <w:ind w:firstLineChars="200" w:firstLine="200"/>
      <w:jc w:val="both"/>
    </w:pPr>
    <w:rPr>
      <w:rFonts w:asciiTheme="minorHAnsi" w:eastAsiaTheme="minorEastAsia" w:hAnsiTheme="minorHAnsi" w:cstheme="minorBidi"/>
      <w:b w:val="0"/>
      <w:sz w:val="21"/>
      <w:szCs w:val="22"/>
    </w:rPr>
  </w:style>
  <w:style w:type="character" w:customStyle="1" w:styleId="2Char">
    <w:name w:val="正文首行缩进 2 Char"/>
    <w:basedOn w:val="Char1"/>
    <w:link w:val="2"/>
    <w:uiPriority w:val="99"/>
    <w:semiHidden/>
    <w:rPr>
      <w:rFonts w:ascii="Niagara Engraved" w:eastAsia="宋体" w:hAnsi="Niagara Engraved" w:cs="Times New Roman"/>
      <w:b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159</Words>
  <Characters>912</Characters>
  <Application>Microsoft Office Word</Application>
  <DocSecurity>0</DocSecurity>
  <Lines>7</Lines>
  <Paragraphs>2</Paragraphs>
  <ScaleCrop>false</ScaleCrop>
  <Company>Www.PcGho.Com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23</cp:revision>
  <dcterms:created xsi:type="dcterms:W3CDTF">2025-07-29T02:58:00Z</dcterms:created>
  <dcterms:modified xsi:type="dcterms:W3CDTF">2025-07-30T03:24:00Z</dcterms:modified>
</cp:coreProperties>
</file>