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2025—2026学年度琼中女足管理中心食堂委托经营服务项目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HNXZ-2025-026</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琼中黎族苗族自治县教育局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海南信正招标代理有限公司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琼中黎族苗族自治县教育局</w:t>
      </w:r>
      <w:r>
        <w:rPr>
          <w:rFonts w:ascii="仿宋_GB2312" w:hAnsi="仿宋_GB2312" w:cs="仿宋_GB2312" w:eastAsia="仿宋_GB2312"/>
        </w:rPr>
        <w:t xml:space="preserve"> 委托， </w:t>
      </w:r>
      <w:r>
        <w:rPr>
          <w:rFonts w:ascii="仿宋_GB2312" w:hAnsi="仿宋_GB2312" w:cs="仿宋_GB2312" w:eastAsia="仿宋_GB2312"/>
        </w:rPr>
        <w:t>海南信正招标代理有限公司</w:t>
      </w:r>
      <w:r>
        <w:rPr>
          <w:rFonts w:ascii="仿宋_GB2312" w:hAnsi="仿宋_GB2312" w:cs="仿宋_GB2312" w:eastAsia="仿宋_GB2312"/>
        </w:rPr>
        <w:t xml:space="preserve"> 对 </w:t>
      </w:r>
      <w:r>
        <w:rPr>
          <w:rFonts w:ascii="仿宋_GB2312" w:hAnsi="仿宋_GB2312" w:cs="仿宋_GB2312" w:eastAsia="仿宋_GB2312"/>
        </w:rPr>
        <w:t>2025—2026学年度琼中女足管理中心食堂委托经营服务项目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HNXZ-2025-026</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2025—2026学年度琼中女足管理中心食堂委托经营服务项目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8,355,000.00元</w:t>
      </w:r>
      <w:r>
        <w:rPr>
          <w:rFonts w:ascii="仿宋_GB2312" w:hAnsi="仿宋_GB2312" w:cs="仿宋_GB2312" w:eastAsia="仿宋_GB2312"/>
        </w:rPr>
        <w:t>捌佰叁拾伍万伍仟元整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自合同签订之日起至2026年8月31日</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1、参加政府采购活动前三年内，无环保类行政处罚记录：参加政府采购活动前三年内，无环保类行政处罚记录。（提供声明函，加盖单位公章）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发布媒体：海南省政府采购网上发布，有关本项目招标文件的补遗、澄清及变更信息以上述网站公告与下载为准，招标文件与更正公告的内容相互矛盾时，以最后发出的更正公告内容为准。2、有关本项目招标文件的补遗、澄清及变更信息以上述网站公告与下载为准，采购代理机构不再另行通知，招标文件与更正公告的内容相互矛盾时，以最后发出的更正公告内容为准。3、供应商须在海南政府采购网中的海南省政府采购智慧云平台进行注册并完善信息，然后下载参与投标项目电子招标文件（数据包）及其他文件。4、电子标采用全程电子化操作，供应商使用交易系统遇到问题可致电技术支持。5、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琼中黎族苗族自治县教育局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琼中黎族苗族自治县海榆路287号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572900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0898-86225536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海南信正招标代理有限公司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海南省海口市琼山区国兴街道办国兴大道22号富力首府南区盈泰财富广场3805室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0898-65363682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采购包1：8,355,000.00元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说明：中标人应在合同签订之前向采购人交纳招标文件规定数额的履约保证金，金额为合同金额的5%，以银行转账、支票、汇票、本票或者金融机构、担保机构出具的保函等非现金形式提交。</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从递交投标文件的截止之日起60天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代理服务费收费标准：参照《招标代理服务费收费管理暂行办法》（计价格[2002]1980号）规定，以人民币伍万肆仟元整（¥54000.00元）收取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中标供应商在领取中标通知书时向采购代理机构提供3份胶装版纸质投标文件，须与在系统递交的电子版文件一致；</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联系人：陈工</w:t>
      </w:r>
    </w:p>
    <w:p>
      <w:pPr>
        <w:pStyle w:val="null3"/>
        <w:jc w:val="left"/>
      </w:pPr>
      <w:r>
        <w:rPr>
          <w:rFonts w:ascii="仿宋_GB2312" w:hAnsi="仿宋_GB2312" w:cs="仿宋_GB2312" w:eastAsia="仿宋_GB2312"/>
        </w:rPr>
        <w:t>联系电话：0898-65363682</w:t>
      </w:r>
    </w:p>
    <w:p>
      <w:pPr>
        <w:pStyle w:val="null3"/>
        <w:jc w:val="left"/>
      </w:pPr>
      <w:r>
        <w:rPr>
          <w:rFonts w:ascii="仿宋_GB2312" w:hAnsi="仿宋_GB2312" w:cs="仿宋_GB2312" w:eastAsia="仿宋_GB2312"/>
        </w:rPr>
        <w:t>地址：海南省海口市琼山区国兴街道办国兴大道22号富力首府南区盈泰财富广场3805室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18"/>
          <w:color w:val="000000"/>
        </w:rPr>
        <w:t>一、</w:t>
      </w:r>
      <w:r>
        <w:rPr>
          <w:rFonts w:ascii="仿宋_GB2312" w:hAnsi="仿宋_GB2312" w:cs="仿宋_GB2312" w:eastAsia="仿宋_GB2312"/>
          <w:sz w:val="18"/>
          <w:color w:val="000000"/>
        </w:rPr>
        <w:t>项目名称</w:t>
      </w:r>
      <w:r>
        <w:rPr>
          <w:rFonts w:ascii="仿宋_GB2312" w:hAnsi="仿宋_GB2312" w:cs="仿宋_GB2312" w:eastAsia="仿宋_GB2312"/>
          <w:sz w:val="18"/>
          <w:color w:val="000000"/>
        </w:rPr>
        <w:t>：</w:t>
      </w:r>
      <w:r>
        <w:rPr>
          <w:rFonts w:ascii="仿宋_GB2312" w:hAnsi="仿宋_GB2312" w:cs="仿宋_GB2312" w:eastAsia="仿宋_GB2312"/>
          <w:sz w:val="18"/>
          <w:color w:val="000000"/>
        </w:rPr>
        <w:t>琼中女足管理中心食堂委托经营服务项目</w:t>
      </w:r>
    </w:p>
    <w:p>
      <w:pPr>
        <w:pStyle w:val="null3"/>
        <w:ind w:firstLine="640"/>
        <w:jc w:val="both"/>
      </w:pPr>
      <w:r>
        <w:rPr>
          <w:rFonts w:ascii="仿宋_GB2312" w:hAnsi="仿宋_GB2312" w:cs="仿宋_GB2312" w:eastAsia="仿宋_GB2312"/>
          <w:sz w:val="18"/>
          <w:color w:val="000000"/>
        </w:rPr>
        <w:t>二、预算金额：</w:t>
      </w:r>
      <w:r>
        <w:rPr>
          <w:rFonts w:ascii="仿宋_GB2312" w:hAnsi="仿宋_GB2312" w:cs="仿宋_GB2312" w:eastAsia="仿宋_GB2312"/>
          <w:sz w:val="18"/>
          <w:color w:val="000000"/>
        </w:rPr>
        <w:t>835.5万元</w:t>
      </w:r>
      <w:r>
        <w:rPr>
          <w:rFonts w:ascii="仿宋_GB2312" w:hAnsi="仿宋_GB2312" w:cs="仿宋_GB2312" w:eastAsia="仿宋_GB2312"/>
          <w:sz w:val="18"/>
        </w:rPr>
        <w:t xml:space="preserve"> </w:t>
      </w:r>
    </w:p>
    <w:p>
      <w:pPr>
        <w:pStyle w:val="null3"/>
        <w:ind w:firstLine="640"/>
        <w:jc w:val="both"/>
      </w:pPr>
      <w:r>
        <w:rPr>
          <w:rFonts w:ascii="仿宋_GB2312" w:hAnsi="仿宋_GB2312" w:cs="仿宋_GB2312" w:eastAsia="仿宋_GB2312"/>
          <w:sz w:val="18"/>
          <w:color w:val="000000"/>
        </w:rPr>
        <w:t>三、</w:t>
      </w:r>
      <w:r>
        <w:rPr>
          <w:rFonts w:ascii="仿宋_GB2312" w:hAnsi="仿宋_GB2312" w:cs="仿宋_GB2312" w:eastAsia="仿宋_GB2312"/>
          <w:sz w:val="18"/>
          <w:color w:val="000000"/>
        </w:rPr>
        <w:t>项目背景</w:t>
      </w:r>
      <w:r>
        <w:rPr>
          <w:rFonts w:ascii="仿宋_GB2312" w:hAnsi="仿宋_GB2312" w:cs="仿宋_GB2312" w:eastAsia="仿宋_GB2312"/>
          <w:sz w:val="18"/>
          <w:color w:val="000000"/>
        </w:rPr>
        <w:t>：为对琼中女足管理中心运动员伙食标准进行合理规划和安排，保障琼中女足梯队足球运动员在训练期间获得充足的营养和能量</w:t>
      </w:r>
      <w:r>
        <w:rPr>
          <w:rFonts w:ascii="仿宋_GB2312" w:hAnsi="仿宋_GB2312" w:cs="仿宋_GB2312" w:eastAsia="仿宋_GB2312"/>
          <w:sz w:val="18"/>
          <w:color w:val="000000"/>
        </w:rPr>
        <w:t>，根据《海南省食品药品监督管理局、海南省教育厅关于进一步加强学校食堂食品安全工作的通知》（琼食药监餐管</w:t>
      </w:r>
      <w:r>
        <w:rPr>
          <w:rFonts w:ascii="仿宋_GB2312" w:hAnsi="仿宋_GB2312" w:cs="仿宋_GB2312" w:eastAsia="仿宋_GB2312"/>
          <w:sz w:val="18"/>
        </w:rPr>
        <w:t>〔2025〕</w:t>
      </w:r>
      <w:r>
        <w:rPr>
          <w:rFonts w:ascii="仿宋_GB2312" w:hAnsi="仿宋_GB2312" w:cs="仿宋_GB2312" w:eastAsia="仿宋_GB2312"/>
          <w:sz w:val="18"/>
          <w:color w:val="000000"/>
        </w:rPr>
        <w:t>46号，以下简称46号文）等文件精神，将</w:t>
      </w:r>
      <w:r>
        <w:rPr>
          <w:rFonts w:ascii="仿宋_GB2312" w:hAnsi="仿宋_GB2312" w:cs="仿宋_GB2312" w:eastAsia="仿宋_GB2312"/>
          <w:sz w:val="18"/>
          <w:color w:val="000000"/>
        </w:rPr>
        <w:t>琼中女足管理</w:t>
      </w:r>
      <w:r>
        <w:rPr>
          <w:rFonts w:ascii="仿宋_GB2312" w:hAnsi="仿宋_GB2312" w:cs="仿宋_GB2312" w:eastAsia="仿宋_GB2312"/>
          <w:sz w:val="18"/>
          <w:color w:val="000000"/>
        </w:rPr>
        <w:t>中心食堂委托给具有餐饮经营资质、守法经营的餐饮企业管理。</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8,355,000.00</w:t>
      </w:r>
    </w:p>
    <w:p>
      <w:pPr>
        <w:pStyle w:val="null3"/>
        <w:jc w:val="left"/>
      </w:pPr>
      <w:r>
        <w:rPr>
          <w:rFonts w:ascii="仿宋_GB2312" w:hAnsi="仿宋_GB2312" w:cs="仿宋_GB2312" w:eastAsia="仿宋_GB2312"/>
        </w:rPr>
        <w:t>采购包最高限价（元）: 8,355,000.00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C02020000-初等教育服务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8,355,000.00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C02020000-初等教育服务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8,355,000.00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标的名称：C02020000-初等教育服务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18"/>
                <w:color w:val="000000"/>
              </w:rPr>
              <w:t>四、项目内容</w:t>
            </w:r>
          </w:p>
          <w:p>
            <w:pPr>
              <w:pStyle w:val="null3"/>
              <w:ind w:firstLine="640"/>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项目地址：琼中女足管理中心。</w:t>
            </w:r>
          </w:p>
          <w:p>
            <w:pPr>
              <w:pStyle w:val="null3"/>
              <w:ind w:firstLine="640"/>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场地情况</w:t>
            </w:r>
            <w:r>
              <w:rPr>
                <w:rFonts w:ascii="仿宋_GB2312" w:hAnsi="仿宋_GB2312" w:cs="仿宋_GB2312" w:eastAsia="仿宋_GB2312"/>
                <w:sz w:val="18"/>
                <w:color w:val="000000"/>
              </w:rPr>
              <w:t>：琼中女足食堂总面积</w:t>
            </w:r>
            <w:r>
              <w:rPr>
                <w:rFonts w:ascii="仿宋_GB2312" w:hAnsi="仿宋_GB2312" w:cs="仿宋_GB2312" w:eastAsia="仿宋_GB2312"/>
                <w:sz w:val="18"/>
                <w:color w:val="000000"/>
              </w:rPr>
              <w:t>约</w:t>
            </w:r>
            <w:r>
              <w:rPr>
                <w:rFonts w:ascii="仿宋_GB2312" w:hAnsi="仿宋_GB2312" w:cs="仿宋_GB2312" w:eastAsia="仿宋_GB2312"/>
                <w:sz w:val="18"/>
                <w:color w:val="000000"/>
              </w:rPr>
              <w:t>644.4平方米，售餐间面积</w:t>
            </w:r>
            <w:r>
              <w:rPr>
                <w:rFonts w:ascii="仿宋_GB2312" w:hAnsi="仿宋_GB2312" w:cs="仿宋_GB2312" w:eastAsia="仿宋_GB2312"/>
                <w:sz w:val="18"/>
                <w:color w:val="000000"/>
              </w:rPr>
              <w:t>约</w:t>
            </w:r>
            <w:r>
              <w:rPr>
                <w:rFonts w:ascii="仿宋_GB2312" w:hAnsi="仿宋_GB2312" w:cs="仿宋_GB2312" w:eastAsia="仿宋_GB2312"/>
                <w:sz w:val="18"/>
                <w:color w:val="000000"/>
              </w:rPr>
              <w:t>27.28 平方米，操作间面积</w:t>
            </w:r>
            <w:r>
              <w:rPr>
                <w:rFonts w:ascii="仿宋_GB2312" w:hAnsi="仿宋_GB2312" w:cs="仿宋_GB2312" w:eastAsia="仿宋_GB2312"/>
                <w:sz w:val="18"/>
                <w:color w:val="000000"/>
              </w:rPr>
              <w:t>约</w:t>
            </w:r>
            <w:r>
              <w:rPr>
                <w:rFonts w:ascii="仿宋_GB2312" w:hAnsi="仿宋_GB2312" w:cs="仿宋_GB2312" w:eastAsia="仿宋_GB2312"/>
                <w:sz w:val="18"/>
                <w:color w:val="000000"/>
              </w:rPr>
              <w:t>28.8 平方米，餐位</w:t>
            </w:r>
            <w:r>
              <w:rPr>
                <w:rFonts w:ascii="仿宋_GB2312" w:hAnsi="仿宋_GB2312" w:cs="仿宋_GB2312" w:eastAsia="仿宋_GB2312"/>
                <w:sz w:val="18"/>
                <w:color w:val="000000"/>
              </w:rPr>
              <w:t>约</w:t>
            </w:r>
            <w:r>
              <w:rPr>
                <w:rFonts w:ascii="仿宋_GB2312" w:hAnsi="仿宋_GB2312" w:cs="仿宋_GB2312" w:eastAsia="仿宋_GB2312"/>
                <w:sz w:val="18"/>
                <w:color w:val="000000"/>
              </w:rPr>
              <w:t>300 个。</w:t>
            </w:r>
          </w:p>
          <w:p>
            <w:pPr>
              <w:pStyle w:val="null3"/>
              <w:ind w:firstLine="640"/>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项目委托经营模式</w:t>
            </w:r>
            <w:r>
              <w:rPr>
                <w:rFonts w:ascii="仿宋_GB2312" w:hAnsi="仿宋_GB2312" w:cs="仿宋_GB2312" w:eastAsia="仿宋_GB2312"/>
                <w:sz w:val="18"/>
                <w:color w:val="000000"/>
              </w:rPr>
              <w:t>：</w:t>
            </w:r>
          </w:p>
          <w:p>
            <w:pPr>
              <w:pStyle w:val="null3"/>
              <w:ind w:firstLine="32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1）</w:t>
            </w:r>
            <w:r>
              <w:rPr>
                <w:rFonts w:ascii="仿宋_GB2312" w:hAnsi="仿宋_GB2312" w:cs="仿宋_GB2312" w:eastAsia="仿宋_GB2312"/>
                <w:sz w:val="18"/>
                <w:color w:val="000000"/>
              </w:rPr>
              <w:t>集中供餐。供餐企业进驻琼中女足管理中心食堂，根据运动员需求，采购新鲜食材在食堂加工，以自助餐形式提供多种菜品供运动员选择；</w:t>
            </w:r>
          </w:p>
          <w:p>
            <w:pPr>
              <w:pStyle w:val="null3"/>
              <w:ind w:firstLine="32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2</w:t>
            </w:r>
            <w:r>
              <w:rPr>
                <w:rFonts w:ascii="仿宋_GB2312" w:hAnsi="仿宋_GB2312" w:cs="仿宋_GB2312" w:eastAsia="仿宋_GB2312"/>
                <w:sz w:val="18"/>
                <w:color w:val="000000"/>
              </w:rPr>
              <w:t>）集中配餐。供餐企业根据琼中女足管理中心订单和需求，由</w:t>
            </w:r>
            <w:r>
              <w:rPr>
                <w:rFonts w:ascii="仿宋_GB2312" w:hAnsi="仿宋_GB2312" w:cs="仿宋_GB2312" w:eastAsia="仿宋_GB2312"/>
                <w:sz w:val="18"/>
                <w:color w:val="000000"/>
              </w:rPr>
              <w:t>配餐</w:t>
            </w:r>
            <w:r>
              <w:rPr>
                <w:rFonts w:ascii="仿宋_GB2312" w:hAnsi="仿宋_GB2312" w:cs="仿宋_GB2312" w:eastAsia="仿宋_GB2312"/>
                <w:sz w:val="18"/>
                <w:color w:val="000000"/>
              </w:rPr>
              <w:t>企业中央厨房统一采购食材并进行加工，将制作好的热餐用餐车统一配送到各学校给运动员食用。</w:t>
            </w:r>
          </w:p>
          <w:p>
            <w:pPr>
              <w:pStyle w:val="null3"/>
              <w:ind w:firstLine="640"/>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该项目</w:t>
            </w:r>
            <w:r>
              <w:rPr>
                <w:rFonts w:ascii="仿宋_GB2312" w:hAnsi="仿宋_GB2312" w:cs="仿宋_GB2312" w:eastAsia="仿宋_GB2312"/>
                <w:sz w:val="18"/>
                <w:color w:val="000000"/>
              </w:rPr>
              <w:t>不得转包、分包</w:t>
            </w:r>
            <w:r>
              <w:rPr>
                <w:rFonts w:ascii="仿宋_GB2312" w:hAnsi="仿宋_GB2312" w:cs="仿宋_GB2312" w:eastAsia="仿宋_GB2312"/>
                <w:sz w:val="18"/>
                <w:color w:val="000000"/>
              </w:rPr>
              <w:t>，不接受联合体采购</w:t>
            </w:r>
            <w:r>
              <w:rPr>
                <w:rFonts w:ascii="仿宋_GB2312" w:hAnsi="仿宋_GB2312" w:cs="仿宋_GB2312" w:eastAsia="仿宋_GB2312"/>
                <w:sz w:val="18"/>
                <w:color w:val="000000"/>
              </w:rPr>
              <w:t>。</w:t>
            </w:r>
          </w:p>
          <w:p>
            <w:pPr>
              <w:pStyle w:val="null3"/>
              <w:ind w:firstLine="640"/>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委托管理食堂的经营管理要求</w:t>
            </w:r>
          </w:p>
          <w:p>
            <w:pPr>
              <w:pStyle w:val="null3"/>
              <w:ind w:firstLine="64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1</w:t>
            </w:r>
            <w:r>
              <w:rPr>
                <w:rFonts w:ascii="仿宋_GB2312" w:hAnsi="仿宋_GB2312" w:cs="仿宋_GB2312" w:eastAsia="仿宋_GB2312"/>
                <w:sz w:val="18"/>
                <w:color w:val="000000"/>
              </w:rPr>
              <w:t>）琼中女足管理</w:t>
            </w:r>
            <w:r>
              <w:rPr>
                <w:rFonts w:ascii="仿宋_GB2312" w:hAnsi="仿宋_GB2312" w:cs="仿宋_GB2312" w:eastAsia="仿宋_GB2312"/>
                <w:sz w:val="18"/>
                <w:color w:val="000000"/>
              </w:rPr>
              <w:t>中心为中标经营者提供食堂餐饮所需的场地各设施、设备（含水电、消防、空调、监控和燃气设备）为现状提供，其余设备设施由经营者自备。根据省教育厅46号文要求，</w:t>
            </w:r>
            <w:r>
              <w:rPr>
                <w:rFonts w:ascii="仿宋_GB2312" w:hAnsi="仿宋_GB2312" w:cs="仿宋_GB2312" w:eastAsia="仿宋_GB2312"/>
                <w:sz w:val="18"/>
                <w:color w:val="000000"/>
              </w:rPr>
              <w:t>琼中女足管理</w:t>
            </w:r>
            <w:r>
              <w:rPr>
                <w:rFonts w:ascii="仿宋_GB2312" w:hAnsi="仿宋_GB2312" w:cs="仿宋_GB2312" w:eastAsia="仿宋_GB2312"/>
                <w:sz w:val="18"/>
                <w:color w:val="000000"/>
              </w:rPr>
              <w:t>中心不得收取经营者承包金，但经营期间所消耗的水电费、燃气费、垃圾清运费、卫生检测费等一切成本均由经营者自行负责。</w:t>
            </w:r>
          </w:p>
          <w:p>
            <w:pPr>
              <w:pStyle w:val="null3"/>
              <w:ind w:firstLine="64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经营期间设施设备的损坏均由经营者维修或更换、增加或补充、维修更换费用由经营者自行负责。</w:t>
            </w:r>
          </w:p>
          <w:p>
            <w:pPr>
              <w:pStyle w:val="null3"/>
              <w:ind w:firstLine="64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经营者必须根据</w:t>
            </w:r>
            <w:r>
              <w:rPr>
                <w:rFonts w:ascii="仿宋_GB2312" w:hAnsi="仿宋_GB2312" w:cs="仿宋_GB2312" w:eastAsia="仿宋_GB2312"/>
                <w:sz w:val="18"/>
                <w:color w:val="000000"/>
              </w:rPr>
              <w:t>琼中女足管理</w:t>
            </w:r>
            <w:r>
              <w:rPr>
                <w:rFonts w:ascii="仿宋_GB2312" w:hAnsi="仿宋_GB2312" w:cs="仿宋_GB2312" w:eastAsia="仿宋_GB2312"/>
                <w:sz w:val="18"/>
                <w:color w:val="000000"/>
              </w:rPr>
              <w:t>中心规定的时段经营，不得扰乱中心正常的教学教育秩序。经营者应按 46 号文规定配齐、配足工作人员，经体检取得健康证并培训合格后方能上岗，负责对所属工作人员的安全教育和管理工作。</w:t>
            </w:r>
          </w:p>
          <w:p>
            <w:pPr>
              <w:pStyle w:val="null3"/>
              <w:ind w:firstLine="64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4</w:t>
            </w:r>
            <w:r>
              <w:rPr>
                <w:rFonts w:ascii="仿宋_GB2312" w:hAnsi="仿宋_GB2312" w:cs="仿宋_GB2312" w:eastAsia="仿宋_GB2312"/>
                <w:sz w:val="18"/>
                <w:color w:val="000000"/>
              </w:rPr>
              <w:t>）</w:t>
            </w:r>
            <w:r>
              <w:rPr>
                <w:rFonts w:ascii="仿宋_GB2312" w:hAnsi="仿宋_GB2312" w:cs="仿宋_GB2312" w:eastAsia="仿宋_GB2312"/>
                <w:sz w:val="18"/>
                <w:color w:val="000000"/>
              </w:rPr>
              <w:t>经营者自行采购、加工，自负盈亏，但需保证采购、制作、销售的食品质量要求符合国家卫生、安全标准，保证一日三餐正点、饭菜量足、质优、样多、价优。</w:t>
            </w:r>
          </w:p>
          <w:p>
            <w:pPr>
              <w:pStyle w:val="null3"/>
              <w:ind w:firstLine="64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rPr>
                <w:rFonts w:ascii="仿宋_GB2312" w:hAnsi="仿宋_GB2312" w:cs="仿宋_GB2312" w:eastAsia="仿宋_GB2312"/>
                <w:sz w:val="18"/>
                <w:color w:val="000000"/>
              </w:rPr>
              <w:t>本食堂主要为</w:t>
            </w:r>
            <w:r>
              <w:rPr>
                <w:rFonts w:ascii="仿宋_GB2312" w:hAnsi="仿宋_GB2312" w:cs="仿宋_GB2312" w:eastAsia="仿宋_GB2312"/>
                <w:sz w:val="18"/>
                <w:color w:val="000000"/>
              </w:rPr>
              <w:t>运动员</w:t>
            </w:r>
            <w:r>
              <w:rPr>
                <w:rFonts w:ascii="仿宋_GB2312" w:hAnsi="仿宋_GB2312" w:cs="仿宋_GB2312" w:eastAsia="仿宋_GB2312"/>
                <w:sz w:val="18"/>
                <w:color w:val="000000"/>
              </w:rPr>
              <w:t>提供优质餐饮服务，所销售的饭菜价格、质量和数量必须严格执行</w:t>
            </w:r>
            <w:r>
              <w:rPr>
                <w:rFonts w:ascii="仿宋_GB2312" w:hAnsi="仿宋_GB2312" w:cs="仿宋_GB2312" w:eastAsia="仿宋_GB2312"/>
                <w:sz w:val="18"/>
                <w:color w:val="000000"/>
              </w:rPr>
              <w:t>采购人</w:t>
            </w:r>
            <w:r>
              <w:rPr>
                <w:rFonts w:ascii="仿宋_GB2312" w:hAnsi="仿宋_GB2312" w:cs="仿宋_GB2312" w:eastAsia="仿宋_GB2312"/>
                <w:sz w:val="18"/>
                <w:color w:val="000000"/>
              </w:rPr>
              <w:t>的要求。经营者报价方案应明确一日三餐菜谱搭配安排和每餐不同档次的餐费标准。</w:t>
            </w:r>
          </w:p>
          <w:p>
            <w:pPr>
              <w:pStyle w:val="null3"/>
              <w:ind w:firstLine="64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6</w:t>
            </w:r>
            <w:r>
              <w:rPr>
                <w:rFonts w:ascii="仿宋_GB2312" w:hAnsi="仿宋_GB2312" w:cs="仿宋_GB2312" w:eastAsia="仿宋_GB2312"/>
                <w:sz w:val="18"/>
                <w:color w:val="000000"/>
              </w:rPr>
              <w:t>）</w:t>
            </w:r>
            <w:r>
              <w:rPr>
                <w:rFonts w:ascii="仿宋_GB2312" w:hAnsi="仿宋_GB2312" w:cs="仿宋_GB2312" w:eastAsia="仿宋_GB2312"/>
                <w:sz w:val="18"/>
                <w:color w:val="000000"/>
              </w:rPr>
              <w:t>为确保经营者的采购渠道规范化，保证食品安全和质量，食堂所有的食材（油、面粉、白糖、黄豆、副食品以及肉类、蔬菜等）采购均需由有资质的供货商供应，并符合所有索证手续，确保符合国家及地方环境及食品卫生标准，同时不得出现体育运动员禁用的食品成分。</w:t>
            </w:r>
          </w:p>
          <w:p>
            <w:pPr>
              <w:pStyle w:val="null3"/>
              <w:ind w:firstLine="64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7</w:t>
            </w:r>
            <w:r>
              <w:rPr>
                <w:rFonts w:ascii="仿宋_GB2312" w:hAnsi="仿宋_GB2312" w:cs="仿宋_GB2312" w:eastAsia="仿宋_GB2312"/>
                <w:sz w:val="18"/>
                <w:color w:val="000000"/>
              </w:rPr>
              <w:t>）做好安全消防、卫生检疫等工作，餐后认真清洗食具、每餐消毒、清理供餐及用餐区域卫生，生熟物品分开存放，做好消除蚊蝇鼠害工作。如发生罚款或卫生、食品安全事故赔偿责任，经营者应全部承担。</w:t>
            </w:r>
          </w:p>
          <w:p>
            <w:pPr>
              <w:pStyle w:val="null3"/>
              <w:ind w:firstLine="64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8</w:t>
            </w:r>
            <w:r>
              <w:rPr>
                <w:rFonts w:ascii="仿宋_GB2312" w:hAnsi="仿宋_GB2312" w:cs="仿宋_GB2312" w:eastAsia="仿宋_GB2312"/>
                <w:sz w:val="18"/>
                <w:color w:val="000000"/>
              </w:rPr>
              <w:t>）经营者应妥善安排和处理其工作人员的工资福利和社保、安全保障工作，自行负责用工的一切义务和风险。</w:t>
            </w:r>
            <w:r>
              <w:rPr>
                <w:rFonts w:ascii="仿宋_GB2312" w:hAnsi="仿宋_GB2312" w:cs="仿宋_GB2312" w:eastAsia="仿宋_GB2312"/>
                <w:sz w:val="18"/>
              </w:rPr>
              <w:t xml:space="preserve">   </w:t>
            </w:r>
          </w:p>
          <w:p>
            <w:pPr>
              <w:pStyle w:val="null3"/>
              <w:ind w:firstLine="64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9</w:t>
            </w:r>
            <w:r>
              <w:rPr>
                <w:rFonts w:ascii="仿宋_GB2312" w:hAnsi="仿宋_GB2312" w:cs="仿宋_GB2312" w:eastAsia="仿宋_GB2312"/>
                <w:sz w:val="18"/>
                <w:color w:val="000000"/>
              </w:rPr>
              <w:t>）琼中女足管理中心食堂</w:t>
            </w:r>
            <w:r>
              <w:rPr>
                <w:rFonts w:ascii="仿宋_GB2312" w:hAnsi="仿宋_GB2312" w:cs="仿宋_GB2312" w:eastAsia="仿宋_GB2312"/>
                <w:sz w:val="18"/>
                <w:color w:val="000000"/>
              </w:rPr>
              <w:t>有权对托管方的财务状况、经营状况、成本利润、服务管理、价格质量、卫生秩序等进行监督检查并监理月度考核评价，连续三个月度考核为合格及以下，则中心有权终止合同并扣罚所有履约保证金。</w:t>
            </w:r>
          </w:p>
          <w:p>
            <w:pPr>
              <w:pStyle w:val="null3"/>
              <w:ind w:firstLine="64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10</w:t>
            </w:r>
            <w:r>
              <w:rPr>
                <w:rFonts w:ascii="仿宋_GB2312" w:hAnsi="仿宋_GB2312" w:cs="仿宋_GB2312" w:eastAsia="仿宋_GB2312"/>
                <w:sz w:val="18"/>
                <w:color w:val="000000"/>
              </w:rPr>
              <w:t>）</w:t>
            </w:r>
            <w:r>
              <w:rPr>
                <w:rFonts w:ascii="仿宋_GB2312" w:hAnsi="仿宋_GB2312" w:cs="仿宋_GB2312" w:eastAsia="仿宋_GB2312"/>
                <w:sz w:val="18"/>
                <w:color w:val="000000"/>
              </w:rPr>
              <w:t>经营者要完善管理制度，对食堂食品卫生安全负责，无条件接受食品药监和教育行政主管部门的检查和督导。且按食品卫生部门要求实行食品检测，所需器材涉及费用自理。</w:t>
            </w:r>
          </w:p>
          <w:p>
            <w:pPr>
              <w:pStyle w:val="null3"/>
              <w:ind w:firstLine="64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11</w:t>
            </w:r>
            <w:r>
              <w:rPr>
                <w:rFonts w:ascii="仿宋_GB2312" w:hAnsi="仿宋_GB2312" w:cs="仿宋_GB2312" w:eastAsia="仿宋_GB2312"/>
                <w:sz w:val="18"/>
                <w:color w:val="000000"/>
              </w:rPr>
              <w:t>）琼中女足管理中心食堂</w:t>
            </w:r>
            <w:r>
              <w:rPr>
                <w:rFonts w:ascii="仿宋_GB2312" w:hAnsi="仿宋_GB2312" w:cs="仿宋_GB2312" w:eastAsia="仿宋_GB2312"/>
                <w:sz w:val="18"/>
                <w:color w:val="000000"/>
              </w:rPr>
              <w:t>配备的设备由中心登记造册后交给经营者签收，期满后按原清单的设备完好交回中心，如有损坏或丢失的按折旧赔偿。</w:t>
            </w:r>
          </w:p>
          <w:p>
            <w:pPr>
              <w:pStyle w:val="null3"/>
              <w:ind w:firstLine="64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12</w:t>
            </w:r>
            <w:r>
              <w:rPr>
                <w:rFonts w:ascii="仿宋_GB2312" w:hAnsi="仿宋_GB2312" w:cs="仿宋_GB2312" w:eastAsia="仿宋_GB2312"/>
                <w:sz w:val="18"/>
                <w:color w:val="000000"/>
              </w:rPr>
              <w:t>）</w:t>
            </w:r>
            <w:r>
              <w:rPr>
                <w:rFonts w:ascii="仿宋_GB2312" w:hAnsi="仿宋_GB2312" w:cs="仿宋_GB2312" w:eastAsia="仿宋_GB2312"/>
                <w:sz w:val="18"/>
                <w:color w:val="000000"/>
              </w:rPr>
              <w:t>在经营中如需</w:t>
            </w:r>
            <w:r>
              <w:rPr>
                <w:rFonts w:ascii="仿宋_GB2312" w:hAnsi="仿宋_GB2312" w:cs="仿宋_GB2312" w:eastAsia="仿宋_GB2312"/>
                <w:sz w:val="18"/>
                <w:color w:val="000000"/>
              </w:rPr>
              <w:t>维修设备设施需由经营者负责维修，如需</w:t>
            </w:r>
            <w:r>
              <w:rPr>
                <w:rFonts w:ascii="仿宋_GB2312" w:hAnsi="仿宋_GB2312" w:cs="仿宋_GB2312" w:eastAsia="仿宋_GB2312"/>
                <w:sz w:val="18"/>
                <w:color w:val="000000"/>
              </w:rPr>
              <w:t>要增添设备、设施，</w:t>
            </w:r>
            <w:r>
              <w:rPr>
                <w:rFonts w:ascii="仿宋_GB2312" w:hAnsi="仿宋_GB2312" w:cs="仿宋_GB2312" w:eastAsia="仿宋_GB2312"/>
                <w:sz w:val="18"/>
                <w:color w:val="000000"/>
              </w:rPr>
              <w:t>需告知女足管理中心，由女足管理中心向</w:t>
            </w:r>
            <w:r>
              <w:rPr>
                <w:rFonts w:ascii="仿宋_GB2312" w:hAnsi="仿宋_GB2312" w:cs="仿宋_GB2312" w:eastAsia="仿宋_GB2312"/>
                <w:sz w:val="18"/>
                <w:color w:val="000000"/>
              </w:rPr>
              <w:t>上级主管部门</w:t>
            </w:r>
            <w:r>
              <w:rPr>
                <w:rFonts w:ascii="仿宋_GB2312" w:hAnsi="仿宋_GB2312" w:cs="仿宋_GB2312" w:eastAsia="仿宋_GB2312"/>
                <w:sz w:val="18"/>
                <w:color w:val="000000"/>
              </w:rPr>
              <w:t>报告</w:t>
            </w:r>
            <w:r>
              <w:rPr>
                <w:rFonts w:ascii="仿宋_GB2312" w:hAnsi="仿宋_GB2312" w:cs="仿宋_GB2312" w:eastAsia="仿宋_GB2312"/>
                <w:sz w:val="18"/>
                <w:color w:val="000000"/>
              </w:rPr>
              <w:t>。</w:t>
            </w:r>
          </w:p>
          <w:p>
            <w:pPr>
              <w:pStyle w:val="null3"/>
              <w:ind w:firstLine="64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13</w:t>
            </w:r>
            <w:r>
              <w:rPr>
                <w:rFonts w:ascii="仿宋_GB2312" w:hAnsi="仿宋_GB2312" w:cs="仿宋_GB2312" w:eastAsia="仿宋_GB2312"/>
                <w:sz w:val="18"/>
                <w:color w:val="000000"/>
              </w:rPr>
              <w:t>）经营者需配有至少</w:t>
            </w:r>
            <w:r>
              <w:rPr>
                <w:rFonts w:ascii="仿宋_GB2312" w:hAnsi="仿宋_GB2312" w:cs="仿宋_GB2312" w:eastAsia="仿宋_GB2312"/>
                <w:sz w:val="18"/>
                <w:color w:val="000000"/>
              </w:rPr>
              <w:t>2辆符合配送和国家安全标准的食品配送车辆。</w:t>
            </w:r>
          </w:p>
          <w:p>
            <w:pPr>
              <w:pStyle w:val="null3"/>
              <w:ind w:firstLine="64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14</w:t>
            </w:r>
            <w:r>
              <w:rPr>
                <w:rFonts w:ascii="仿宋_GB2312" w:hAnsi="仿宋_GB2312" w:cs="仿宋_GB2312" w:eastAsia="仿宋_GB2312"/>
                <w:sz w:val="18"/>
                <w:color w:val="000000"/>
              </w:rPr>
              <w:t>）</w:t>
            </w:r>
            <w:r>
              <w:rPr>
                <w:rFonts w:ascii="仿宋_GB2312" w:hAnsi="仿宋_GB2312" w:cs="仿宋_GB2312" w:eastAsia="仿宋_GB2312"/>
                <w:sz w:val="18"/>
                <w:color w:val="000000"/>
              </w:rPr>
              <w:t>经营者在</w:t>
            </w:r>
            <w:r>
              <w:rPr>
                <w:rFonts w:ascii="仿宋_GB2312" w:hAnsi="仿宋_GB2312" w:cs="仿宋_GB2312" w:eastAsia="仿宋_GB2312"/>
                <w:sz w:val="18"/>
                <w:color w:val="000000"/>
              </w:rPr>
              <w:t>申请第一次支付费用前，</w:t>
            </w:r>
            <w:r>
              <w:rPr>
                <w:rFonts w:ascii="仿宋_GB2312" w:hAnsi="仿宋_GB2312" w:cs="仿宋_GB2312" w:eastAsia="仿宋_GB2312"/>
                <w:sz w:val="18"/>
                <w:color w:val="000000"/>
              </w:rPr>
              <w:t>须要向</w:t>
            </w:r>
            <w:r>
              <w:rPr>
                <w:rFonts w:ascii="仿宋_GB2312" w:hAnsi="仿宋_GB2312" w:cs="仿宋_GB2312" w:eastAsia="仿宋_GB2312"/>
                <w:sz w:val="18"/>
                <w:color w:val="000000"/>
              </w:rPr>
              <w:t>采购人</w:t>
            </w:r>
            <w:r>
              <w:rPr>
                <w:rFonts w:ascii="仿宋_GB2312" w:hAnsi="仿宋_GB2312" w:cs="仿宋_GB2312" w:eastAsia="仿宋_GB2312"/>
                <w:sz w:val="18"/>
                <w:color w:val="000000"/>
              </w:rPr>
              <w:t>交纳</w:t>
            </w:r>
            <w:r>
              <w:rPr>
                <w:rFonts w:ascii="仿宋_GB2312" w:hAnsi="仿宋_GB2312" w:cs="仿宋_GB2312" w:eastAsia="仿宋_GB2312"/>
                <w:sz w:val="18"/>
                <w:color w:val="000000"/>
              </w:rPr>
              <w:t>合同金额的</w:t>
            </w:r>
            <w:r>
              <w:rPr>
                <w:rFonts w:ascii="仿宋_GB2312" w:hAnsi="仿宋_GB2312" w:cs="仿宋_GB2312" w:eastAsia="仿宋_GB2312"/>
                <w:sz w:val="18"/>
                <w:color w:val="000000"/>
              </w:rPr>
              <w:t>5%的</w:t>
            </w:r>
            <w:r>
              <w:rPr>
                <w:rFonts w:ascii="仿宋_GB2312" w:hAnsi="仿宋_GB2312" w:cs="仿宋_GB2312" w:eastAsia="仿宋_GB2312"/>
                <w:sz w:val="18"/>
                <w:color w:val="000000"/>
              </w:rPr>
              <w:t>履约保证金</w:t>
            </w:r>
            <w:r>
              <w:rPr>
                <w:rFonts w:ascii="仿宋_GB2312" w:hAnsi="仿宋_GB2312" w:cs="仿宋_GB2312" w:eastAsia="仿宋_GB2312"/>
                <w:sz w:val="18"/>
                <w:color w:val="000000"/>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both"/>
            </w:pPr>
            <w:r>
              <w:rPr>
                <w:rFonts w:ascii="仿宋_GB2312" w:hAnsi="仿宋_GB2312" w:cs="仿宋_GB2312" w:eastAsia="仿宋_GB2312"/>
                <w:sz w:val="18"/>
                <w:color w:val="000000"/>
              </w:rPr>
              <w:t>五、餐费标准</w:t>
            </w:r>
          </w:p>
          <w:p>
            <w:pPr>
              <w:pStyle w:val="null3"/>
              <w:ind w:firstLine="640"/>
              <w:jc w:val="both"/>
            </w:pPr>
            <w:r>
              <w:rPr>
                <w:rFonts w:ascii="仿宋_GB2312" w:hAnsi="仿宋_GB2312" w:cs="仿宋_GB2312" w:eastAsia="仿宋_GB2312"/>
                <w:sz w:val="18"/>
                <w:color w:val="000000"/>
              </w:rPr>
              <w:t>琼中女足管理中心食堂以自助餐的形式供餐或配送餐食时，提供多种菜品选择，避免单调乏味，满足运动员的不同口味需求。食堂需为小学阶段足球运动员提供“三荤三素”标准，中学阶段足球运动员提供“四荤四素”的标准。参照</w:t>
            </w:r>
            <w:r>
              <w:rPr>
                <w:rFonts w:ascii="仿宋_GB2312" w:hAnsi="仿宋_GB2312" w:cs="仿宋_GB2312" w:eastAsia="仿宋_GB2312"/>
                <w:sz w:val="18"/>
                <w:color w:val="000000"/>
              </w:rPr>
              <w:t>2019</w:t>
            </w:r>
            <w:r>
              <w:rPr>
                <w:rFonts w:ascii="仿宋_GB2312" w:hAnsi="仿宋_GB2312" w:cs="仿宋_GB2312" w:eastAsia="仿宋_GB2312"/>
                <w:sz w:val="18"/>
                <w:color w:val="000000"/>
              </w:rPr>
              <w:t>年县人民政府专题会研究原则同意</w:t>
            </w:r>
            <w:r>
              <w:rPr>
                <w:rFonts w:ascii="仿宋_GB2312" w:hAnsi="仿宋_GB2312" w:cs="仿宋_GB2312" w:eastAsia="仿宋_GB2312"/>
                <w:sz w:val="18"/>
                <w:color w:val="000000"/>
              </w:rPr>
              <w:t>45</w:t>
            </w:r>
            <w:r>
              <w:rPr>
                <w:rFonts w:ascii="仿宋_GB2312" w:hAnsi="仿宋_GB2312" w:cs="仿宋_GB2312" w:eastAsia="仿宋_GB2312"/>
                <w:sz w:val="18"/>
                <w:color w:val="000000"/>
              </w:rPr>
              <w:t>—</w:t>
            </w:r>
            <w:r>
              <w:rPr>
                <w:rFonts w:ascii="仿宋_GB2312" w:hAnsi="仿宋_GB2312" w:cs="仿宋_GB2312" w:eastAsia="仿宋_GB2312"/>
                <w:sz w:val="18"/>
                <w:color w:val="000000"/>
              </w:rPr>
              <w:t>65</w:t>
            </w:r>
            <w:r>
              <w:rPr>
                <w:rFonts w:ascii="仿宋_GB2312" w:hAnsi="仿宋_GB2312" w:cs="仿宋_GB2312" w:eastAsia="仿宋_GB2312"/>
                <w:sz w:val="18"/>
                <w:color w:val="000000"/>
              </w:rPr>
              <w:t>元/人餐补标准，足球运动员伙食补助标准设置如下：</w:t>
            </w:r>
          </w:p>
          <w:p>
            <w:pPr>
              <w:pStyle w:val="null3"/>
              <w:ind w:firstLine="640"/>
              <w:jc w:val="both"/>
            </w:pPr>
            <w:r>
              <w:rPr>
                <w:rFonts w:ascii="仿宋_GB2312" w:hAnsi="仿宋_GB2312" w:cs="仿宋_GB2312" w:eastAsia="仿宋_GB2312"/>
                <w:sz w:val="18"/>
                <w:color w:val="000000"/>
              </w:rPr>
              <w:t>（一）小学足球班学生。伙食补助标准为</w:t>
            </w:r>
            <w:r>
              <w:rPr>
                <w:rFonts w:ascii="仿宋_GB2312" w:hAnsi="仿宋_GB2312" w:cs="仿宋_GB2312" w:eastAsia="仿宋_GB2312"/>
                <w:sz w:val="18"/>
                <w:color w:val="000000"/>
              </w:rPr>
              <w:t>4</w:t>
            </w:r>
            <w:r>
              <w:rPr>
                <w:rFonts w:ascii="仿宋_GB2312" w:hAnsi="仿宋_GB2312" w:cs="仿宋_GB2312" w:eastAsia="仿宋_GB2312"/>
                <w:sz w:val="18"/>
                <w:color w:val="000000"/>
              </w:rPr>
              <w:t>5</w:t>
            </w:r>
            <w:r>
              <w:rPr>
                <w:rFonts w:ascii="仿宋_GB2312" w:hAnsi="仿宋_GB2312" w:cs="仿宋_GB2312" w:eastAsia="仿宋_GB2312"/>
                <w:sz w:val="18"/>
                <w:color w:val="000000"/>
              </w:rPr>
              <w:t>元/人/天。</w:t>
            </w:r>
            <w:r>
              <w:rPr>
                <w:rFonts w:ascii="仿宋_GB2312" w:hAnsi="仿宋_GB2312" w:cs="仿宋_GB2312" w:eastAsia="仿宋_GB2312"/>
                <w:sz w:val="18"/>
                <w:color w:val="000000"/>
              </w:rPr>
              <w:t>4</w:t>
            </w:r>
            <w:r>
              <w:rPr>
                <w:rFonts w:ascii="仿宋_GB2312" w:hAnsi="仿宋_GB2312" w:cs="仿宋_GB2312" w:eastAsia="仿宋_GB2312"/>
                <w:sz w:val="18"/>
                <w:color w:val="000000"/>
              </w:rPr>
              <w:t>5</w:t>
            </w:r>
            <w:r>
              <w:rPr>
                <w:rFonts w:ascii="仿宋_GB2312" w:hAnsi="仿宋_GB2312" w:cs="仿宋_GB2312" w:eastAsia="仿宋_GB2312"/>
                <w:sz w:val="18"/>
                <w:color w:val="000000"/>
              </w:rPr>
              <w:t>元的餐标分别为：早餐</w:t>
            </w:r>
            <w:r>
              <w:rPr>
                <w:rFonts w:ascii="仿宋_GB2312" w:hAnsi="仿宋_GB2312" w:cs="仿宋_GB2312" w:eastAsia="仿宋_GB2312"/>
                <w:sz w:val="18"/>
                <w:color w:val="000000"/>
              </w:rPr>
              <w:t>1</w:t>
            </w:r>
            <w:r>
              <w:rPr>
                <w:rFonts w:ascii="仿宋_GB2312" w:hAnsi="仿宋_GB2312" w:cs="仿宋_GB2312" w:eastAsia="仿宋_GB2312"/>
                <w:sz w:val="18"/>
                <w:color w:val="000000"/>
              </w:rPr>
              <w:t>1</w:t>
            </w:r>
            <w:r>
              <w:rPr>
                <w:rFonts w:ascii="仿宋_GB2312" w:hAnsi="仿宋_GB2312" w:cs="仿宋_GB2312" w:eastAsia="仿宋_GB2312"/>
                <w:sz w:val="18"/>
                <w:color w:val="000000"/>
              </w:rPr>
              <w:t>元，中餐</w:t>
            </w:r>
            <w:r>
              <w:rPr>
                <w:rFonts w:ascii="仿宋_GB2312" w:hAnsi="仿宋_GB2312" w:cs="仿宋_GB2312" w:eastAsia="仿宋_GB2312"/>
                <w:sz w:val="18"/>
                <w:color w:val="000000"/>
              </w:rPr>
              <w:t>1</w:t>
            </w:r>
            <w:r>
              <w:rPr>
                <w:rFonts w:ascii="仿宋_GB2312" w:hAnsi="仿宋_GB2312" w:cs="仿宋_GB2312" w:eastAsia="仿宋_GB2312"/>
                <w:sz w:val="18"/>
                <w:color w:val="000000"/>
              </w:rPr>
              <w:t>7</w:t>
            </w:r>
            <w:r>
              <w:rPr>
                <w:rFonts w:ascii="仿宋_GB2312" w:hAnsi="仿宋_GB2312" w:cs="仿宋_GB2312" w:eastAsia="仿宋_GB2312"/>
                <w:sz w:val="18"/>
                <w:color w:val="000000"/>
              </w:rPr>
              <w:t>元，晚餐</w:t>
            </w:r>
            <w:r>
              <w:rPr>
                <w:rFonts w:ascii="仿宋_GB2312" w:hAnsi="仿宋_GB2312" w:cs="仿宋_GB2312" w:eastAsia="仿宋_GB2312"/>
                <w:sz w:val="18"/>
                <w:color w:val="000000"/>
              </w:rPr>
              <w:t>17</w:t>
            </w:r>
            <w:r>
              <w:rPr>
                <w:rFonts w:ascii="仿宋_GB2312" w:hAnsi="仿宋_GB2312" w:cs="仿宋_GB2312" w:eastAsia="仿宋_GB2312"/>
                <w:sz w:val="18"/>
                <w:color w:val="000000"/>
              </w:rPr>
              <w:t>元。</w:t>
            </w:r>
          </w:p>
          <w:p>
            <w:pPr>
              <w:pStyle w:val="null3"/>
              <w:ind w:firstLine="640"/>
              <w:jc w:val="both"/>
            </w:pPr>
            <w:r>
              <w:rPr>
                <w:rFonts w:ascii="仿宋_GB2312" w:hAnsi="仿宋_GB2312" w:cs="仿宋_GB2312" w:eastAsia="仿宋_GB2312"/>
                <w:sz w:val="18"/>
                <w:color w:val="000000"/>
              </w:rPr>
              <w:t>（二）初中足球班学生。伙食补助标准为</w:t>
            </w:r>
            <w:r>
              <w:rPr>
                <w:rFonts w:ascii="仿宋_GB2312" w:hAnsi="仿宋_GB2312" w:cs="仿宋_GB2312" w:eastAsia="仿宋_GB2312"/>
                <w:sz w:val="18"/>
                <w:color w:val="000000"/>
              </w:rPr>
              <w:t>55</w:t>
            </w:r>
            <w:r>
              <w:rPr>
                <w:rFonts w:ascii="仿宋_GB2312" w:hAnsi="仿宋_GB2312" w:cs="仿宋_GB2312" w:eastAsia="仿宋_GB2312"/>
                <w:sz w:val="18"/>
                <w:color w:val="000000"/>
              </w:rPr>
              <w:t>元/人/天。</w:t>
            </w:r>
            <w:r>
              <w:rPr>
                <w:rFonts w:ascii="仿宋_GB2312" w:hAnsi="仿宋_GB2312" w:cs="仿宋_GB2312" w:eastAsia="仿宋_GB2312"/>
                <w:sz w:val="18"/>
                <w:color w:val="000000"/>
              </w:rPr>
              <w:t>55</w:t>
            </w:r>
            <w:r>
              <w:rPr>
                <w:rFonts w:ascii="仿宋_GB2312" w:hAnsi="仿宋_GB2312" w:cs="仿宋_GB2312" w:eastAsia="仿宋_GB2312"/>
                <w:sz w:val="18"/>
                <w:color w:val="000000"/>
              </w:rPr>
              <w:t>元的餐标分别为：早餐</w:t>
            </w:r>
            <w:r>
              <w:rPr>
                <w:rFonts w:ascii="仿宋_GB2312" w:hAnsi="仿宋_GB2312" w:cs="仿宋_GB2312" w:eastAsia="仿宋_GB2312"/>
                <w:sz w:val="18"/>
                <w:color w:val="000000"/>
              </w:rPr>
              <w:t>1</w:t>
            </w:r>
            <w:r>
              <w:rPr>
                <w:rFonts w:ascii="仿宋_GB2312" w:hAnsi="仿宋_GB2312" w:cs="仿宋_GB2312" w:eastAsia="仿宋_GB2312"/>
                <w:sz w:val="18"/>
                <w:color w:val="000000"/>
              </w:rPr>
              <w:t>3</w:t>
            </w:r>
            <w:r>
              <w:rPr>
                <w:rFonts w:ascii="仿宋_GB2312" w:hAnsi="仿宋_GB2312" w:cs="仿宋_GB2312" w:eastAsia="仿宋_GB2312"/>
                <w:sz w:val="18"/>
                <w:color w:val="000000"/>
              </w:rPr>
              <w:t>元，中餐</w:t>
            </w:r>
            <w:r>
              <w:rPr>
                <w:rFonts w:ascii="仿宋_GB2312" w:hAnsi="仿宋_GB2312" w:cs="仿宋_GB2312" w:eastAsia="仿宋_GB2312"/>
                <w:sz w:val="18"/>
                <w:color w:val="000000"/>
              </w:rPr>
              <w:t>21</w:t>
            </w:r>
            <w:r>
              <w:rPr>
                <w:rFonts w:ascii="仿宋_GB2312" w:hAnsi="仿宋_GB2312" w:cs="仿宋_GB2312" w:eastAsia="仿宋_GB2312"/>
                <w:sz w:val="18"/>
                <w:color w:val="000000"/>
              </w:rPr>
              <w:t>元，晚餐</w:t>
            </w:r>
            <w:r>
              <w:rPr>
                <w:rFonts w:ascii="仿宋_GB2312" w:hAnsi="仿宋_GB2312" w:cs="仿宋_GB2312" w:eastAsia="仿宋_GB2312"/>
                <w:sz w:val="18"/>
                <w:color w:val="000000"/>
              </w:rPr>
              <w:t>21</w:t>
            </w:r>
            <w:r>
              <w:rPr>
                <w:rFonts w:ascii="仿宋_GB2312" w:hAnsi="仿宋_GB2312" w:cs="仿宋_GB2312" w:eastAsia="仿宋_GB2312"/>
                <w:sz w:val="18"/>
                <w:color w:val="000000"/>
              </w:rPr>
              <w:t>元。</w:t>
            </w:r>
          </w:p>
          <w:p>
            <w:pPr>
              <w:pStyle w:val="null3"/>
              <w:ind w:firstLine="640"/>
              <w:jc w:val="both"/>
            </w:pPr>
            <w:r>
              <w:rPr>
                <w:rFonts w:ascii="仿宋_GB2312" w:hAnsi="仿宋_GB2312" w:cs="仿宋_GB2312" w:eastAsia="仿宋_GB2312"/>
                <w:sz w:val="18"/>
                <w:color w:val="000000"/>
              </w:rPr>
              <w:t>（三）高中足球班学生。伙食补助标准为</w:t>
            </w:r>
            <w:r>
              <w:rPr>
                <w:rFonts w:ascii="仿宋_GB2312" w:hAnsi="仿宋_GB2312" w:cs="仿宋_GB2312" w:eastAsia="仿宋_GB2312"/>
                <w:sz w:val="18"/>
                <w:color w:val="000000"/>
              </w:rPr>
              <w:t>65</w:t>
            </w:r>
            <w:r>
              <w:rPr>
                <w:rFonts w:ascii="仿宋_GB2312" w:hAnsi="仿宋_GB2312" w:cs="仿宋_GB2312" w:eastAsia="仿宋_GB2312"/>
                <w:sz w:val="18"/>
                <w:color w:val="000000"/>
              </w:rPr>
              <w:t>元/人/天。</w:t>
            </w:r>
            <w:r>
              <w:rPr>
                <w:rFonts w:ascii="仿宋_GB2312" w:hAnsi="仿宋_GB2312" w:cs="仿宋_GB2312" w:eastAsia="仿宋_GB2312"/>
                <w:sz w:val="18"/>
                <w:color w:val="000000"/>
              </w:rPr>
              <w:t>65</w:t>
            </w:r>
            <w:r>
              <w:rPr>
                <w:rFonts w:ascii="仿宋_GB2312" w:hAnsi="仿宋_GB2312" w:cs="仿宋_GB2312" w:eastAsia="仿宋_GB2312"/>
                <w:sz w:val="18"/>
                <w:color w:val="000000"/>
              </w:rPr>
              <w:t>元的餐标分别为：早餐</w:t>
            </w:r>
            <w:r>
              <w:rPr>
                <w:rFonts w:ascii="仿宋_GB2312" w:hAnsi="仿宋_GB2312" w:cs="仿宋_GB2312" w:eastAsia="仿宋_GB2312"/>
                <w:sz w:val="18"/>
                <w:color w:val="000000"/>
              </w:rPr>
              <w:t>1</w:t>
            </w:r>
            <w:r>
              <w:rPr>
                <w:rFonts w:ascii="仿宋_GB2312" w:hAnsi="仿宋_GB2312" w:cs="仿宋_GB2312" w:eastAsia="仿宋_GB2312"/>
                <w:sz w:val="18"/>
                <w:color w:val="000000"/>
              </w:rPr>
              <w:t>5</w:t>
            </w:r>
            <w:r>
              <w:rPr>
                <w:rFonts w:ascii="仿宋_GB2312" w:hAnsi="仿宋_GB2312" w:cs="仿宋_GB2312" w:eastAsia="仿宋_GB2312"/>
                <w:sz w:val="18"/>
                <w:color w:val="000000"/>
              </w:rPr>
              <w:t>元，中餐</w:t>
            </w:r>
            <w:r>
              <w:rPr>
                <w:rFonts w:ascii="仿宋_GB2312" w:hAnsi="仿宋_GB2312" w:cs="仿宋_GB2312" w:eastAsia="仿宋_GB2312"/>
                <w:sz w:val="18"/>
                <w:color w:val="000000"/>
              </w:rPr>
              <w:t>2</w:t>
            </w:r>
            <w:r>
              <w:rPr>
                <w:rFonts w:ascii="仿宋_GB2312" w:hAnsi="仿宋_GB2312" w:cs="仿宋_GB2312" w:eastAsia="仿宋_GB2312"/>
                <w:sz w:val="18"/>
                <w:color w:val="000000"/>
              </w:rPr>
              <w:t>5</w:t>
            </w:r>
            <w:r>
              <w:rPr>
                <w:rFonts w:ascii="仿宋_GB2312" w:hAnsi="仿宋_GB2312" w:cs="仿宋_GB2312" w:eastAsia="仿宋_GB2312"/>
                <w:sz w:val="18"/>
                <w:color w:val="000000"/>
              </w:rPr>
              <w:t>元，晚餐</w:t>
            </w:r>
            <w:r>
              <w:rPr>
                <w:rFonts w:ascii="仿宋_GB2312" w:hAnsi="仿宋_GB2312" w:cs="仿宋_GB2312" w:eastAsia="仿宋_GB2312"/>
                <w:sz w:val="18"/>
                <w:color w:val="000000"/>
              </w:rPr>
              <w:t>2</w:t>
            </w:r>
            <w:r>
              <w:rPr>
                <w:rFonts w:ascii="仿宋_GB2312" w:hAnsi="仿宋_GB2312" w:cs="仿宋_GB2312" w:eastAsia="仿宋_GB2312"/>
                <w:sz w:val="18"/>
                <w:color w:val="000000"/>
              </w:rPr>
              <w:t>5</w:t>
            </w:r>
            <w:r>
              <w:rPr>
                <w:rFonts w:ascii="仿宋_GB2312" w:hAnsi="仿宋_GB2312" w:cs="仿宋_GB2312" w:eastAsia="仿宋_GB2312"/>
                <w:sz w:val="18"/>
                <w:color w:val="000000"/>
              </w:rPr>
              <w:t>元。</w:t>
            </w:r>
          </w:p>
          <w:p>
            <w:pPr>
              <w:pStyle w:val="null3"/>
              <w:ind w:firstLine="640"/>
              <w:jc w:val="left"/>
            </w:pPr>
            <w:r>
              <w:rPr>
                <w:rFonts w:ascii="仿宋_GB2312" w:hAnsi="仿宋_GB2312" w:cs="仿宋_GB2312" w:eastAsia="仿宋_GB2312"/>
                <w:sz w:val="18"/>
                <w:color w:val="000000"/>
              </w:rPr>
              <w:t>六、</w:t>
            </w:r>
            <w:r>
              <w:rPr>
                <w:rFonts w:ascii="仿宋_GB2312" w:hAnsi="仿宋_GB2312" w:cs="仿宋_GB2312" w:eastAsia="仿宋_GB2312"/>
                <w:sz w:val="18"/>
                <w:color w:val="000000"/>
              </w:rPr>
              <w:t>运动员的膳食标准</w:t>
            </w:r>
          </w:p>
          <w:p>
            <w:pPr>
              <w:pStyle w:val="null3"/>
              <w:ind w:firstLine="640"/>
              <w:jc w:val="left"/>
            </w:pPr>
            <w:r>
              <w:rPr>
                <w:rFonts w:ascii="仿宋_GB2312" w:hAnsi="仿宋_GB2312" w:cs="仿宋_GB2312" w:eastAsia="仿宋_GB2312"/>
                <w:sz w:val="18"/>
                <w:color w:val="000000"/>
              </w:rPr>
              <w:t>（一）小学足球班学生</w:t>
            </w:r>
          </w:p>
          <w:p>
            <w:pPr>
              <w:pStyle w:val="null3"/>
              <w:ind w:firstLine="640"/>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提供营养均衡的膳食，注重碳水化合物的摄入，保证体能。提供足够的蛋白质来源，如鱼、豆制品等。</w:t>
            </w:r>
          </w:p>
          <w:p>
            <w:pPr>
              <w:pStyle w:val="null3"/>
              <w:ind w:firstLine="640"/>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.适量增加富含维生素和矿物质的食物，如绿叶蔬菜、水果等。</w:t>
            </w:r>
          </w:p>
          <w:p>
            <w:pPr>
              <w:pStyle w:val="null3"/>
              <w:ind w:firstLine="640"/>
              <w:jc w:val="left"/>
            </w:pPr>
            <w:r>
              <w:rPr>
                <w:rFonts w:ascii="仿宋_GB2312" w:hAnsi="仿宋_GB2312" w:cs="仿宋_GB2312" w:eastAsia="仿宋_GB2312"/>
                <w:sz w:val="18"/>
                <w:color w:val="000000"/>
              </w:rPr>
              <w:t>（二）中学足球班学生</w:t>
            </w:r>
          </w:p>
          <w:p>
            <w:pPr>
              <w:pStyle w:val="null3"/>
              <w:ind w:firstLine="640"/>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.提供高蛋白、低脂肪、富含矿物质的均衡膳食，满足高强度训练和比赛的需求。每日提供新鲜水果、蔬菜和全谷类食物，确保充足的维生素和膳食纤维摄入。</w:t>
            </w:r>
          </w:p>
          <w:p>
            <w:pPr>
              <w:pStyle w:val="null3"/>
              <w:ind w:firstLine="640"/>
              <w:jc w:val="left"/>
            </w:pPr>
            <w:r>
              <w:rPr>
                <w:rFonts w:ascii="仿宋_GB2312" w:hAnsi="仿宋_GB2312" w:cs="仿宋_GB2312" w:eastAsia="仿宋_GB2312"/>
                <w:sz w:val="18"/>
                <w:color w:val="000000"/>
              </w:rPr>
              <w:t>2</w:t>
            </w:r>
            <w:r>
              <w:rPr>
                <w:rFonts w:ascii="仿宋_GB2312" w:hAnsi="仿宋_GB2312" w:cs="仿宋_GB2312" w:eastAsia="仿宋_GB2312"/>
                <w:sz w:val="18"/>
                <w:color w:val="000000"/>
              </w:rPr>
              <w:t>.提供适量的优质蛋白质来源，如鱼、瘦肉、禽类等。</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参加政府采购活动前三年内，无环保类行政处罚记录。（提供声明函，加盖单位公章）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本采购包属于专门面向小微企业采购。</w:t>
            </w:r>
          </w:p>
        </w:tc>
        <w:tc>
          <w:tcPr>
            <w:tcW w:type="dxa" w:w="3322"/>
          </w:tcPr>
          <w:p>
            <w:pPr>
              <w:pStyle w:val="null3"/>
              <w:jc w:val="left"/>
            </w:pPr>
            <w:r>
              <w:rPr>
                <w:rFonts w:ascii="仿宋_GB2312" w:hAnsi="仿宋_GB2312" w:cs="仿宋_GB2312" w:eastAsia="仿宋_GB2312"/>
              </w:rPr>
              <w:t>本采购包为专门面向小微企业采购，投标人须提供中小企业声明函。监狱企业、残疾人福利性单位视同小型、微型企业。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供应商应提交的相关证明材料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商务应答表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开标（报价）一览表 商务应答表 供应商应提交的相关证明材料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食堂经营管理方案及培训方案</w:t>
            </w:r>
          </w:p>
        </w:tc>
        <w:tc>
          <w:tcPr>
            <w:tcW w:type="dxa" w:w="2492"/>
          </w:tcPr>
          <w:p>
            <w:pPr>
              <w:pStyle w:val="null3"/>
              <w:jc w:val="both"/>
            </w:pPr>
            <w:r>
              <w:rPr>
                <w:rFonts w:ascii="仿宋_GB2312" w:hAnsi="仿宋_GB2312" w:cs="仿宋_GB2312" w:eastAsia="仿宋_GB2312"/>
              </w:rPr>
              <w:t>投标人根据项目的实际需求，制定科学、合理的食堂经营管理方案及培训方案，应包含但不限于以下内容：食堂组织机构图、从业人员岗位职责及人数合理配置等。（1）食堂组织机构系统内容要点齐全，方案中明确培训内容并能保证培训落地，提供从业人员名单并合理详细列明工作职责；且整体切实可行，实施过程务实；得8分；（2）食堂组织机构系统内容要点齐全，方案中明确培训内容并具有培训流程，提供从业人员名单并详细列明工作职责；得6分；（3）食堂组织机构系统内容要点基本齐全，方案中基本明确培训内容并具有相关培训流程，提供从业人员名单并列明工作职责；实施过程有一定逻辑性、可行性、适用性；得4分；（4）食堂组织机构系统内容要点基本齐全，方案较切实可行，实施过程一般；得2分；（5）食堂组织机构系统内容要点不齐全，方案不可行，实施过程差；得1分；（6）不提供方案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储运及配送方案</w:t>
            </w:r>
          </w:p>
        </w:tc>
        <w:tc>
          <w:tcPr>
            <w:tcW w:type="dxa" w:w="2492"/>
          </w:tcPr>
          <w:p>
            <w:pPr>
              <w:pStyle w:val="null3"/>
              <w:jc w:val="both"/>
            </w:pPr>
            <w:r>
              <w:rPr>
                <w:rFonts w:ascii="仿宋_GB2312" w:hAnsi="仿宋_GB2312" w:cs="仿宋_GB2312" w:eastAsia="仿宋_GB2312"/>
              </w:rPr>
              <w:t>投标人根据项目的实际需求，制定科学、合理的储运及配送方案，应包含但不限于以下内容：储运、配送管理体系、流程等。（1）储运及配送方案，合理，便捷，能够根据实际情况制订，满足采购人的需要，考虑问题周全，实施过程务实，各项指标均能完成，得6分；（2）方案合理便捷，但较为偏离实际情况，只能基本满足采购人需求，虽能完成各项指标但操作繁琐重复，得5分；（3）基本能够满足采购需要，但操作性一般，得3分；（4）方案基本完善但缺少实践，操作性弱，得2分；（5）方案考虑问题不周全，实践中操作性不强，得1分；（6）不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食品安全保障及安全责任方案</w:t>
            </w:r>
          </w:p>
        </w:tc>
        <w:tc>
          <w:tcPr>
            <w:tcW w:type="dxa" w:w="2492"/>
          </w:tcPr>
          <w:p>
            <w:pPr>
              <w:pStyle w:val="null3"/>
              <w:jc w:val="both"/>
            </w:pPr>
            <w:r>
              <w:rPr>
                <w:rFonts w:ascii="仿宋_GB2312" w:hAnsi="仿宋_GB2312" w:cs="仿宋_GB2312" w:eastAsia="仿宋_GB2312"/>
              </w:rPr>
              <w:t>投标人根据项目的实际需求，制定科学、合理的食品安全保障及安全责任方案，应包含但不限于以下内容：食品安全卫生、人员卫生、环境卫生、除“四害”方案、垃圾处理方案、餐厨废弃物和废油脂处理等。（1）食品安全卫生管理控制方案科学严谨，适用性强，思路清晰，内容全面，能够根据实际情况制订，能保证食堂食品安全卫生及就餐环境达到合格标准（食品安全满足国家相关标准、环境干净整洁），确保按时消毒；得10分；（2）食品安全卫生管理控制方案科学严谨，适用性较强，思路清晰，内容全面，能够满足实际需求，考虑问题较周全，实施过程务实；得8分；（3）食品安全卫生管理控制方案适用性较强，思路较清晰，内容较全面，较能满足实际需求，考虑问题较周全，实施过程有一定逻辑性、可行性；得6分；（4）食品安全卫生管理控制方案内容要点基本齐全，方案较切实可行，实施过程一般；得4分；（5）食品安全卫生管理控制方案内容要点不齐全，方案不可行，实施过程差；得2分；（6）不提供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货物质量控制方案</w:t>
            </w:r>
          </w:p>
        </w:tc>
        <w:tc>
          <w:tcPr>
            <w:tcW w:type="dxa" w:w="2492"/>
          </w:tcPr>
          <w:p>
            <w:pPr>
              <w:pStyle w:val="null3"/>
              <w:jc w:val="both"/>
            </w:pPr>
            <w:r>
              <w:rPr>
                <w:rFonts w:ascii="仿宋_GB2312" w:hAnsi="仿宋_GB2312" w:cs="仿宋_GB2312" w:eastAsia="仿宋_GB2312"/>
              </w:rPr>
              <w:t>根据投标人货物来源、加工、包装、保存、运输各环节的质量保证措施进行评价：（1）投标人货物来源、加工、包装、保存、运输各环节的质量保证措施合理， 保证措施有力的，得6分；（2）投标人货物来源、加工、包装、保存、运输各环节保证措施较为合理，措施基本到位，得4.8分；（3）投标人货物来源、加工、包装、保存、运输各环节的质量保证措施基本合理，有相应的保证措施的，得3.6分；（4）投标人货物来源、加工、包装、保存、运输各环节的质量保证措施基本合理，但保证措施不完善的，得2.4分；（5）投标人货物来源、加工、包装、保存、运输各环节的质量保证措施不合理，保证措施不完善的，得1.2分；（6）不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服务质量控制方案</w:t>
            </w:r>
          </w:p>
        </w:tc>
        <w:tc>
          <w:tcPr>
            <w:tcW w:type="dxa" w:w="2492"/>
          </w:tcPr>
          <w:p>
            <w:pPr>
              <w:pStyle w:val="null3"/>
              <w:jc w:val="both"/>
            </w:pPr>
            <w:r>
              <w:rPr>
                <w:rFonts w:ascii="仿宋_GB2312" w:hAnsi="仿宋_GB2312" w:cs="仿宋_GB2312" w:eastAsia="仿宋_GB2312"/>
              </w:rPr>
              <w:t>投标人根据项目的实际需求，制定科学、合理的服务质量控制方案，应包含但不限于以下内容：原材料采购管理制度、菜品质量管控制度、食品留样制度、餐厅服务规范、服务质量提升措施、投诉处理等。（1）服务质量控制方案科学严谨，适用性强，思路清晰，内容全面，能够根据实际情况制订，优于实际需求，考虑问题周全，实施过程务实；得10分；（2）服务质量控制方案科学严谨，适用性较强，思路清晰，内容全面，能够满足实际需求，考虑问题较周全，实施过程务实；得8分；（3）服务质量控制方案适用性较强，思路较清晰，内容较全面，较能满足实际需求，考虑问题较周全，实施过程有一定逻辑性、可行性；得6分； （4）服务质量控制方案内容要点基本齐全，方案较切实可行，实施过程一般；得4分；（5）服务质量控制方案内容要点不齐全，方案不可行，实施过程差；得2分；（6）不提供方案不得分。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保障安全生产的各类应急预案</w:t>
            </w:r>
          </w:p>
        </w:tc>
        <w:tc>
          <w:tcPr>
            <w:tcW w:type="dxa" w:w="2492"/>
          </w:tcPr>
          <w:p>
            <w:pPr>
              <w:pStyle w:val="null3"/>
              <w:jc w:val="both"/>
            </w:pPr>
            <w:r>
              <w:rPr>
                <w:rFonts w:ascii="仿宋_GB2312" w:hAnsi="仿宋_GB2312" w:cs="仿宋_GB2312" w:eastAsia="仿宋_GB2312"/>
              </w:rPr>
              <w:t>投标人根据项目的实际需求，制定科学、合理的保障安全生产的各类应急预案，应包含但不限于以下内容：食物中毒、天燃气漏气、消防、停水停电、台风等。（1）保障安全生产的各类应急预案方案科学严谨，适用性强，思路清晰，内容全面，能够根据实际情况制订，考虑问题周全，实施过程务实；得10分；（2）保障安全生产的各类应急预案方案科学严谨，适用性较强，思路清晰，内容全面，考虑问题较周全，实施过程务实；得8分；（3）保障安全生产的各类应急预案方案适用性较强，思路较清晰，内容较全面，考虑问题较周全，实施过程有一定逻辑性、可行性；得6分； （4）保障安全生产的各类应急预案方案内容要点基本齐全，方案较切实可行，实施过程一般；得4分；（5）保障安全生产的各类应急预案方案内容要点不齐全，方案不可行，实施过程差；得2分；（6）不提供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操作规程控制管理方案</w:t>
            </w:r>
          </w:p>
        </w:tc>
        <w:tc>
          <w:tcPr>
            <w:tcW w:type="dxa" w:w="2492"/>
          </w:tcPr>
          <w:p>
            <w:pPr>
              <w:pStyle w:val="null3"/>
              <w:jc w:val="both"/>
            </w:pPr>
            <w:r>
              <w:rPr>
                <w:rFonts w:ascii="仿宋_GB2312" w:hAnsi="仿宋_GB2312" w:cs="仿宋_GB2312" w:eastAsia="仿宋_GB2312"/>
              </w:rPr>
              <w:t>投标人根据项目的实际需求，制定科学、合理的操作规程控制管理方案，应包含但不限于以下内容：食材加工制作方案、供餐与配送方案、食材检验检测方案、设备设施清洗消毒方案等。（1） 操作规程控制管理方案科学严谨，适用性强，思路清晰，内容全面，能够根据实际情况制订，优于实际需求，考虑问题周全，实施过程务实；得10分；（2）操作规程控制管理方案科学严谨，适用性较强，思路清晰，内容全面，能够满足实际需求，考虑问题较周全，实施过程务实；得8分；（3）操作规程控制管理方案适用性较强，思路较清晰，内容较全面，较能满足实际需求，考虑问题较周全，实施过程有一定逻辑性、可行性；得6分；（4）操作规程控制管理方案内容要点基本齐全，方案较切实可行，实施过程一般；得4分；（5）操作规程控制管理方案内容要点不齐全，方案不可行，实施过程差；得2分；（6）不提供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2022年1月1日（以合同签订时间为准）以来，每提供一项不同单位的类似业绩得5分，最高10分。 证明材料：提供合同扫描件并加盖公章，未按要求提供证明材料的不得分；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仓储能力</w:t>
            </w:r>
          </w:p>
        </w:tc>
        <w:tc>
          <w:tcPr>
            <w:tcW w:type="dxa" w:w="2492"/>
          </w:tcPr>
          <w:p>
            <w:pPr>
              <w:pStyle w:val="null3"/>
              <w:jc w:val="both"/>
            </w:pPr>
            <w:r>
              <w:rPr>
                <w:rFonts w:ascii="仿宋_GB2312" w:hAnsi="仿宋_GB2312" w:cs="仿宋_GB2312" w:eastAsia="仿宋_GB2312"/>
              </w:rPr>
              <w:t>投标人具有能承载项目需求的仓储能力，承诺得2分，不承诺不得分。 证明材料：需提供承诺函，格式自拟，加盖公章。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配送能力</w:t>
            </w:r>
          </w:p>
        </w:tc>
        <w:tc>
          <w:tcPr>
            <w:tcW w:type="dxa" w:w="2492"/>
          </w:tcPr>
          <w:p>
            <w:pPr>
              <w:pStyle w:val="null3"/>
              <w:jc w:val="both"/>
            </w:pPr>
            <w:r>
              <w:rPr>
                <w:rFonts w:ascii="仿宋_GB2312" w:hAnsi="仿宋_GB2312" w:cs="仿宋_GB2312" w:eastAsia="仿宋_GB2312"/>
              </w:rPr>
              <w:t>1、配送车辆：投标人提供参与本项目的自有或租赁的配送车辆。每有1 辆配送车加2分，本项满分4分。 证明材料：（1）提供行驶证、车辆登记证相关证明材。（2）提供能够证明车辆证明图片物。（3）若为租赁，提供租赁合同，租赁合同的有效期必须涵盖本项目。 2、投标人须针对本项目组建配送团队，配备司机具备准驾车型C级（含）以上级别驾驶执照的，每配备一名得2分，满分4分。 证明材料：提供人员在有效期内的驾驶证正业及副页、健康证、身份证及2025年1月至今连续6个月的社保缴纳证明，缴纳单位需为投标人或其分公司，相关证明材料提供复印件加盖公章。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服务团队</w:t>
            </w:r>
          </w:p>
        </w:tc>
        <w:tc>
          <w:tcPr>
            <w:tcW w:type="dxa" w:w="2492"/>
          </w:tcPr>
          <w:p>
            <w:pPr>
              <w:pStyle w:val="null3"/>
              <w:jc w:val="both"/>
            </w:pPr>
            <w:r>
              <w:rPr>
                <w:rFonts w:ascii="仿宋_GB2312" w:hAnsi="仿宋_GB2312" w:cs="仿宋_GB2312" w:eastAsia="仿宋_GB2312"/>
              </w:rPr>
              <w:t>1、投标人需承诺在入驻经营食堂后完成食品安全员考核，承诺得2分，不承诺不得分。 证明材料：承诺函，格式自拟，加盖公章。 2、针对本项目提供基础服务人员，每配备一人得1分，满分8分。 证明材料：提供人员健康证、身份证、2025年1月至今连续6个月的社保缴纳证明，缴纳单位需为投标人或其分公司，相关证明材料提供复印件加盖公章。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详见附件：琼中女足管理中心食堂经营委托管理采购项目采购合同.docx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HNXZ-2025-026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2025—2026学年度琼中女足管理中心食堂委托经营服务项目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2025—2026学年度琼中女足管理中心食堂委托经营服务项目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C02020000-初等教育服务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8355000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