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琼中县生活垃圾填埋场渗滤液处理委托项目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[zhezr]20250700001[GK]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琼中黎族苗族自治县市政服务中心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中泓泽润工程管理咨询有限公司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琼中黎族苗族自治县市政服务中心</w:t>
      </w:r>
      <w:r>
        <w:rPr>
          <w:rFonts w:ascii="仿宋_GB2312" w:hAnsi="仿宋_GB2312" w:cs="仿宋_GB2312" w:eastAsia="仿宋_GB2312"/>
        </w:rPr>
        <w:t xml:space="preserve"> 委托， </w:t>
      </w:r>
      <w:r>
        <w:rPr>
          <w:rFonts w:ascii="仿宋_GB2312" w:hAnsi="仿宋_GB2312" w:cs="仿宋_GB2312" w:eastAsia="仿宋_GB2312"/>
        </w:rPr>
        <w:t>中泓泽润工程管理咨询有限公司</w:t>
      </w:r>
      <w:r>
        <w:rPr>
          <w:rFonts w:ascii="仿宋_GB2312" w:hAnsi="仿宋_GB2312" w:cs="仿宋_GB2312" w:eastAsia="仿宋_GB2312"/>
        </w:rPr>
        <w:t xml:space="preserve"> 对 </w:t>
      </w:r>
      <w:r>
        <w:rPr>
          <w:rFonts w:ascii="仿宋_GB2312" w:hAnsi="仿宋_GB2312" w:cs="仿宋_GB2312" w:eastAsia="仿宋_GB2312"/>
        </w:rPr>
        <w:t>琼中县生活垃圾填埋场渗滤液处理委托项目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[zhezr]20250700001[GK]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琼中县生活垃圾填埋场渗滤液处理委托项目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5,878,200.00元</w:t>
      </w:r>
      <w:r>
        <w:rPr>
          <w:rFonts w:ascii="仿宋_GB2312" w:hAnsi="仿宋_GB2312" w:cs="仿宋_GB2312" w:eastAsia="仿宋_GB2312"/>
        </w:rPr>
        <w:t>伍佰捌拾柒万捌仟贰佰元整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发展改革委 生态环境部市场监管总局关于调整优化节能产品、环境标志产品政府采购执行机制的通知》、《关于促进残疾人就业政府采购政策的通知》、《财政部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简要需求或要求：详见招标文件。（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琼中黎族苗族自治县市政服务中心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琼中黎族苗族自治县营根镇市政服务中心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0898-86227610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中泓泽润工程管理咨询有限公司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陕西省西安市雁塔区长安中路38号小寨领秀城商业综合楼4幢11层03号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13876783686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采购包1：5,878,200.00元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费参照《海南省物价局关于降低部分招标代理服务收费标准的通知》（琼价费管〔2011〕225号）标准，招标代理服务费金额为¥40761.52元（大写：肆万零柒佰陆拾壹元伍角贰分），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联系电话：13876783686</w:t>
      </w:r>
    </w:p>
    <w:p>
      <w:pPr>
        <w:pStyle w:val="null3"/>
        <w:jc w:val="left"/>
      </w:pPr>
      <w:r>
        <w:rPr>
          <w:rFonts w:ascii="仿宋_GB2312" w:hAnsi="仿宋_GB2312" w:cs="仿宋_GB2312" w:eastAsia="仿宋_GB2312"/>
        </w:rPr>
        <w:t>地址：陕西省西安市雁塔区长安中路38号小寨领秀城商业综合楼4幢11层03号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w:t>
      </w:r>
      <w:r>
        <w:rPr>
          <w:rFonts w:ascii="仿宋_GB2312" w:hAnsi="仿宋_GB2312" w:cs="仿宋_GB2312" w:eastAsia="仿宋_GB2312"/>
          <w:sz w:val="28"/>
        </w:rPr>
        <w:t>琼中县生活垃圾填埋场渗滤液处理委托项目</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2.项目总金额：¥</w:t>
      </w:r>
      <w:r>
        <w:rPr>
          <w:rFonts w:ascii="仿宋_GB2312" w:hAnsi="仿宋_GB2312" w:cs="仿宋_GB2312" w:eastAsia="仿宋_GB2312"/>
          <w:sz w:val="28"/>
        </w:rPr>
        <w:t>587.82</w:t>
      </w:r>
      <w:r>
        <w:rPr>
          <w:rFonts w:ascii="仿宋_GB2312" w:hAnsi="仿宋_GB2312" w:cs="仿宋_GB2312" w:eastAsia="仿宋_GB2312"/>
          <w:sz w:val="28"/>
        </w:rPr>
        <w:t>万元</w:t>
      </w:r>
      <w:r>
        <w:rPr>
          <w:rFonts w:ascii="仿宋_GB2312" w:hAnsi="仿宋_GB2312" w:cs="仿宋_GB2312" w:eastAsia="仿宋_GB2312"/>
          <w:sz w:val="28"/>
        </w:rPr>
        <w:t>(</w:t>
      </w:r>
      <w:r>
        <w:rPr>
          <w:rFonts w:ascii="仿宋_GB2312" w:hAnsi="仿宋_GB2312" w:cs="仿宋_GB2312" w:eastAsia="仿宋_GB2312"/>
          <w:sz w:val="28"/>
        </w:rPr>
        <w:t>587.82</w:t>
      </w:r>
      <w:r>
        <w:rPr>
          <w:rFonts w:ascii="仿宋_GB2312" w:hAnsi="仿宋_GB2312" w:cs="仿宋_GB2312" w:eastAsia="仿宋_GB2312"/>
          <w:sz w:val="28"/>
        </w:rPr>
        <w:t>万元</w:t>
      </w:r>
      <w:r>
        <w:rPr>
          <w:rFonts w:ascii="仿宋_GB2312" w:hAnsi="仿宋_GB2312" w:cs="仿宋_GB2312" w:eastAsia="仿宋_GB2312"/>
          <w:sz w:val="28"/>
        </w:rPr>
        <w:t>/三年，</w:t>
      </w:r>
      <w:r>
        <w:rPr>
          <w:rFonts w:ascii="仿宋_GB2312" w:hAnsi="仿宋_GB2312" w:cs="仿宋_GB2312" w:eastAsia="仿宋_GB2312"/>
          <w:sz w:val="28"/>
        </w:rPr>
        <w:t>195.94</w:t>
      </w:r>
      <w:r>
        <w:rPr>
          <w:rFonts w:ascii="仿宋_GB2312" w:hAnsi="仿宋_GB2312" w:cs="仿宋_GB2312" w:eastAsia="仿宋_GB2312"/>
          <w:sz w:val="28"/>
        </w:rPr>
        <w:t>万元</w:t>
      </w:r>
      <w:r>
        <w:rPr>
          <w:rFonts w:ascii="仿宋_GB2312" w:hAnsi="仿宋_GB2312" w:cs="仿宋_GB2312" w:eastAsia="仿宋_GB2312"/>
          <w:sz w:val="28"/>
        </w:rPr>
        <w:t>/年)</w:t>
      </w:r>
    </w:p>
    <w:p>
      <w:pPr>
        <w:pStyle w:val="null3"/>
        <w:ind w:firstLine="243"/>
        <w:jc w:val="both"/>
      </w:pPr>
      <w:r>
        <w:rPr>
          <w:rFonts w:ascii="仿宋_GB2312" w:hAnsi="仿宋_GB2312" w:cs="仿宋_GB2312" w:eastAsia="仿宋_GB2312"/>
          <w:sz w:val="28"/>
        </w:rPr>
        <w:t>3.采购内容：</w:t>
      </w:r>
      <w:r>
        <w:rPr>
          <w:rFonts w:ascii="仿宋_GB2312" w:hAnsi="仿宋_GB2312" w:cs="仿宋_GB2312" w:eastAsia="仿宋_GB2312"/>
          <w:sz w:val="28"/>
        </w:rPr>
        <w:t>琼中县生活垃圾填埋场渗滤液处理委托项目</w:t>
      </w:r>
      <w:r>
        <w:rPr>
          <w:rFonts w:ascii="仿宋_GB2312" w:hAnsi="仿宋_GB2312" w:cs="仿宋_GB2312" w:eastAsia="仿宋_GB2312"/>
          <w:sz w:val="28"/>
        </w:rPr>
        <w:t>的渗滤液处理，并按照国家相关标准达标排放。日</w:t>
      </w:r>
      <w:r>
        <w:rPr>
          <w:rFonts w:ascii="仿宋_GB2312" w:hAnsi="仿宋_GB2312" w:cs="仿宋_GB2312" w:eastAsia="仿宋_GB2312"/>
          <w:sz w:val="28"/>
        </w:rPr>
        <w:t>出水</w:t>
      </w:r>
      <w:r>
        <w:rPr>
          <w:rFonts w:ascii="仿宋_GB2312" w:hAnsi="仿宋_GB2312" w:cs="仿宋_GB2312" w:eastAsia="仿宋_GB2312"/>
          <w:sz w:val="28"/>
        </w:rPr>
        <w:t>量不少于</w:t>
      </w:r>
      <w:r>
        <w:rPr>
          <w:rFonts w:ascii="仿宋_GB2312" w:hAnsi="仿宋_GB2312" w:cs="仿宋_GB2312" w:eastAsia="仿宋_GB2312"/>
          <w:sz w:val="28"/>
        </w:rPr>
        <w:t>85m³(</w:t>
      </w:r>
      <w:r>
        <w:rPr>
          <w:rFonts w:ascii="仿宋_GB2312" w:hAnsi="仿宋_GB2312" w:cs="仿宋_GB2312" w:eastAsia="仿宋_GB2312"/>
          <w:sz w:val="28"/>
        </w:rPr>
        <w:t>在渗滤液充足的情况下</w:t>
      </w:r>
      <w:r>
        <w:rPr>
          <w:rFonts w:ascii="仿宋_GB2312" w:hAnsi="仿宋_GB2312" w:cs="仿宋_GB2312" w:eastAsia="仿宋_GB2312"/>
          <w:sz w:val="28"/>
        </w:rPr>
        <w:t>)，最终结算数量按实际处理量计算。</w:t>
      </w:r>
    </w:p>
    <w:p>
      <w:pPr>
        <w:pStyle w:val="null3"/>
        <w:ind w:firstLine="243"/>
        <w:jc w:val="both"/>
      </w:pPr>
      <w:r>
        <w:rPr>
          <w:rFonts w:ascii="仿宋_GB2312" w:hAnsi="仿宋_GB2312" w:cs="仿宋_GB2312" w:eastAsia="仿宋_GB2312"/>
          <w:sz w:val="28"/>
        </w:rPr>
        <w:t>4.合同履行期限(服务期):三年。合同一年一签。</w:t>
      </w:r>
    </w:p>
    <w:p>
      <w:pPr>
        <w:pStyle w:val="null3"/>
        <w:ind w:firstLine="243"/>
        <w:jc w:val="both"/>
      </w:pPr>
      <w:r>
        <w:rPr>
          <w:rFonts w:ascii="仿宋_GB2312" w:hAnsi="仿宋_GB2312" w:cs="仿宋_GB2312" w:eastAsia="仿宋_GB2312"/>
          <w:sz w:val="28"/>
        </w:rPr>
        <w:t>5</w:t>
      </w:r>
      <w:r>
        <w:rPr>
          <w:rFonts w:ascii="仿宋_GB2312" w:hAnsi="仿宋_GB2312" w:cs="仿宋_GB2312" w:eastAsia="仿宋_GB2312"/>
          <w:sz w:val="28"/>
        </w:rPr>
        <w:t>.项目实施地点：</w:t>
      </w:r>
      <w:r>
        <w:rPr>
          <w:rFonts w:ascii="仿宋_GB2312" w:hAnsi="仿宋_GB2312" w:cs="仿宋_GB2312" w:eastAsia="仿宋_GB2312"/>
          <w:sz w:val="28"/>
        </w:rPr>
        <w:t>琼中县</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6</w:t>
      </w:r>
      <w:r>
        <w:rPr>
          <w:rFonts w:ascii="仿宋_GB2312" w:hAnsi="仿宋_GB2312" w:cs="仿宋_GB2312" w:eastAsia="仿宋_GB2312"/>
          <w:sz w:val="28"/>
        </w:rPr>
        <w:t>.质量标准：满足国家相关规定及采购需求要求</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5,878,200.00</w:t>
      </w:r>
    </w:p>
    <w:p>
      <w:pPr>
        <w:pStyle w:val="null3"/>
        <w:jc w:val="left"/>
      </w:pPr>
      <w:r>
        <w:rPr>
          <w:rFonts w:ascii="仿宋_GB2312" w:hAnsi="仿宋_GB2312" w:cs="仿宋_GB2312" w:eastAsia="仿宋_GB2312"/>
        </w:rPr>
        <w:t>采购包最高限价（元）: 5,878,200.00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C07020500-无害固体废物处理服务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5,878,200.00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C07020500-无害固体废物处理服务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5,878,200.00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标的名称：C07020500-无害固体废物处理服务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43"/>
              <w:jc w:val="both"/>
            </w:pPr>
            <w:r>
              <w:rPr>
                <w:rFonts w:ascii="仿宋_GB2312" w:hAnsi="仿宋_GB2312" w:cs="仿宋_GB2312" w:eastAsia="仿宋_GB2312"/>
                <w:sz w:val="28"/>
              </w:rPr>
              <w:t>1.</w:t>
            </w:r>
            <w:r>
              <w:rPr>
                <w:rFonts w:ascii="仿宋_GB2312" w:hAnsi="仿宋_GB2312" w:cs="仿宋_GB2312" w:eastAsia="仿宋_GB2312"/>
                <w:sz w:val="28"/>
              </w:rPr>
              <w:t>填埋场渗滤液处理进出水水质执行标准</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进水水质要求上限值</w:t>
            </w:r>
          </w:p>
          <w:tbl>
            <w:tblPr>
              <w:tblBorders>
                <w:top w:val="none" w:color="000000" w:sz="4"/>
                <w:left w:val="none" w:color="000000" w:sz="4"/>
                <w:bottom w:val="none" w:color="000000" w:sz="4"/>
                <w:right w:val="none" w:color="000000" w:sz="4"/>
                <w:insideH w:val="none"/>
                <w:insideV w:val="none"/>
              </w:tblBorders>
            </w:tblPr>
            <w:tblGrid>
              <w:gridCol w:w="527"/>
              <w:gridCol w:w="535"/>
              <w:gridCol w:w="535"/>
              <w:gridCol w:w="535"/>
              <w:gridCol w:w="535"/>
              <w:gridCol w:w="535"/>
              <w:gridCol w:w="604"/>
            </w:tblGrid>
            <w:tr>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CODcr</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BOD5</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NH3-N</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TN</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SS</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电导率</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ms/cm）</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进水水质</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20000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8000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25000</w:t>
                  </w:r>
                </w:p>
              </w:tc>
            </w:tr>
          </w:tbl>
          <w:p>
            <w:pPr>
              <w:pStyle w:val="null3"/>
              <w:ind w:firstLine="243"/>
              <w:jc w:val="both"/>
            </w:pPr>
            <w:r>
              <w:rPr>
                <w:rFonts w:ascii="仿宋_GB2312" w:hAnsi="仿宋_GB2312" w:cs="仿宋_GB2312" w:eastAsia="仿宋_GB2312"/>
                <w:sz w:val="28"/>
              </w:rPr>
              <w:t>出水水质</w:t>
            </w:r>
          </w:p>
          <w:tbl>
            <w:tblPr>
              <w:tblBorders>
                <w:top w:val="none" w:color="000000" w:sz="4"/>
                <w:left w:val="none" w:color="000000" w:sz="4"/>
                <w:bottom w:val="none" w:color="000000" w:sz="4"/>
                <w:right w:val="none" w:color="000000" w:sz="4"/>
                <w:insideH w:val="none"/>
                <w:insideV w:val="none"/>
              </w:tblBorders>
            </w:tblPr>
            <w:tblGrid>
              <w:gridCol w:w="515"/>
              <w:gridCol w:w="524"/>
              <w:gridCol w:w="524"/>
              <w:gridCol w:w="524"/>
              <w:gridCol w:w="524"/>
              <w:gridCol w:w="524"/>
              <w:gridCol w:w="672"/>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CODcr</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BOD5</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NH3-N</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TN</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SS</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mg/L）</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PH</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进水水质</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6.0---9.0</w:t>
                  </w:r>
                </w:p>
              </w:tc>
            </w:tr>
          </w:tbl>
          <w:p>
            <w:pPr>
              <w:pStyle w:val="null3"/>
              <w:ind w:firstLine="243"/>
              <w:jc w:val="both"/>
            </w:pPr>
            <w:r>
              <w:rPr>
                <w:rFonts w:ascii="仿宋_GB2312" w:hAnsi="仿宋_GB2312" w:cs="仿宋_GB2312" w:eastAsia="仿宋_GB2312"/>
                <w:sz w:val="28"/>
              </w:rPr>
              <w:t>注</w:t>
            </w:r>
            <w:r>
              <w:rPr>
                <w:rFonts w:ascii="仿宋_GB2312" w:hAnsi="仿宋_GB2312" w:cs="仿宋_GB2312" w:eastAsia="仿宋_GB2312"/>
                <w:sz w:val="28"/>
              </w:rPr>
              <w:t>:参照《生活垃圾填埋场污染控制标准》(GB16889-2008)第九条中的表2排放标准。</w:t>
            </w:r>
          </w:p>
          <w:p>
            <w:pPr>
              <w:pStyle w:val="null3"/>
              <w:ind w:firstLine="243"/>
              <w:jc w:val="both"/>
            </w:pPr>
            <w:r>
              <w:rPr>
                <w:rFonts w:ascii="仿宋_GB2312" w:hAnsi="仿宋_GB2312" w:cs="仿宋_GB2312" w:eastAsia="仿宋_GB2312"/>
                <w:sz w:val="28"/>
              </w:rPr>
              <w:t>2.监测</w:t>
            </w:r>
          </w:p>
          <w:p>
            <w:pPr>
              <w:pStyle w:val="null3"/>
              <w:ind w:firstLine="243"/>
              <w:jc w:val="both"/>
            </w:pPr>
            <w:r>
              <w:rPr>
                <w:rFonts w:ascii="仿宋_GB2312" w:hAnsi="仿宋_GB2312" w:cs="仿宋_GB2312" w:eastAsia="仿宋_GB2312"/>
                <w:sz w:val="28"/>
              </w:rPr>
              <w:t>①</w:t>
            </w:r>
            <w:r>
              <w:rPr>
                <w:rFonts w:ascii="仿宋_GB2312" w:hAnsi="仿宋_GB2312" w:cs="仿宋_GB2312" w:eastAsia="仿宋_GB2312"/>
                <w:sz w:val="28"/>
              </w:rPr>
              <w:t>日常检测</w:t>
            </w:r>
            <w:r>
              <w:rPr>
                <w:rFonts w:ascii="仿宋_GB2312" w:hAnsi="仿宋_GB2312" w:cs="仿宋_GB2312" w:eastAsia="仿宋_GB2312"/>
                <w:sz w:val="28"/>
              </w:rPr>
              <w:t>:乙方应自行检测与记录当日的进、出水指标，并保证检测记录的完整性与真实性，甲方可对检测记录进行不定期抽查。(甲方提供现场检测设备)甲方检测:甲方可自行或委托第三方检测出水水质。</w:t>
            </w:r>
          </w:p>
          <w:p>
            <w:pPr>
              <w:pStyle w:val="null3"/>
              <w:ind w:firstLine="243"/>
              <w:jc w:val="both"/>
            </w:pPr>
            <w:r>
              <w:rPr>
                <w:rFonts w:ascii="仿宋_GB2312" w:hAnsi="仿宋_GB2312" w:cs="仿宋_GB2312" w:eastAsia="仿宋_GB2312"/>
                <w:sz w:val="28"/>
              </w:rPr>
              <w:t>②</w:t>
            </w:r>
            <w:r>
              <w:rPr>
                <w:rFonts w:ascii="仿宋_GB2312" w:hAnsi="仿宋_GB2312" w:cs="仿宋_GB2312" w:eastAsia="仿宋_GB2312"/>
                <w:sz w:val="28"/>
              </w:rPr>
              <w:t>在线监测系统检测</w:t>
            </w:r>
            <w:r>
              <w:rPr>
                <w:rFonts w:ascii="仿宋_GB2312" w:hAnsi="仿宋_GB2312" w:cs="仿宋_GB2312" w:eastAsia="仿宋_GB2312"/>
                <w:sz w:val="28"/>
              </w:rPr>
              <w:t>:在线监测系统对出水的检测数据作为甲方监管依据之一，同时甲方依据此数据核查当日乙方的检测数据。</w:t>
            </w:r>
          </w:p>
          <w:p>
            <w:pPr>
              <w:pStyle w:val="null3"/>
              <w:ind w:firstLine="243"/>
              <w:jc w:val="both"/>
            </w:pPr>
            <w:r>
              <w:rPr>
                <w:rFonts w:ascii="仿宋_GB2312" w:hAnsi="仿宋_GB2312" w:cs="仿宋_GB2312" w:eastAsia="仿宋_GB2312"/>
                <w:sz w:val="28"/>
              </w:rPr>
              <w:t>③</w:t>
            </w:r>
            <w:r>
              <w:rPr>
                <w:rFonts w:ascii="仿宋_GB2312" w:hAnsi="仿宋_GB2312" w:cs="仿宋_GB2312" w:eastAsia="仿宋_GB2312"/>
                <w:sz w:val="28"/>
              </w:rPr>
              <w:t>月度检测</w:t>
            </w:r>
            <w:r>
              <w:rPr>
                <w:rFonts w:ascii="仿宋_GB2312" w:hAnsi="仿宋_GB2312" w:cs="仿宋_GB2312" w:eastAsia="仿宋_GB2312"/>
                <w:sz w:val="28"/>
              </w:rPr>
              <w:t>:双方委托具有水质检测资质并具备CMA认证的第三方每月进行出水的水质检测，检测费用由乙方负责，每月检测一次。</w:t>
            </w:r>
          </w:p>
          <w:p>
            <w:pPr>
              <w:pStyle w:val="null3"/>
              <w:ind w:firstLine="243"/>
              <w:jc w:val="both"/>
            </w:pPr>
            <w:r>
              <w:rPr>
                <w:rFonts w:ascii="仿宋_GB2312" w:hAnsi="仿宋_GB2312" w:cs="仿宋_GB2312" w:eastAsia="仿宋_GB2312"/>
                <w:sz w:val="28"/>
              </w:rPr>
              <w:t>④</w:t>
            </w:r>
            <w:r>
              <w:rPr>
                <w:rFonts w:ascii="仿宋_GB2312" w:hAnsi="仿宋_GB2312" w:cs="仿宋_GB2312" w:eastAsia="仿宋_GB2312"/>
                <w:sz w:val="28"/>
              </w:rPr>
              <w:t>上述检测数据均可作为甲方的监管依据，如检测结果显示出水水质达不到合同要求排放标准。乙方应完成出水水质不达标的原因排查和整改，并通知甲方再次组织第三方检测，直至检测结果达标为止，复检的费用由乙方承担。</w:t>
            </w:r>
          </w:p>
          <w:p>
            <w:pPr>
              <w:pStyle w:val="null3"/>
              <w:ind w:firstLine="243"/>
              <w:jc w:val="both"/>
            </w:pPr>
            <w:r>
              <w:rPr>
                <w:rFonts w:ascii="仿宋_GB2312" w:hAnsi="仿宋_GB2312" w:cs="仿宋_GB2312" w:eastAsia="仿宋_GB2312"/>
                <w:sz w:val="28"/>
              </w:rPr>
              <w:t>⑤</w:t>
            </w:r>
            <w:r>
              <w:rPr>
                <w:rFonts w:ascii="仿宋_GB2312" w:hAnsi="仿宋_GB2312" w:cs="仿宋_GB2312" w:eastAsia="仿宋_GB2312"/>
                <w:sz w:val="28"/>
              </w:rPr>
              <w:t>月度检测、甲方检测、日常检测、在线监测系统检测的检测数据具有同样的效力。若上述其中一种检测方式中检测数据出现异常，均需进行排查和整改，并针对性再次组织检测。</w:t>
            </w:r>
          </w:p>
          <w:p>
            <w:pPr>
              <w:pStyle w:val="null3"/>
              <w:ind w:firstLine="243"/>
              <w:jc w:val="both"/>
            </w:pPr>
            <w:r>
              <w:rPr>
                <w:rFonts w:ascii="仿宋_GB2312" w:hAnsi="仿宋_GB2312" w:cs="仿宋_GB2312" w:eastAsia="仿宋_GB2312"/>
                <w:sz w:val="28"/>
              </w:rPr>
              <w:t>3.运行要求</w:t>
            </w:r>
          </w:p>
          <w:p>
            <w:pPr>
              <w:pStyle w:val="null3"/>
              <w:ind w:firstLine="243"/>
              <w:jc w:val="both"/>
            </w:pPr>
            <w:r>
              <w:rPr>
                <w:rFonts w:ascii="仿宋_GB2312" w:hAnsi="仿宋_GB2312" w:cs="仿宋_GB2312" w:eastAsia="仿宋_GB2312"/>
                <w:sz w:val="28"/>
              </w:rPr>
              <w:t>必须严格遵守操作规程，科学地组织生产运行，保证设备达标排放，且确保生产安全；详实、规范记录，并妥善保存运行记录表、设备的维修记录表及水质化验表等日常台账相关资料，按时抄送给采购人进行备案；做好配合相关职能部门的监督、检查工作，并提供相关资料。</w:t>
            </w:r>
            <w:r>
              <w:rPr>
                <w:rFonts w:ascii="仿宋_GB2312" w:hAnsi="仿宋_GB2312" w:cs="仿宋_GB2312" w:eastAsia="仿宋_GB2312"/>
                <w:sz w:val="28"/>
              </w:rPr>
              <w:t>如因乙方超标排放或偷排，业主将取消合作合同，且乙方要承担造成的一切经济责任和法律责任。</w:t>
            </w:r>
          </w:p>
          <w:p>
            <w:pPr>
              <w:pStyle w:val="null3"/>
              <w:ind w:firstLine="243"/>
              <w:jc w:val="both"/>
            </w:pPr>
            <w:r>
              <w:rPr>
                <w:rFonts w:ascii="仿宋_GB2312" w:hAnsi="仿宋_GB2312" w:cs="仿宋_GB2312" w:eastAsia="仿宋_GB2312"/>
                <w:sz w:val="28"/>
              </w:rPr>
              <w:t>4</w:t>
            </w:r>
            <w:r>
              <w:rPr>
                <w:rFonts w:ascii="仿宋_GB2312" w:hAnsi="仿宋_GB2312" w:cs="仿宋_GB2312" w:eastAsia="仿宋_GB2312"/>
                <w:sz w:val="28"/>
              </w:rPr>
              <w:t>.服务范围及要求：</w:t>
            </w:r>
          </w:p>
          <w:p>
            <w:pPr>
              <w:pStyle w:val="null3"/>
              <w:ind w:firstLine="243"/>
              <w:jc w:val="both"/>
            </w:pPr>
            <w:r>
              <w:rPr>
                <w:rFonts w:ascii="仿宋_GB2312" w:hAnsi="仿宋_GB2312" w:cs="仿宋_GB2312" w:eastAsia="仿宋_GB2312"/>
                <w:sz w:val="28"/>
              </w:rPr>
              <w:t>①每天专人进行渗滤液处理，填写渗滤液处理情况记录表，记录必须真实、完整、清晰、及时、准确，按月报送存档；施工工艺一经确定，中途不得改变。</w:t>
            </w:r>
          </w:p>
          <w:p>
            <w:pPr>
              <w:pStyle w:val="null3"/>
              <w:ind w:firstLine="243"/>
              <w:jc w:val="both"/>
            </w:pPr>
            <w:r>
              <w:rPr>
                <w:rFonts w:ascii="仿宋_GB2312" w:hAnsi="仿宋_GB2312" w:cs="仿宋_GB2312" w:eastAsia="仿宋_GB2312"/>
                <w:sz w:val="28"/>
              </w:rPr>
              <w:t>②乙方应做好设备的防护、保养，做好安全运营。运营中出现的安全事故由乙方承担。</w:t>
            </w:r>
          </w:p>
          <w:p>
            <w:pPr>
              <w:pStyle w:val="null3"/>
              <w:ind w:firstLine="243"/>
              <w:jc w:val="both"/>
            </w:pPr>
            <w:r>
              <w:rPr>
                <w:rFonts w:ascii="仿宋_GB2312" w:hAnsi="仿宋_GB2312" w:cs="仿宋_GB2312" w:eastAsia="仿宋_GB2312"/>
                <w:sz w:val="28"/>
              </w:rPr>
              <w:t>③</w:t>
            </w:r>
            <w:r>
              <w:rPr>
                <w:rFonts w:ascii="仿宋_GB2312" w:hAnsi="仿宋_GB2312" w:cs="仿宋_GB2312" w:eastAsia="仿宋_GB2312"/>
                <w:sz w:val="28"/>
              </w:rPr>
              <w:t>乙方应组织运营人员，保证材料和药品的按期到场</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④</w:t>
            </w:r>
            <w:r>
              <w:rPr>
                <w:rFonts w:ascii="仿宋_GB2312" w:hAnsi="仿宋_GB2312" w:cs="仿宋_GB2312" w:eastAsia="仿宋_GB2312"/>
                <w:sz w:val="28"/>
              </w:rPr>
              <w:t>乙方应保证本项目运营质量，严格执行安全操作的规程</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⑤</w:t>
            </w:r>
            <w:r>
              <w:rPr>
                <w:rFonts w:ascii="仿宋_GB2312" w:hAnsi="仿宋_GB2312" w:cs="仿宋_GB2312" w:eastAsia="仿宋_GB2312"/>
                <w:sz w:val="28"/>
              </w:rPr>
              <w:t>乙方应保证文明生产，场地清洁</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⑥</w:t>
            </w:r>
            <w:r>
              <w:rPr>
                <w:rFonts w:ascii="仿宋_GB2312" w:hAnsi="仿宋_GB2312" w:cs="仿宋_GB2312" w:eastAsia="仿宋_GB2312"/>
                <w:sz w:val="28"/>
              </w:rPr>
              <w:t>乙方应做好交接班工作，做好记录</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⑦</w:t>
            </w:r>
            <w:r>
              <w:rPr>
                <w:rFonts w:ascii="仿宋_GB2312" w:hAnsi="仿宋_GB2312" w:cs="仿宋_GB2312" w:eastAsia="仿宋_GB2312"/>
                <w:sz w:val="28"/>
              </w:rPr>
              <w:t>乙方在运营期间应保障垃圾填埋场渗滤液的安全和环保工作。</w:t>
            </w:r>
          </w:p>
          <w:p>
            <w:pPr>
              <w:pStyle w:val="null3"/>
              <w:ind w:firstLine="243"/>
              <w:jc w:val="both"/>
            </w:pPr>
            <w:r>
              <w:rPr>
                <w:rFonts w:ascii="仿宋_GB2312" w:hAnsi="仿宋_GB2312" w:cs="仿宋_GB2312" w:eastAsia="仿宋_GB2312"/>
                <w:sz w:val="28"/>
              </w:rPr>
              <w:t>⑧</w:t>
            </w:r>
            <w:r>
              <w:rPr>
                <w:rFonts w:ascii="仿宋_GB2312" w:hAnsi="仿宋_GB2312" w:cs="仿宋_GB2312" w:eastAsia="仿宋_GB2312"/>
                <w:sz w:val="28"/>
              </w:rPr>
              <w:t>乙方</w:t>
            </w:r>
            <w:r>
              <w:rPr>
                <w:rFonts w:ascii="仿宋_GB2312" w:hAnsi="仿宋_GB2312" w:cs="仿宋_GB2312" w:eastAsia="仿宋_GB2312"/>
                <w:sz w:val="28"/>
              </w:rPr>
              <w:t>根据产权权属对渗滤液处理设备及其附属设施的日常运营及维护保养。在运营期间</w:t>
            </w:r>
            <w:r>
              <w:rPr>
                <w:rFonts w:ascii="仿宋_GB2312" w:hAnsi="仿宋_GB2312" w:cs="仿宋_GB2312" w:eastAsia="仿宋_GB2312"/>
                <w:sz w:val="28"/>
              </w:rPr>
              <w:t>乙方</w:t>
            </w:r>
            <w:r>
              <w:rPr>
                <w:rFonts w:ascii="仿宋_GB2312" w:hAnsi="仿宋_GB2312" w:cs="仿宋_GB2312" w:eastAsia="仿宋_GB2312"/>
                <w:sz w:val="28"/>
              </w:rPr>
              <w:t>自行投入的设备及设施出现故障时自</w:t>
            </w:r>
            <w:r>
              <w:rPr>
                <w:rFonts w:ascii="仿宋_GB2312" w:hAnsi="仿宋_GB2312" w:cs="仿宋_GB2312" w:eastAsia="仿宋_GB2312"/>
                <w:sz w:val="28"/>
              </w:rPr>
              <w:t>费</w:t>
            </w:r>
            <w:r>
              <w:rPr>
                <w:rFonts w:ascii="仿宋_GB2312" w:hAnsi="仿宋_GB2312" w:cs="仿宋_GB2312" w:eastAsia="仿宋_GB2312"/>
                <w:sz w:val="28"/>
              </w:rPr>
              <w:t>维修。甲方投入的设施设备维修或更换费用大于</w:t>
            </w:r>
            <w:r>
              <w:rPr>
                <w:rFonts w:ascii="仿宋_GB2312" w:hAnsi="仿宋_GB2312" w:cs="仿宋_GB2312" w:eastAsia="仿宋_GB2312"/>
                <w:sz w:val="28"/>
              </w:rPr>
              <w:t>1万元(含1万元)，由甲方负责承担。</w:t>
            </w:r>
          </w:p>
          <w:p>
            <w:pPr>
              <w:pStyle w:val="null3"/>
              <w:ind w:firstLine="243"/>
              <w:jc w:val="both"/>
            </w:pPr>
            <w:r>
              <w:rPr>
                <w:rFonts w:ascii="仿宋_GB2312" w:hAnsi="仿宋_GB2312" w:cs="仿宋_GB2312" w:eastAsia="仿宋_GB2312"/>
                <w:sz w:val="28"/>
              </w:rPr>
              <w:t>⑨</w:t>
            </w:r>
            <w:r>
              <w:rPr>
                <w:rFonts w:ascii="仿宋_GB2312" w:hAnsi="仿宋_GB2312" w:cs="仿宋_GB2312" w:eastAsia="仿宋_GB2312"/>
                <w:sz w:val="28"/>
              </w:rPr>
              <w:t>乙方在运营期间若需对现有的工艺进行调整，需上报甲方审核同意。</w:t>
            </w:r>
          </w:p>
          <w:p>
            <w:pPr>
              <w:pStyle w:val="null3"/>
              <w:ind w:firstLine="243"/>
              <w:jc w:val="both"/>
            </w:pPr>
            <w:r>
              <w:rPr>
                <w:rFonts w:ascii="仿宋_GB2312" w:hAnsi="仿宋_GB2312" w:cs="仿宋_GB2312" w:eastAsia="仿宋_GB2312"/>
                <w:sz w:val="28"/>
              </w:rPr>
              <w:t>⑩</w:t>
            </w:r>
            <w:r>
              <w:rPr>
                <w:rFonts w:ascii="仿宋_GB2312" w:hAnsi="仿宋_GB2312" w:cs="仿宋_GB2312" w:eastAsia="仿宋_GB2312"/>
                <w:sz w:val="28"/>
              </w:rPr>
              <w:t>乙方在填埋场运营管理必须要严格执行国家有效的现行规范、规定及规程，遵守中华人民共和国有关法律、法规及本项目有关的规定。中标人</w:t>
            </w:r>
            <w:r>
              <w:rPr>
                <w:rFonts w:ascii="仿宋_GB2312" w:hAnsi="仿宋_GB2312" w:cs="仿宋_GB2312" w:eastAsia="仿宋_GB2312"/>
                <w:sz w:val="28"/>
              </w:rPr>
              <w:t>根据产权权属对</w:t>
            </w:r>
            <w:r>
              <w:rPr>
                <w:rFonts w:ascii="仿宋_GB2312" w:hAnsi="仿宋_GB2312" w:cs="仿宋_GB2312" w:eastAsia="仿宋_GB2312"/>
                <w:sz w:val="28"/>
              </w:rPr>
              <w:t>渗滤液处理</w:t>
            </w:r>
            <w:r>
              <w:rPr>
                <w:rFonts w:ascii="仿宋_GB2312" w:hAnsi="仿宋_GB2312" w:cs="仿宋_GB2312" w:eastAsia="仿宋_GB2312"/>
                <w:sz w:val="28"/>
              </w:rPr>
              <w:t>设备</w:t>
            </w:r>
            <w:r>
              <w:rPr>
                <w:rFonts w:ascii="仿宋_GB2312" w:hAnsi="仿宋_GB2312" w:cs="仿宋_GB2312" w:eastAsia="仿宋_GB2312"/>
                <w:sz w:val="28"/>
              </w:rPr>
              <w:t>及其附属设施的日常运营及维护保养。</w:t>
            </w:r>
          </w:p>
          <w:p>
            <w:pPr>
              <w:pStyle w:val="null3"/>
              <w:ind w:firstLine="243"/>
              <w:jc w:val="both"/>
            </w:pPr>
            <w:r>
              <w:rPr>
                <w:rFonts w:ascii="仿宋_GB2312" w:hAnsi="仿宋_GB2312" w:cs="仿宋_GB2312" w:eastAsia="仿宋_GB2312"/>
                <w:sz w:val="28"/>
              </w:rPr>
              <w:t>★</w:t>
            </w:r>
            <w:r>
              <w:rPr>
                <w:rFonts w:ascii="仿宋_GB2312" w:hAnsi="仿宋_GB2312" w:cs="仿宋_GB2312" w:eastAsia="仿宋_GB2312"/>
                <w:sz w:val="28"/>
              </w:rPr>
              <w:t>⑪</w:t>
            </w:r>
            <w:r>
              <w:rPr>
                <w:rFonts w:ascii="仿宋_GB2312" w:hAnsi="仿宋_GB2312" w:cs="仿宋_GB2312" w:eastAsia="仿宋_GB2312"/>
                <w:sz w:val="28"/>
              </w:rPr>
              <w:t>应选派技术水平高、有实际经验、熟悉设备和系统的专业技术人员完成本项目各项工作，有义务协助各类检查工作，执行各项条款和规定，确保渗滤液处理厂设备系统安全、经济运行各项指标；在运营期间，服从采购人统一调度，合理安排工作人员工作时间，拟派团队人员不低于</w:t>
            </w:r>
            <w:r>
              <w:rPr>
                <w:rFonts w:ascii="仿宋_GB2312" w:hAnsi="仿宋_GB2312" w:cs="仿宋_GB2312" w:eastAsia="仿宋_GB2312"/>
                <w:sz w:val="28"/>
              </w:rPr>
              <w:t>5名工作人员进驻作业，工作人员具有国家认可的作业资质。其中总负责人1</w:t>
            </w:r>
            <w:r>
              <w:rPr>
                <w:rFonts w:ascii="仿宋_GB2312" w:hAnsi="仿宋_GB2312" w:cs="仿宋_GB2312" w:eastAsia="仿宋_GB2312"/>
                <w:sz w:val="28"/>
              </w:rPr>
              <w:t>名</w:t>
            </w:r>
            <w:r>
              <w:rPr>
                <w:rFonts w:ascii="仿宋_GB2312" w:hAnsi="仿宋_GB2312" w:cs="仿宋_GB2312" w:eastAsia="仿宋_GB2312"/>
                <w:sz w:val="28"/>
              </w:rPr>
              <w:t>、技术人员</w:t>
            </w:r>
            <w:r>
              <w:rPr>
                <w:rFonts w:ascii="仿宋_GB2312" w:hAnsi="仿宋_GB2312" w:cs="仿宋_GB2312" w:eastAsia="仿宋_GB2312"/>
                <w:sz w:val="28"/>
              </w:rPr>
              <w:t>2名</w:t>
            </w:r>
            <w:r>
              <w:rPr>
                <w:rFonts w:ascii="仿宋_GB2312" w:hAnsi="仿宋_GB2312" w:cs="仿宋_GB2312" w:eastAsia="仿宋_GB2312"/>
                <w:sz w:val="28"/>
              </w:rPr>
              <w:t>，运维人员</w:t>
            </w:r>
            <w:r>
              <w:rPr>
                <w:rFonts w:ascii="仿宋_GB2312" w:hAnsi="仿宋_GB2312" w:cs="仿宋_GB2312" w:eastAsia="仿宋_GB2312"/>
                <w:sz w:val="28"/>
              </w:rPr>
              <w:t>2名</w:t>
            </w:r>
            <w:r>
              <w:rPr>
                <w:rFonts w:ascii="仿宋_GB2312" w:hAnsi="仿宋_GB2312" w:cs="仿宋_GB2312" w:eastAsia="仿宋_GB2312"/>
                <w:sz w:val="28"/>
              </w:rPr>
              <w:t>，</w:t>
            </w:r>
            <w:r>
              <w:rPr>
                <w:rFonts w:ascii="仿宋_GB2312" w:hAnsi="仿宋_GB2312" w:cs="仿宋_GB2312" w:eastAsia="仿宋_GB2312"/>
                <w:sz w:val="28"/>
              </w:rPr>
              <w:t>提供承诺函，格式自拟</w:t>
            </w:r>
            <w:r>
              <w:rPr>
                <w:rFonts w:ascii="仿宋_GB2312" w:hAnsi="仿宋_GB2312" w:cs="仿宋_GB2312" w:eastAsia="仿宋_GB2312"/>
                <w:sz w:val="28"/>
              </w:rPr>
              <w:t>。</w:t>
            </w:r>
          </w:p>
          <w:p>
            <w:pPr>
              <w:pStyle w:val="null3"/>
              <w:ind w:firstLine="243"/>
              <w:jc w:val="both"/>
            </w:pPr>
            <w:r>
              <w:rPr>
                <w:rFonts w:ascii="仿宋_GB2312" w:hAnsi="仿宋_GB2312" w:cs="仿宋_GB2312" w:eastAsia="仿宋_GB2312"/>
                <w:sz w:val="28"/>
              </w:rPr>
              <w:t>⑫</w:t>
            </w:r>
            <w:r>
              <w:rPr>
                <w:rFonts w:ascii="仿宋_GB2312" w:hAnsi="仿宋_GB2312" w:cs="仿宋_GB2312" w:eastAsia="仿宋_GB2312"/>
                <w:sz w:val="28"/>
              </w:rPr>
              <w:t>中标人负责计量系统的日常维护，当计量系统发生故障时，负责维修及检测、标定并承担其费用，应及时报告采购人。</w:t>
            </w:r>
          </w:p>
          <w:p>
            <w:pPr>
              <w:pStyle w:val="null3"/>
              <w:ind w:firstLine="243"/>
              <w:jc w:val="both"/>
            </w:pPr>
            <w:r>
              <w:rPr>
                <w:rFonts w:ascii="仿宋_GB2312" w:hAnsi="仿宋_GB2312" w:cs="仿宋_GB2312" w:eastAsia="仿宋_GB2312"/>
                <w:sz w:val="28"/>
              </w:rPr>
              <w:t>⑬</w:t>
            </w:r>
            <w:r>
              <w:rPr>
                <w:rFonts w:ascii="仿宋_GB2312" w:hAnsi="仿宋_GB2312" w:cs="仿宋_GB2312" w:eastAsia="仿宋_GB2312"/>
                <w:sz w:val="28"/>
              </w:rPr>
              <w:t>做好原料及药剂的采购、保管、使用等环节的安全；采购人提供硫酸备案协助，投标人承担其费用、保管和安全使用的责任，并配合行政主管部门的监督并按规定建立台账。</w:t>
            </w:r>
          </w:p>
          <w:p>
            <w:pPr>
              <w:pStyle w:val="null3"/>
              <w:ind w:firstLine="243"/>
              <w:jc w:val="both"/>
            </w:pPr>
            <w:r>
              <w:rPr>
                <w:rFonts w:ascii="仿宋_GB2312" w:hAnsi="仿宋_GB2312" w:cs="仿宋_GB2312" w:eastAsia="仿宋_GB2312"/>
                <w:sz w:val="28"/>
              </w:rPr>
              <w:t>⑭</w:t>
            </w:r>
            <w:r>
              <w:rPr>
                <w:rFonts w:ascii="仿宋_GB2312" w:hAnsi="仿宋_GB2312" w:cs="仿宋_GB2312" w:eastAsia="仿宋_GB2312"/>
                <w:sz w:val="28"/>
              </w:rPr>
              <w:t>关系协调情况：运营期间，由中标人自行协调与各方的配合关系。</w:t>
            </w:r>
          </w:p>
          <w:p>
            <w:pPr>
              <w:pStyle w:val="null3"/>
              <w:ind w:firstLine="243"/>
              <w:jc w:val="both"/>
            </w:pPr>
            <w:r>
              <w:rPr>
                <w:rFonts w:ascii="仿宋_GB2312" w:hAnsi="仿宋_GB2312" w:cs="仿宋_GB2312" w:eastAsia="仿宋_GB2312"/>
                <w:sz w:val="28"/>
              </w:rPr>
              <w:t>⑮</w:t>
            </w:r>
            <w:r>
              <w:rPr>
                <w:rFonts w:ascii="仿宋_GB2312" w:hAnsi="仿宋_GB2312" w:cs="仿宋_GB2312" w:eastAsia="仿宋_GB2312"/>
                <w:sz w:val="28"/>
              </w:rPr>
              <w:t>设备归属权：采购人所有的运营处理设备设施，项目运营服务结束后中标人不得随意移走设备；中标人新增的设备设施，归中标人所有，项目运营服务结束后中标人</w:t>
            </w:r>
            <w:r>
              <w:rPr>
                <w:rFonts w:ascii="仿宋_GB2312" w:hAnsi="仿宋_GB2312" w:cs="仿宋_GB2312" w:eastAsia="仿宋_GB2312"/>
                <w:sz w:val="28"/>
              </w:rPr>
              <w:t>在</w:t>
            </w:r>
            <w:r>
              <w:rPr>
                <w:rFonts w:ascii="仿宋_GB2312" w:hAnsi="仿宋_GB2312" w:cs="仿宋_GB2312" w:eastAsia="仿宋_GB2312"/>
                <w:sz w:val="28"/>
              </w:rPr>
              <w:t>10个工作日内</w:t>
            </w:r>
            <w:r>
              <w:rPr>
                <w:rFonts w:ascii="仿宋_GB2312" w:hAnsi="仿宋_GB2312" w:cs="仿宋_GB2312" w:eastAsia="仿宋_GB2312"/>
                <w:sz w:val="28"/>
              </w:rPr>
              <w:t>自行移走</w:t>
            </w:r>
            <w:r>
              <w:rPr>
                <w:rFonts w:ascii="仿宋_GB2312" w:hAnsi="仿宋_GB2312" w:cs="仿宋_GB2312" w:eastAsia="仿宋_GB2312"/>
                <w:sz w:val="28"/>
              </w:rPr>
              <w:t>，</w:t>
            </w:r>
            <w:r>
              <w:rPr>
                <w:rFonts w:ascii="仿宋_GB2312" w:hAnsi="仿宋_GB2312" w:cs="仿宋_GB2312" w:eastAsia="仿宋_GB2312"/>
                <w:sz w:val="28"/>
              </w:rPr>
              <w:t>逾期当做无主处理</w:t>
            </w:r>
            <w:r>
              <w:rPr>
                <w:rFonts w:ascii="仿宋_GB2312" w:hAnsi="仿宋_GB2312" w:cs="仿宋_GB2312" w:eastAsia="仿宋_GB2312"/>
                <w:sz w:val="28"/>
              </w:rPr>
              <w:t>。如项目需要，可由采购人或新运营方回购设备。</w:t>
            </w:r>
          </w:p>
          <w:p>
            <w:pPr>
              <w:pStyle w:val="null3"/>
              <w:ind w:firstLine="243"/>
              <w:jc w:val="both"/>
            </w:pPr>
            <w:r>
              <w:rPr>
                <w:rFonts w:ascii="仿宋_GB2312" w:hAnsi="仿宋_GB2312" w:cs="仿宋_GB2312" w:eastAsia="仿宋_GB2312"/>
                <w:sz w:val="28"/>
              </w:rPr>
              <w:t>⑯</w:t>
            </w:r>
            <w:r>
              <w:rPr>
                <w:rFonts w:ascii="仿宋_GB2312" w:hAnsi="仿宋_GB2312" w:cs="仿宋_GB2312" w:eastAsia="仿宋_GB2312"/>
                <w:sz w:val="28"/>
              </w:rPr>
              <w:t>制定并落实相应的安全管理制度：如作业培训、有限空间作业制度、危化品使用管理制度等，避免任何安全生产事故的发生。</w:t>
            </w:r>
          </w:p>
          <w:p>
            <w:pPr>
              <w:pStyle w:val="null3"/>
              <w:ind w:firstLine="243"/>
              <w:jc w:val="both"/>
            </w:pPr>
            <w:r>
              <w:rPr>
                <w:rFonts w:ascii="仿宋_GB2312" w:hAnsi="仿宋_GB2312" w:cs="仿宋_GB2312" w:eastAsia="仿宋_GB2312"/>
                <w:sz w:val="28"/>
              </w:rPr>
              <w:t>⑰</w:t>
            </w:r>
            <w:r>
              <w:rPr>
                <w:rFonts w:ascii="仿宋_GB2312" w:hAnsi="仿宋_GB2312" w:cs="仿宋_GB2312" w:eastAsia="仿宋_GB2312"/>
                <w:sz w:val="28"/>
              </w:rPr>
              <w:t>制定相应的应急预案：如在突发性污染事故发生后，迅速、高效、有序地开展污染事故的应急处理工作，最大限度的避免和控制污染的扩大；确定潜在的事故、事件或紧急情况，确保经过处理的污水中的污染物浓度符合国家污水综合排放标准的有关规定，并能在事故发生后迅速有效控制处理。</w:t>
            </w:r>
          </w:p>
          <w:p>
            <w:pPr>
              <w:pStyle w:val="null3"/>
              <w:ind w:firstLine="243"/>
              <w:jc w:val="both"/>
            </w:pPr>
            <w:r>
              <w:rPr>
                <w:rFonts w:ascii="仿宋_GB2312" w:hAnsi="仿宋_GB2312" w:cs="仿宋_GB2312" w:eastAsia="仿宋_GB2312"/>
                <w:sz w:val="28"/>
              </w:rPr>
              <w:t>⑱</w:t>
            </w:r>
            <w:r>
              <w:rPr>
                <w:rFonts w:ascii="仿宋_GB2312" w:hAnsi="仿宋_GB2312" w:cs="仿宋_GB2312" w:eastAsia="仿宋_GB2312"/>
                <w:sz w:val="28"/>
              </w:rPr>
              <w:t>乙方在运维期间要提高作业安全生产意识，因工作疏忽或玩忽职守等原因造成渗滤液外流，甲方有权扣除乙方运营费</w:t>
            </w:r>
            <w:r>
              <w:rPr>
                <w:rFonts w:ascii="仿宋_GB2312" w:hAnsi="仿宋_GB2312" w:cs="仿宋_GB2312" w:eastAsia="仿宋_GB2312"/>
                <w:sz w:val="28"/>
              </w:rPr>
              <w:t>2万元，并按照有关国家规定要求追究相关法律责任。</w:t>
            </w:r>
          </w:p>
          <w:p>
            <w:pPr>
              <w:pStyle w:val="null3"/>
              <w:ind w:firstLine="243"/>
              <w:jc w:val="both"/>
            </w:pPr>
            <w:r>
              <w:rPr>
                <w:rFonts w:ascii="仿宋_GB2312" w:hAnsi="仿宋_GB2312" w:cs="仿宋_GB2312" w:eastAsia="仿宋_GB2312"/>
                <w:sz w:val="28"/>
              </w:rPr>
              <w:t>⑲</w:t>
            </w:r>
            <w:r>
              <w:rPr>
                <w:rFonts w:ascii="仿宋_GB2312" w:hAnsi="仿宋_GB2312" w:cs="仿宋_GB2312" w:eastAsia="仿宋_GB2312"/>
                <w:sz w:val="28"/>
              </w:rPr>
              <w:t>乙方在运维期间，因乙方作业规范未达到国家标准，导致被处罚或通报批评的，甲方有权要求乙方限期整改或扣除运营费</w:t>
            </w:r>
            <w:r>
              <w:rPr>
                <w:rFonts w:ascii="仿宋_GB2312" w:hAnsi="仿宋_GB2312" w:cs="仿宋_GB2312" w:eastAsia="仿宋_GB2312"/>
                <w:sz w:val="28"/>
              </w:rPr>
              <w:t>2万元。</w:t>
            </w:r>
          </w:p>
          <w:p>
            <w:pPr>
              <w:pStyle w:val="null3"/>
              <w:ind w:firstLine="243"/>
              <w:jc w:val="both"/>
            </w:pPr>
            <w:r>
              <w:rPr>
                <w:rFonts w:ascii="仿宋_GB2312" w:hAnsi="仿宋_GB2312" w:cs="仿宋_GB2312" w:eastAsia="仿宋_GB2312"/>
                <w:sz w:val="28"/>
              </w:rPr>
              <w:t>5.进、出水量计量</w:t>
            </w:r>
          </w:p>
          <w:p>
            <w:pPr>
              <w:pStyle w:val="null3"/>
              <w:ind w:firstLine="243"/>
              <w:jc w:val="both"/>
            </w:pPr>
            <w:r>
              <w:rPr>
                <w:rFonts w:ascii="仿宋_GB2312" w:hAnsi="仿宋_GB2312" w:cs="仿宋_GB2312" w:eastAsia="仿宋_GB2312"/>
                <w:sz w:val="28"/>
              </w:rPr>
              <w:t>①</w:t>
            </w:r>
            <w:r>
              <w:rPr>
                <w:rFonts w:ascii="仿宋_GB2312" w:hAnsi="仿宋_GB2312" w:cs="仿宋_GB2312" w:eastAsia="仿宋_GB2312"/>
                <w:sz w:val="28"/>
              </w:rPr>
              <w:t>乙方于每一运营日处理的渗滤液数量应使用进水流量表计量，于每一运营日排出的渗滤液数量应使用出水流量表计量。</w:t>
            </w:r>
          </w:p>
          <w:p>
            <w:pPr>
              <w:pStyle w:val="null3"/>
              <w:ind w:firstLine="243"/>
              <w:jc w:val="both"/>
            </w:pPr>
            <w:r>
              <w:rPr>
                <w:rFonts w:ascii="仿宋_GB2312" w:hAnsi="仿宋_GB2312" w:cs="仿宋_GB2312" w:eastAsia="仿宋_GB2312"/>
                <w:sz w:val="28"/>
              </w:rPr>
              <w:t>②</w:t>
            </w:r>
            <w:r>
              <w:rPr>
                <w:rFonts w:ascii="仿宋_GB2312" w:hAnsi="仿宋_GB2312" w:cs="仿宋_GB2312" w:eastAsia="仿宋_GB2312"/>
                <w:sz w:val="28"/>
              </w:rPr>
              <w:t>甲方每年应至少一次报请有资质的第三方对进出水流量表进行检测，检测费用由甲方负责，校准合格后，由甲方和乙方双方共同签章密封。第三方单位应具有政府质量技术监督管理部门认定的</w:t>
            </w:r>
            <w:r>
              <w:rPr>
                <w:rFonts w:ascii="仿宋_GB2312" w:hAnsi="仿宋_GB2312" w:cs="仿宋_GB2312" w:eastAsia="仿宋_GB2312"/>
                <w:sz w:val="28"/>
              </w:rPr>
              <w:t>“承担计量器具(强制)检定、测试、校准，提供相关技术检测与咨询服务”资质。检测校准周期之日为密封条上标示的日期。</w:t>
            </w:r>
          </w:p>
          <w:p>
            <w:pPr>
              <w:pStyle w:val="null3"/>
              <w:ind w:firstLine="243"/>
              <w:jc w:val="both"/>
            </w:pPr>
            <w:r>
              <w:rPr>
                <w:rFonts w:ascii="仿宋_GB2312" w:hAnsi="仿宋_GB2312" w:cs="仿宋_GB2312" w:eastAsia="仿宋_GB2312"/>
                <w:sz w:val="28"/>
              </w:rPr>
              <w:t>③</w:t>
            </w:r>
            <w:r>
              <w:rPr>
                <w:rFonts w:ascii="仿宋_GB2312" w:hAnsi="仿宋_GB2312" w:cs="仿宋_GB2312" w:eastAsia="仿宋_GB2312"/>
                <w:sz w:val="28"/>
              </w:rPr>
              <w:t>若计量装置发生意外故障，相关流量情况无法通过参考其他流量计获得且无法正常维护的情况下，原则上以故障发生日前正常处理</w:t>
            </w:r>
            <w:r>
              <w:rPr>
                <w:rFonts w:ascii="仿宋_GB2312" w:hAnsi="仿宋_GB2312" w:cs="仿宋_GB2312" w:eastAsia="仿宋_GB2312"/>
                <w:sz w:val="28"/>
              </w:rPr>
              <w:t>7天的日平均值为参照。甲方应确保两套以上计量设备备品备件，使于计量设备故障时，可以随时更换维修。</w:t>
            </w:r>
          </w:p>
          <w:p>
            <w:pPr>
              <w:pStyle w:val="null3"/>
              <w:ind w:firstLine="243"/>
              <w:jc w:val="both"/>
            </w:pPr>
            <w:r>
              <w:rPr>
                <w:rFonts w:ascii="仿宋_GB2312" w:hAnsi="仿宋_GB2312" w:cs="仿宋_GB2312" w:eastAsia="仿宋_GB2312"/>
                <w:sz w:val="28"/>
              </w:rPr>
              <w:t>④</w:t>
            </w:r>
            <w:r>
              <w:rPr>
                <w:rFonts w:ascii="仿宋_GB2312" w:hAnsi="仿宋_GB2312" w:cs="仿宋_GB2312" w:eastAsia="仿宋_GB2312"/>
                <w:sz w:val="28"/>
              </w:rPr>
              <w:t>甲方可以不定期直接委托有资质的第三方抽验流量表，抽验结果合格的</w:t>
            </w:r>
            <w:r>
              <w:rPr>
                <w:rFonts w:ascii="仿宋_GB2312" w:hAnsi="仿宋_GB2312" w:cs="仿宋_GB2312" w:eastAsia="仿宋_GB2312"/>
                <w:sz w:val="28"/>
              </w:rPr>
              <w:t>,其费用由业主承担:结果不合格的，则由乙方承担费用，如实际误差超过士3%，按实际误差对最近两次检测期间总量的 50%进行调整。上述抽验结果不合格时对计量数据的调整方法同样适用于本条第二款乙方委托第三方对流量表的检测。</w:t>
            </w:r>
          </w:p>
          <w:p>
            <w:pPr>
              <w:pStyle w:val="null3"/>
              <w:ind w:firstLine="243"/>
              <w:jc w:val="both"/>
            </w:pPr>
            <w:r>
              <w:rPr>
                <w:rFonts w:ascii="仿宋_GB2312" w:hAnsi="仿宋_GB2312" w:cs="仿宋_GB2312" w:eastAsia="仿宋_GB2312"/>
                <w:sz w:val="28"/>
              </w:rPr>
              <w:t>⑤</w:t>
            </w:r>
            <w:r>
              <w:rPr>
                <w:rFonts w:ascii="仿宋_GB2312" w:hAnsi="仿宋_GB2312" w:cs="仿宋_GB2312" w:eastAsia="仿宋_GB2312"/>
                <w:sz w:val="28"/>
              </w:rPr>
              <w:t>流量表的保养和维修，应出具备资质的专业机构进行，并出具合格证明</w:t>
            </w:r>
            <w:r>
              <w:rPr>
                <w:rFonts w:ascii="仿宋_GB2312" w:hAnsi="仿宋_GB2312" w:cs="仿宋_GB2312" w:eastAsia="仿宋_GB2312"/>
                <w:sz w:val="28"/>
              </w:rPr>
              <w:t>;流量表需要保养维修时，乙方须提前3个工作日书面通知甲方，由甲方委托第三方进行保养和维护。</w:t>
            </w:r>
          </w:p>
          <w:p>
            <w:pPr>
              <w:pStyle w:val="null3"/>
              <w:ind w:firstLine="243"/>
              <w:jc w:val="both"/>
            </w:pPr>
            <w:r>
              <w:rPr>
                <w:rFonts w:ascii="仿宋_GB2312" w:hAnsi="仿宋_GB2312" w:cs="仿宋_GB2312" w:eastAsia="仿宋_GB2312"/>
                <w:sz w:val="28"/>
              </w:rPr>
              <w:t>⑥</w:t>
            </w:r>
            <w:r>
              <w:rPr>
                <w:rFonts w:ascii="仿宋_GB2312" w:hAnsi="仿宋_GB2312" w:cs="仿宋_GB2312" w:eastAsia="仿宋_GB2312"/>
                <w:sz w:val="28"/>
              </w:rPr>
              <w:t>流量表故障时乙方应停止相关工序的进、出水，并通知甲方监管人员到达现场签字确认，直至甲方监管人员确认故障解除为止，之间发生的所有数据</w:t>
            </w:r>
            <w:r>
              <w:rPr>
                <w:rFonts w:ascii="仿宋_GB2312" w:hAnsi="仿宋_GB2312" w:cs="仿宋_GB2312" w:eastAsia="仿宋_GB2312"/>
                <w:sz w:val="28"/>
              </w:rPr>
              <w:t>(包括自动生成的数据)必须经甲方监管人员确认，否则为争议数据。争议数据在各方未达成一致意见前，应停止该部分数据对应的费用支付。牵涉第三方的应由第三方参与确认。</w:t>
            </w:r>
          </w:p>
          <w:p>
            <w:pPr>
              <w:pStyle w:val="null3"/>
              <w:ind w:firstLine="243"/>
              <w:jc w:val="both"/>
            </w:pPr>
            <w:r>
              <w:rPr>
                <w:rFonts w:ascii="仿宋_GB2312" w:hAnsi="仿宋_GB2312" w:cs="仿宋_GB2312" w:eastAsia="仿宋_GB2312"/>
                <w:sz w:val="28"/>
              </w:rPr>
              <w:t>⑦</w:t>
            </w:r>
            <w:r>
              <w:rPr>
                <w:rFonts w:ascii="仿宋_GB2312" w:hAnsi="仿宋_GB2312" w:cs="仿宋_GB2312" w:eastAsia="仿宋_GB2312"/>
                <w:sz w:val="28"/>
              </w:rPr>
              <w:t>乙方承诺若每月平均出水率至少达到</w:t>
            </w:r>
            <w:r>
              <w:rPr>
                <w:rFonts w:ascii="仿宋_GB2312" w:hAnsi="仿宋_GB2312" w:cs="仿宋_GB2312" w:eastAsia="仿宋_GB2312"/>
                <w:sz w:val="28"/>
              </w:rPr>
              <w:t>60％以上，否则甲方有权解除合同。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243"/>
              <w:jc w:val="both"/>
            </w:pPr>
            <w:r>
              <w:rPr>
                <w:rFonts w:ascii="仿宋_GB2312" w:hAnsi="仿宋_GB2312" w:cs="仿宋_GB2312" w:eastAsia="仿宋_GB2312"/>
                <w:sz w:val="28"/>
              </w:rPr>
              <w:t>1.验收：项目验收过程由采购人组织项目验收小组进行验收。验收标准应参照国家及行业强制标准。</w:t>
            </w:r>
          </w:p>
          <w:p>
            <w:pPr>
              <w:pStyle w:val="null3"/>
              <w:ind w:firstLine="243"/>
              <w:jc w:val="both"/>
            </w:pPr>
            <w:r>
              <w:rPr>
                <w:rFonts w:ascii="仿宋_GB2312" w:hAnsi="仿宋_GB2312" w:cs="仿宋_GB2312" w:eastAsia="仿宋_GB2312"/>
                <w:sz w:val="28"/>
              </w:rPr>
              <w:t>2.服务期：本项目招标服务期为三年，合同一年一签(自合同签订之日起计算，经采购人考核合格后，续签下一年度合同，总服务期不超过三年)。</w:t>
            </w:r>
          </w:p>
          <w:p>
            <w:pPr>
              <w:pStyle w:val="null3"/>
              <w:ind w:firstLine="243"/>
              <w:jc w:val="both"/>
            </w:pPr>
            <w:r>
              <w:rPr>
                <w:rFonts w:ascii="仿宋_GB2312" w:hAnsi="仿宋_GB2312" w:cs="仿宋_GB2312" w:eastAsia="仿宋_GB2312"/>
                <w:sz w:val="28"/>
              </w:rPr>
              <w:t>3</w:t>
            </w:r>
            <w:r>
              <w:rPr>
                <w:rFonts w:ascii="仿宋_GB2312" w:hAnsi="仿宋_GB2312" w:cs="仿宋_GB2312" w:eastAsia="仿宋_GB2312"/>
                <w:sz w:val="28"/>
              </w:rPr>
              <w:t>.运营期间，乙方应使本厂厂区保持在良好、干净、整齐及清洁的状态，包括实施必需的修理、购买及保存本厂必需的替换设备或零件，并保存适当库存量的零件与设备，清除和处理维修所产生的废料及报废的设备(残余价值之收入归乙方所有)。</w:t>
            </w:r>
          </w:p>
          <w:p>
            <w:pPr>
              <w:pStyle w:val="null3"/>
              <w:ind w:firstLine="243"/>
              <w:jc w:val="both"/>
            </w:pPr>
            <w:r>
              <w:rPr>
                <w:rFonts w:ascii="仿宋_GB2312" w:hAnsi="仿宋_GB2312" w:cs="仿宋_GB2312" w:eastAsia="仿宋_GB2312"/>
                <w:sz w:val="28"/>
              </w:rPr>
              <w:t>4.</w:t>
            </w:r>
            <w:r>
              <w:rPr>
                <w:rFonts w:ascii="仿宋_GB2312" w:hAnsi="仿宋_GB2312" w:cs="仿宋_GB2312" w:eastAsia="仿宋_GB2312"/>
                <w:sz w:val="28"/>
              </w:rPr>
              <w:t>付款方式：每月月底，甲方及相关部门安排专人对渗滤液处理量进行登记并核对，双方确认无误后签字确定该月渗滤液处理量</w:t>
            </w:r>
            <w:r>
              <w:rPr>
                <w:rFonts w:ascii="仿宋_GB2312" w:hAnsi="仿宋_GB2312" w:cs="仿宋_GB2312" w:eastAsia="仿宋_GB2312"/>
                <w:sz w:val="28"/>
              </w:rPr>
              <w:t>(出水量)，以此作为每月渗滤液处理费用的支付凭据</w:t>
            </w:r>
            <w:r>
              <w:rPr>
                <w:rFonts w:ascii="仿宋_GB2312" w:hAnsi="仿宋_GB2312" w:cs="仿宋_GB2312" w:eastAsia="仿宋_GB2312"/>
                <w:sz w:val="28"/>
              </w:rPr>
              <w:t>。</w:t>
            </w:r>
            <w:r>
              <w:rPr>
                <w:rFonts w:ascii="仿宋_GB2312" w:hAnsi="仿宋_GB2312" w:cs="仿宋_GB2312" w:eastAsia="仿宋_GB2312"/>
                <w:sz w:val="28"/>
              </w:rPr>
              <w:t>经甲方审查符合要求的，甲方在次月</w:t>
            </w:r>
            <w:r>
              <w:rPr>
                <w:rFonts w:ascii="仿宋_GB2312" w:hAnsi="仿宋_GB2312" w:cs="仿宋_GB2312" w:eastAsia="仿宋_GB2312"/>
                <w:sz w:val="28"/>
              </w:rPr>
              <w:t>10日前以银行转账的方式向乙方账户支付上月服务费用，每月服务费用如下:</w:t>
            </w:r>
          </w:p>
          <w:p>
            <w:pPr>
              <w:pStyle w:val="null3"/>
              <w:ind w:firstLine="243"/>
              <w:jc w:val="both"/>
            </w:pPr>
            <w:r>
              <w:rPr>
                <w:rFonts w:ascii="仿宋_GB2312" w:hAnsi="仿宋_GB2312" w:cs="仿宋_GB2312" w:eastAsia="仿宋_GB2312"/>
                <w:sz w:val="28"/>
              </w:rPr>
              <w:t>当月服务费</w:t>
            </w:r>
            <w:r>
              <w:rPr>
                <w:rFonts w:ascii="仿宋_GB2312" w:hAnsi="仿宋_GB2312" w:cs="仿宋_GB2312" w:eastAsia="仿宋_GB2312"/>
                <w:sz w:val="28"/>
              </w:rPr>
              <w:t>=月渗滤液处理量(出水量)×渗滤液处理单价。</w:t>
            </w:r>
          </w:p>
          <w:p>
            <w:pPr>
              <w:pStyle w:val="null3"/>
              <w:ind w:firstLine="243"/>
              <w:jc w:val="both"/>
            </w:pPr>
            <w:r>
              <w:rPr>
                <w:rFonts w:ascii="仿宋_GB2312" w:hAnsi="仿宋_GB2312" w:cs="仿宋_GB2312" w:eastAsia="仿宋_GB2312"/>
                <w:sz w:val="28"/>
              </w:rPr>
              <w:t>若当月部分运营口渗滤液处理的指标未合格，应按双方约定的条款扣除相应的服务费。乙方须在甲方付款前</w:t>
            </w:r>
            <w:r>
              <w:rPr>
                <w:rFonts w:ascii="仿宋_GB2312" w:hAnsi="仿宋_GB2312" w:cs="仿宋_GB2312" w:eastAsia="仿宋_GB2312"/>
                <w:sz w:val="28"/>
              </w:rPr>
              <w:t>10</w:t>
            </w:r>
            <w:r>
              <w:rPr>
                <w:rFonts w:ascii="仿宋_GB2312" w:hAnsi="仿宋_GB2312" w:cs="仿宋_GB2312" w:eastAsia="仿宋_GB2312"/>
                <w:sz w:val="28"/>
              </w:rPr>
              <w:t>日，向甲方开具发票票面相关信息、价款等内容与本合同一致的合法、有效的增值税发票，否则甲方有权拒绝支付且不承担任何违约责任。如因财政拨款导致甲方付款迟延的，不视为甲方违约，付款期限顺延，乙方不得因此追究甲方逾期付款的责任。乙方在完成月份工作后，向甲方递交渗滤液处置费用发票及经甲乙双方签字确认的渗滤液处理量。</w:t>
            </w:r>
          </w:p>
          <w:p>
            <w:pPr>
              <w:pStyle w:val="null3"/>
              <w:ind w:firstLine="243"/>
              <w:jc w:val="both"/>
            </w:pPr>
            <w:r>
              <w:rPr>
                <w:rFonts w:ascii="仿宋_GB2312" w:hAnsi="仿宋_GB2312" w:cs="仿宋_GB2312" w:eastAsia="仿宋_GB2312"/>
                <w:sz w:val="28"/>
              </w:rPr>
              <w:t>本项目适用法规政策目录</w:t>
            </w:r>
          </w:p>
          <w:p>
            <w:pPr>
              <w:pStyle w:val="null3"/>
              <w:ind w:firstLine="243"/>
              <w:jc w:val="both"/>
            </w:pPr>
            <w:r>
              <w:rPr>
                <w:rFonts w:ascii="仿宋_GB2312" w:hAnsi="仿宋_GB2312" w:cs="仿宋_GB2312" w:eastAsia="仿宋_GB2312"/>
                <w:sz w:val="28"/>
              </w:rPr>
              <w:t>《污水综合排放标准》</w:t>
            </w:r>
            <w:r>
              <w:rPr>
                <w:rFonts w:ascii="仿宋_GB2312" w:hAnsi="仿宋_GB2312" w:cs="仿宋_GB2312" w:eastAsia="仿宋_GB2312"/>
                <w:sz w:val="28"/>
              </w:rPr>
              <w:t>(GB8978-1996)</w:t>
            </w:r>
          </w:p>
          <w:p>
            <w:pPr>
              <w:pStyle w:val="null3"/>
              <w:ind w:firstLine="243"/>
              <w:jc w:val="both"/>
            </w:pPr>
            <w:r>
              <w:rPr>
                <w:rFonts w:ascii="仿宋_GB2312" w:hAnsi="仿宋_GB2312" w:cs="仿宋_GB2312" w:eastAsia="仿宋_GB2312"/>
                <w:sz w:val="28"/>
              </w:rPr>
              <w:t>《生活垃圾填埋场污染控制标准》</w:t>
            </w:r>
            <w:r>
              <w:rPr>
                <w:rFonts w:ascii="仿宋_GB2312" w:hAnsi="仿宋_GB2312" w:cs="仿宋_GB2312" w:eastAsia="仿宋_GB2312"/>
                <w:sz w:val="28"/>
              </w:rPr>
              <w:t>(GB16889-2008)</w:t>
            </w:r>
          </w:p>
          <w:p>
            <w:pPr>
              <w:pStyle w:val="null3"/>
              <w:ind w:firstLine="243"/>
              <w:jc w:val="both"/>
            </w:pPr>
            <w:r>
              <w:rPr>
                <w:rFonts w:ascii="仿宋_GB2312" w:hAnsi="仿宋_GB2312" w:cs="仿宋_GB2312" w:eastAsia="仿宋_GB2312"/>
                <w:sz w:val="28"/>
              </w:rPr>
              <w:t>《生活垃圾渗沥液处理技术规范》</w:t>
            </w:r>
            <w:r>
              <w:rPr>
                <w:rFonts w:ascii="仿宋_GB2312" w:hAnsi="仿宋_GB2312" w:cs="仿宋_GB2312" w:eastAsia="仿宋_GB2312"/>
                <w:sz w:val="28"/>
              </w:rPr>
              <w:t>(CJJ150-2010)</w:t>
            </w:r>
          </w:p>
          <w:p>
            <w:pPr>
              <w:pStyle w:val="null3"/>
              <w:ind w:firstLine="243"/>
              <w:jc w:val="both"/>
            </w:pPr>
            <w:r>
              <w:rPr>
                <w:rFonts w:ascii="仿宋_GB2312" w:hAnsi="仿宋_GB2312" w:cs="仿宋_GB2312" w:eastAsia="仿宋_GB2312"/>
                <w:sz w:val="28"/>
              </w:rPr>
              <w:t>《污水排入城市下水道水质标准》</w:t>
            </w:r>
            <w:r>
              <w:rPr>
                <w:rFonts w:ascii="仿宋_GB2312" w:hAnsi="仿宋_GB2312" w:cs="仿宋_GB2312" w:eastAsia="仿宋_GB2312"/>
                <w:sz w:val="28"/>
              </w:rPr>
              <w:t>(CJ343-2010)</w:t>
            </w:r>
          </w:p>
          <w:p>
            <w:pPr>
              <w:pStyle w:val="null3"/>
              <w:ind w:firstLine="243"/>
              <w:jc w:val="both"/>
            </w:pPr>
            <w:r>
              <w:rPr>
                <w:rFonts w:ascii="仿宋_GB2312" w:hAnsi="仿宋_GB2312" w:cs="仿宋_GB2312" w:eastAsia="仿宋_GB2312"/>
                <w:sz w:val="28"/>
              </w:rPr>
              <w:t>《室外排水设计规范</w:t>
            </w:r>
            <w:r>
              <w:rPr>
                <w:rFonts w:ascii="仿宋_GB2312" w:hAnsi="仿宋_GB2312" w:cs="仿宋_GB2312" w:eastAsia="仿宋_GB2312"/>
                <w:sz w:val="28"/>
              </w:rPr>
              <w:t>(2014年版)》(GB50014-2006)</w:t>
            </w:r>
          </w:p>
          <w:p>
            <w:pPr>
              <w:pStyle w:val="null3"/>
              <w:ind w:firstLine="243"/>
              <w:jc w:val="both"/>
            </w:pPr>
            <w:r>
              <w:rPr>
                <w:rFonts w:ascii="仿宋_GB2312" w:hAnsi="仿宋_GB2312" w:cs="仿宋_GB2312" w:eastAsia="仿宋_GB2312"/>
                <w:sz w:val="28"/>
              </w:rPr>
              <w:t>《地表水环境质量标准》</w:t>
            </w:r>
            <w:r>
              <w:rPr>
                <w:rFonts w:ascii="仿宋_GB2312" w:hAnsi="仿宋_GB2312" w:cs="仿宋_GB2312" w:eastAsia="仿宋_GB2312"/>
                <w:sz w:val="28"/>
              </w:rPr>
              <w:t>(GB3838-2002)</w:t>
            </w:r>
          </w:p>
          <w:p>
            <w:pPr>
              <w:pStyle w:val="null3"/>
              <w:ind w:firstLine="243"/>
              <w:jc w:val="both"/>
            </w:pPr>
            <w:r>
              <w:rPr>
                <w:rFonts w:ascii="仿宋_GB2312" w:hAnsi="仿宋_GB2312" w:cs="仿宋_GB2312" w:eastAsia="仿宋_GB2312"/>
                <w:sz w:val="28"/>
              </w:rPr>
              <w:t>《城市排水工程规划规范》</w:t>
            </w:r>
            <w:r>
              <w:rPr>
                <w:rFonts w:ascii="仿宋_GB2312" w:hAnsi="仿宋_GB2312" w:cs="仿宋_GB2312" w:eastAsia="仿宋_GB2312"/>
                <w:sz w:val="28"/>
              </w:rPr>
              <w:t>(GB50318-2000)</w:t>
            </w:r>
          </w:p>
          <w:p>
            <w:pPr>
              <w:pStyle w:val="null3"/>
              <w:ind w:firstLine="280"/>
              <w:jc w:val="left"/>
            </w:pPr>
            <w:r>
              <w:rPr>
                <w:rFonts w:ascii="仿宋_GB2312" w:hAnsi="仿宋_GB2312" w:cs="仿宋_GB2312" w:eastAsia="仿宋_GB2312"/>
                <w:sz w:val="28"/>
              </w:rPr>
              <w:t>《污水再生利用工程设计规范》</w:t>
            </w:r>
            <w:r>
              <w:rPr>
                <w:rFonts w:ascii="仿宋_GB2312" w:hAnsi="仿宋_GB2312" w:cs="仿宋_GB2312" w:eastAsia="仿宋_GB2312"/>
                <w:sz w:val="28"/>
              </w:rPr>
              <w:t>(GB50335-2002)等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项目团队成员配备 中小企业声明函 商务应答表 技术方案 自觉抵制政府采购领域商业贿赂行为承诺书 封面 商业信誉、财务会计制度、缴纳税收和社保的承诺函 具有独立承担民事责任的能力证明文件 业绩一览表 投标人承诺函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w:t>
            </w:r>
          </w:p>
        </w:tc>
        <w:tc>
          <w:tcPr>
            <w:tcW w:type="dxa" w:w="3322"/>
          </w:tcPr>
          <w:p>
            <w:pPr>
              <w:pStyle w:val="null3"/>
              <w:jc w:val="left"/>
            </w:pPr>
            <w:r>
              <w:rPr>
                <w:rFonts w:ascii="仿宋_GB2312" w:hAnsi="仿宋_GB2312" w:cs="仿宋_GB2312" w:eastAsia="仿宋_GB2312"/>
              </w:rPr>
              <w:t>满足采购需求★要求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运营方案</w:t>
            </w:r>
          </w:p>
        </w:tc>
        <w:tc>
          <w:tcPr>
            <w:tcW w:type="dxa" w:w="2492"/>
          </w:tcPr>
          <w:p>
            <w:pPr>
              <w:pStyle w:val="null3"/>
              <w:jc w:val="both"/>
            </w:pPr>
            <w:r>
              <w:rPr>
                <w:rFonts w:ascii="仿宋_GB2312" w:hAnsi="仿宋_GB2312" w:cs="仿宋_GB2312" w:eastAsia="仿宋_GB2312"/>
              </w:rPr>
              <w:t>根据投标人提供的运营管理方案(包括但不限于①设备运行管理方案；②人员职责与人员管理；③安全管理制 度；④质量保障措施；⑤环境保护管理措施等) A.运营方案科学合理，适用性强，思路清晰，内容全面，能够根据实际情况制订，满足采购人的需要，考虑问题周全，实施过程务实，各小项方案内容均提供，得15分。 B.运营方案科学合理，适用性强，满足采购人的需要，实施过程务实，小项方案内容提供，得11分。 C.运营方案基本能够满足采购人的需要，得7分。 D.运营方案不合理，得3分。 E.不提供者得0分。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工艺技术方案</w:t>
            </w:r>
          </w:p>
        </w:tc>
        <w:tc>
          <w:tcPr>
            <w:tcW w:type="dxa" w:w="2492"/>
          </w:tcPr>
          <w:p>
            <w:pPr>
              <w:pStyle w:val="null3"/>
              <w:jc w:val="both"/>
            </w:pPr>
            <w:r>
              <w:rPr>
                <w:rFonts w:ascii="仿宋_GB2312" w:hAnsi="仿宋_GB2312" w:cs="仿宋_GB2312" w:eastAsia="仿宋_GB2312"/>
              </w:rPr>
              <w:t>根据投标人提供的工艺技术方案(包括但不限于①处理工艺设计与选择；②工艺流程及工艺描述；③设备技术性能描述；④设备操作流程；⑤设备维护保养等) A.运营方案科学合理，适用性强，思路清晰，内容全面，能够根据实际情况制订，满足采购人的需要，考虑问题周全，实施过程务实，各小项方案内容均提供，得15分。 B.运营方案科学合理，适用性强，满足采购人的需要，实施过程务实，小项方案内容提供，得11分。 C.运营方案基本能够满足采购人的需要，得7分。 D.运营方案不合理，得3分。 E.不提供者得0分。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对本项目的了解与分析</w:t>
            </w:r>
          </w:p>
        </w:tc>
        <w:tc>
          <w:tcPr>
            <w:tcW w:type="dxa" w:w="2492"/>
          </w:tcPr>
          <w:p>
            <w:pPr>
              <w:pStyle w:val="null3"/>
              <w:jc w:val="both"/>
            </w:pPr>
            <w:r>
              <w:rPr>
                <w:rFonts w:ascii="仿宋_GB2312" w:hAnsi="仿宋_GB2312" w:cs="仿宋_GB2312" w:eastAsia="仿宋_GB2312"/>
              </w:rPr>
              <w:t>根据投标人提供的对本项目的了解与分析(包括但不限于①对本项目的了解及调研、现有工艺的了解；②现场情况或现有设备运行现状分析；③渗滤液水质情况的了解与分析；④本项目实施的重点难点梳理及对应解决措施等) A.运营方案科学合理，适用性强，思路清晰，内容全面，能够根据实际情况制订，满足采购人的需要，考虑问题周全，实施过程务实，各小项方案内容均提供，得15分。 B.运营方案科学合理，适用性强，满足采购人的需要，实施过程务实，小项方案内容提供，得11分。 C.运营方案基本能够满足采购人的需要，得7分。 D.运营方案不合理，得3分。 E.不提供者得0分。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A.售后服务适用性强，思路清晰，内容全面，能够根据实际情况制订，满足采购人的需要，考虑问题周全，实施过程务实，各项指标均能完成，得10分。 B.售后服务适用性强，满足采购人的需要，实施过程务实，各项指标均能完成，得7分。 C.售后服务基本能够满足采购人的需要，得3分。 D.售后服务不合理，得1分。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投标人提供2021年1月1日至今(以签订时间为准)投标人提供相关项目经验的，每提供1份合同业绩得6分，业绩满分为12分。 证明材料：提供清晰可辨的服务(合同)协议，复印件加盖公章，不提供不得分。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项目团队成员配备</w:t>
            </w:r>
          </w:p>
        </w:tc>
        <w:tc>
          <w:tcPr>
            <w:tcW w:type="dxa" w:w="2492"/>
          </w:tcPr>
          <w:p>
            <w:pPr>
              <w:pStyle w:val="null3"/>
              <w:jc w:val="both"/>
            </w:pPr>
            <w:r>
              <w:rPr>
                <w:rFonts w:ascii="仿宋_GB2312" w:hAnsi="仿宋_GB2312" w:cs="仿宋_GB2312" w:eastAsia="仿宋_GB2312"/>
              </w:rPr>
              <w:t>满足采购需求工作人员最低配置5名且具有以下证书得： 1.总负责人1名：具有注册环保工程师证书得3分。 2.技术人员2名：具有环保或环境类(环境工程专业、生态环境工程)专业中级工程师及以上技术职称得3分，满分6分。 3.运维人员2名：具有相关技能培训合格证书或特种作业操作证或机械专业人员合格证书得得3分，满分6分。 4.在满足采购需求“服务团队要求”配备团队人员的基础上增加每增加1名技术人员且具有环保或环境类(环境工程专业、生态环境工程)专业中级工程师及以上技术职称加2分，此小项满分4分。 5.在满足采购需求“服务团队要求”配备团队人员的基础上增加每增加1名运维人员且具有相关技能培训合格证书或特种作业操作证或机械专业人员合格证书加2分，此小项满分4分。 证明材料：以上人员提供相应证书及2025年1月至今连续在本单位缴纳3个月社保证明复印件并加盖单位章，未提供不得分。 注：以上人员若一人持多个证件的，只计分一次；同一个人不同级别不累计加分。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项目团队成员配备</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[zhezr]20250700001[GK]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琼中县生活垃圾填埋场渗滤液处理委托项目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琼中县生活垃圾填埋场渗滤液处理委托项目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C07020500-无害固体废物处理服务</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5878200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详见附件：项目团队成员配备</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