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琼中黎族苗族自治县营商环境建设局综合辅助性服务项目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HNXZ-2025-0328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琼中黎族苗族自治县营商环境建设局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湖南省湘咨工程咨询管理有限责任公司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琼中黎族苗族自治县营商环境建设局</w:t>
      </w:r>
      <w:r>
        <w:rPr>
          <w:rFonts w:ascii="仿宋_GB2312" w:hAnsi="仿宋_GB2312" w:cs="仿宋_GB2312" w:eastAsia="仿宋_GB2312"/>
        </w:rPr>
        <w:t xml:space="preserve"> 的委托， </w:t>
      </w:r>
      <w:r>
        <w:rPr>
          <w:rFonts w:ascii="仿宋_GB2312" w:hAnsi="仿宋_GB2312" w:cs="仿宋_GB2312" w:eastAsia="仿宋_GB2312"/>
        </w:rPr>
        <w:t>湖南省湘咨工程咨询管理有限责任公司</w:t>
      </w:r>
      <w:r>
        <w:rPr>
          <w:rFonts w:ascii="仿宋_GB2312" w:hAnsi="仿宋_GB2312" w:cs="仿宋_GB2312" w:eastAsia="仿宋_GB2312"/>
        </w:rPr>
        <w:t xml:space="preserve"> 对 </w:t>
      </w:r>
      <w:r>
        <w:rPr>
          <w:rFonts w:ascii="仿宋_GB2312" w:hAnsi="仿宋_GB2312" w:cs="仿宋_GB2312" w:eastAsia="仿宋_GB2312"/>
        </w:rPr>
        <w:t>琼中黎族苗族自治县营商环境建设局综合辅助性服务项目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HNXZ-2025-0328</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琼中黎族苗族自治县营商环境建设局综合辅助性服务项目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2,943,044.00元</w:t>
      </w:r>
      <w:r>
        <w:rPr>
          <w:rFonts w:ascii="仿宋_GB2312" w:hAnsi="仿宋_GB2312" w:cs="仿宋_GB2312" w:eastAsia="仿宋_GB2312"/>
        </w:rPr>
        <w:t>贰佰玖拾肆万叁仟零肆拾肆元整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合同签订之日起一年（具体时间以合同签订为准）</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1）单位负责人为同一人或者存在直接控股、管理关系的不同供应商，不得参加同一合同项下的政府采购活动。（2）供应商必须为未被列入中国执行信息公开网（http://zxgk.court.gov.cn/shixin/）“失信被执行人”，信用中国网站(www.creditchina.gov.cn)“政府采购严重违法失信行为名单”、“重大税收违法失信主体”和中国政府采购网(www.ccgp.gov.cn)“政府采购严重违法失信行为记录名单”的供应商。：提供承诺函加盖单位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热线一：0898-66220881 热线二：0898-66220882； 本项目需使用蓝色CA锁，CA数字证书认证咨询电话：0898-66668096。 4、本项目支持节能产品、环境标志产品、中小微企业发展、监狱企业发展及残疾人福利性单位等相关扶持政策。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琼中黎族苗族自治县营商环境建设局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海南省琼中县营根镇营根路23号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18976317800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湖南省湘咨工程咨询管理有限责任公司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长沙市芙蓉区东二环一段1139号（湖南国际商务中心二楼）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汪工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13016260306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采购包1：2,943,044.00元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代理服务费收费标准：招标代理服务费参照《关于降低部分招标代理服务收费标准的通知》(琼价费管【2011】225号)的规定收取。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1.成交供应商收到成交通知后，应在规定时间内到采购代理机构处领取成交通知书，办理相关手续，并提供一式三份(须胶装)的纸质版投标文件（须与投标文件电子版一致）。 2.磋商小组成员共3名，从评标专家库管理及抽取系统随机抽取，其中，采购人代表 1人，随机抽取其他专家评委 2人，组成 3人磋商小组。3.本项目采购标的对应的中小企业划分标准：其他未列明行业。具体根据工信部联企业〔2011〕300号《中小企业划型标准规定》确定划分标准。 4.磋商小组认为供应商报价过低，有可能影响产品质量或者不能诚信履约的情形。 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联系人：汪工</w:t>
      </w:r>
    </w:p>
    <w:p>
      <w:pPr>
        <w:pStyle w:val="null3"/>
        <w:jc w:val="left"/>
      </w:pPr>
      <w:r>
        <w:rPr>
          <w:rFonts w:ascii="仿宋_GB2312" w:hAnsi="仿宋_GB2312" w:cs="仿宋_GB2312" w:eastAsia="仿宋_GB2312"/>
        </w:rPr>
        <w:t>联系电话：13016260306</w:t>
      </w:r>
    </w:p>
    <w:p>
      <w:pPr>
        <w:pStyle w:val="null3"/>
        <w:jc w:val="left"/>
      </w:pPr>
      <w:r>
        <w:rPr>
          <w:rFonts w:ascii="仿宋_GB2312" w:hAnsi="仿宋_GB2312" w:cs="仿宋_GB2312" w:eastAsia="仿宋_GB2312"/>
        </w:rPr>
        <w:t>地址：海口市海南工商职业学院学苑公寓A栋B202</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0"/>
          <w:color w:val="000000"/>
        </w:rPr>
        <w:t>1.项目名称：琼中黎族苗族自治县营商环境建设局综合辅助性服务项目</w:t>
      </w:r>
    </w:p>
    <w:p>
      <w:pPr>
        <w:pStyle w:val="null3"/>
        <w:ind w:firstLine="400"/>
        <w:jc w:val="left"/>
      </w:pPr>
      <w:r>
        <w:rPr>
          <w:rFonts w:ascii="仿宋_GB2312" w:hAnsi="仿宋_GB2312" w:cs="仿宋_GB2312" w:eastAsia="仿宋_GB2312"/>
          <w:sz w:val="20"/>
          <w:color w:val="000000"/>
        </w:rPr>
        <w:t>2.采购需求：琼中黎族苗族自治县营商环境建设局综合辅助性服务项目， 服务内容包括但不限于：窗口服务工作、审批辅助工作、数据处理工作、企业服务、信用建设、资料归档工作及采购人提出的与政务大厅服务相关的工作。</w:t>
      </w:r>
    </w:p>
    <w:p>
      <w:pPr>
        <w:pStyle w:val="null3"/>
        <w:ind w:firstLine="400"/>
        <w:jc w:val="left"/>
      </w:pPr>
      <w:r>
        <w:rPr>
          <w:rFonts w:ascii="仿宋_GB2312" w:hAnsi="仿宋_GB2312" w:cs="仿宋_GB2312" w:eastAsia="仿宋_GB2312"/>
          <w:sz w:val="20"/>
          <w:color w:val="000000"/>
        </w:rPr>
        <w:t>3.最高限价：2943044.00元</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2,943,044.00</w:t>
      </w:r>
    </w:p>
    <w:p>
      <w:pPr>
        <w:pStyle w:val="null3"/>
        <w:jc w:val="left"/>
      </w:pPr>
      <w:r>
        <w:rPr>
          <w:rFonts w:ascii="仿宋_GB2312" w:hAnsi="仿宋_GB2312" w:cs="仿宋_GB2312" w:eastAsia="仿宋_GB2312"/>
        </w:rPr>
        <w:t>采购包最高限价（元）: 2,943,044.00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琼中黎族苗族自治县营商环境建设局综合辅助性服务项目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2,943,044.00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琼中黎族苗族自治县营商环境建设局综合辅助性服务项目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2,943,044.00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标的名称：琼中黎族苗族自治县营商环境建设局综合辅助性服务项目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sz w:val="20"/>
                <w:color w:val="000000"/>
              </w:rPr>
              <w:t>1.技术要求</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标的需实现的主要功能或者目标：根据实际业务量、业务特点进行流程优化、人员配置和培训，为采购人提供综合窗口及审批辅助服务，并对服务质量、工作结果负责，服务内容包括但不限于：综合窗口服务、审批辅助服务、其他保障性事务服务、及采购人提出的与政务服务相关的工作服务。</w:t>
            </w:r>
          </w:p>
          <w:p>
            <w:pPr>
              <w:pStyle w:val="null3"/>
              <w:ind w:firstLine="400"/>
              <w:jc w:val="left"/>
            </w:pPr>
            <w:r>
              <w:rPr>
                <w:rFonts w:ascii="仿宋_GB2312" w:hAnsi="仿宋_GB2312" w:cs="仿宋_GB2312" w:eastAsia="仿宋_GB2312"/>
                <w:sz w:val="20"/>
                <w:color w:val="000000"/>
              </w:rPr>
              <w:t>①窗口服务：负责解答来电咨询、现场咨询、网上咨询；做好工程建设项目、社会事务、农林水利、文教卫宣、“高效办成一件事”等650余个业务办理事项的资料接收、审核(形式审查)、受理(信息录入)、业务咨询、“一次性告知”、资料中转、综合出件等与窗口工作相关的工作。</w:t>
            </w:r>
          </w:p>
          <w:p>
            <w:pPr>
              <w:pStyle w:val="null3"/>
              <w:ind w:firstLine="400"/>
              <w:jc w:val="left"/>
            </w:pPr>
            <w:r>
              <w:rPr>
                <w:rFonts w:ascii="仿宋_GB2312" w:hAnsi="仿宋_GB2312" w:cs="仿宋_GB2312" w:eastAsia="仿宋_GB2312"/>
                <w:sz w:val="20"/>
                <w:color w:val="000000"/>
              </w:rPr>
              <w:t>②综合窗口服务效能提升及监督考核服务：对大厅运行进行每日巡查，做好秩序维护，制定窗口相关培训计划并组织开展，监督首问负责制、限时办结制、一次性告知制、窗口无否决权等制度落实情况，进行材料整理、日常台账管理、办件跟踪审批、预警催办、检查通报、应急处置、投诉处理等。</w:t>
            </w:r>
          </w:p>
          <w:p>
            <w:pPr>
              <w:pStyle w:val="null3"/>
              <w:ind w:firstLine="400"/>
              <w:jc w:val="left"/>
            </w:pPr>
            <w:r>
              <w:rPr>
                <w:rFonts w:ascii="仿宋_GB2312" w:hAnsi="仿宋_GB2312" w:cs="仿宋_GB2312" w:eastAsia="仿宋_GB2312"/>
                <w:sz w:val="20"/>
                <w:color w:val="000000"/>
              </w:rPr>
              <w:t>③审批辅助服务：负责配合审批人员做好审批现场勘查、材料收集初审、扫描上传、审批资料整理归档管理及与审批业务相关的函件、简报、情况汇报、工单回复、总结和计划等公文起草等审批辅助性工作。</w:t>
            </w:r>
          </w:p>
          <w:p>
            <w:pPr>
              <w:pStyle w:val="null3"/>
              <w:ind w:firstLine="400"/>
              <w:jc w:val="left"/>
            </w:pPr>
            <w:r>
              <w:rPr>
                <w:rFonts w:ascii="仿宋_GB2312" w:hAnsi="仿宋_GB2312" w:cs="仿宋_GB2312" w:eastAsia="仿宋_GB2312"/>
                <w:sz w:val="20"/>
                <w:color w:val="000000"/>
              </w:rPr>
              <w:t>④信用建设服务：负责对琼中县各部门进行政务诚信考核，实施政务诚信、信用监管、区域信用提升工程，维护本级信用信息共享平台，归集有关部门、地区、行业公共信用信息，编制信息共享目录，建立信用信息基础数据库，落实城市信用监测预警指标，协助组织开发信用应用场景等工作。</w:t>
            </w:r>
          </w:p>
          <w:p>
            <w:pPr>
              <w:pStyle w:val="null3"/>
              <w:ind w:firstLine="400"/>
              <w:jc w:val="left"/>
            </w:pPr>
            <w:r>
              <w:rPr>
                <w:rFonts w:ascii="仿宋_GB2312" w:hAnsi="仿宋_GB2312" w:cs="仿宋_GB2312" w:eastAsia="仿宋_GB2312"/>
                <w:sz w:val="20"/>
                <w:color w:val="000000"/>
              </w:rPr>
              <w:t>⑤大数据发展服务：负责进行数据共享目录编制、数据目录资源挂接、数据治理、服务和安全保障，提升行政许可办件推送率、批后核查完成率、管罚衔接推送率、监管事项认领率、监管事项应用覆盖率，开展电子证照归集，提高海政通应用能力，推动“机关内部零跑动”改革等工作。</w:t>
            </w:r>
          </w:p>
          <w:p>
            <w:pPr>
              <w:pStyle w:val="null3"/>
              <w:ind w:firstLine="400"/>
              <w:jc w:val="left"/>
            </w:pPr>
            <w:r>
              <w:rPr>
                <w:rFonts w:ascii="仿宋_GB2312" w:hAnsi="仿宋_GB2312" w:cs="仿宋_GB2312" w:eastAsia="仿宋_GB2312"/>
                <w:sz w:val="20"/>
                <w:color w:val="000000"/>
              </w:rPr>
              <w:t>⑥企业促进与投诉受理服务：负责落实“推动规上企业高质量发展大调研大服务专项行动”、“企业首席服务专员”制度、政企沟通工作等各项服务企业制度，落实营商环境问题受理、监测“首席服务专员”“问题督查系统”等七个系统平台，持续沟通跟踪并做好问题办结工作。</w:t>
            </w:r>
          </w:p>
          <w:p>
            <w:pPr>
              <w:pStyle w:val="null3"/>
              <w:ind w:firstLine="400"/>
              <w:jc w:val="left"/>
            </w:pPr>
            <w:r>
              <w:rPr>
                <w:rFonts w:ascii="仿宋_GB2312" w:hAnsi="仿宋_GB2312" w:cs="仿宋_GB2312" w:eastAsia="仿宋_GB2312"/>
                <w:sz w:val="20"/>
                <w:color w:val="000000"/>
              </w:rPr>
              <w:t>⑦政务服务改革创新服务：进行海南自由贸易港营商环境评价数据采集，常态化管理无感监测平台，常态化落实“我陪群众走流程”“综合查一次”“异地证照单向认可”等改革政策，推进营商环境整体提升攻坚战等省级重点工作任务。</w:t>
            </w:r>
          </w:p>
          <w:p>
            <w:pPr>
              <w:pStyle w:val="null3"/>
              <w:ind w:firstLine="400"/>
              <w:jc w:val="left"/>
            </w:pPr>
            <w:r>
              <w:rPr>
                <w:rFonts w:ascii="仿宋_GB2312" w:hAnsi="仿宋_GB2312" w:cs="仿宋_GB2312" w:eastAsia="仿宋_GB2312"/>
                <w:sz w:val="20"/>
                <w:color w:val="000000"/>
              </w:rPr>
              <w:t>⑧政务事项标准化建设辅助服务：负责推进政务服务事项精细化梳理及成果应用，进行政务服务事项关联、认领、动态调整、办事指南日常维护等。</w:t>
            </w:r>
          </w:p>
          <w:p>
            <w:pPr>
              <w:pStyle w:val="null3"/>
              <w:ind w:firstLine="400"/>
              <w:jc w:val="left"/>
            </w:pPr>
            <w:r>
              <w:rPr>
                <w:rFonts w:ascii="仿宋_GB2312" w:hAnsi="仿宋_GB2312" w:cs="仿宋_GB2312" w:eastAsia="仿宋_GB2312"/>
                <w:sz w:val="20"/>
                <w:color w:val="000000"/>
              </w:rPr>
              <w:t>⑨政务服务网系统管理服务：协助进驻单位核对、更新进驻事项等数据，分析汇总网上办件数据，处理模块功能配置的新增、调整等工作。</w:t>
            </w:r>
          </w:p>
          <w:p>
            <w:pPr>
              <w:pStyle w:val="null3"/>
              <w:ind w:firstLine="400"/>
              <w:jc w:val="left"/>
            </w:pPr>
            <w:r>
              <w:rPr>
                <w:rFonts w:ascii="仿宋_GB2312" w:hAnsi="仿宋_GB2312" w:cs="仿宋_GB2312" w:eastAsia="仿宋_GB2312"/>
                <w:sz w:val="20"/>
                <w:color w:val="000000"/>
              </w:rPr>
              <w:t>⑩采购人提出的与政务大厅服务相关的工作。</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标的需满足的质量、服务、安全、时限等需求：建立健全人员考勤制度；建立健全岗位培训制度，相关培训费用由供应商承担；供应商须按照岗位的职责要求配备所有服务人员；要结合采购人的外包服务项目用人计划及服务人员的具体情况，对服务人员实行动态管理；供应商要按照相关法律、法规负责人员管理，并为服务人员提供必要的工作条件。</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3）其他要求：</w:t>
            </w:r>
          </w:p>
          <w:p>
            <w:pPr>
              <w:pStyle w:val="null3"/>
              <w:ind w:firstLine="400"/>
              <w:jc w:val="left"/>
            </w:pPr>
            <w:r>
              <w:rPr>
                <w:rFonts w:ascii="仿宋_GB2312" w:hAnsi="仿宋_GB2312" w:cs="仿宋_GB2312" w:eastAsia="仿宋_GB2312"/>
                <w:sz w:val="20"/>
                <w:color w:val="000000"/>
              </w:rPr>
              <w:t>①日常管理</w:t>
            </w:r>
          </w:p>
          <w:p>
            <w:pPr>
              <w:pStyle w:val="null3"/>
              <w:ind w:firstLine="400"/>
              <w:jc w:val="left"/>
            </w:pPr>
            <w:r>
              <w:rPr>
                <w:rFonts w:ascii="仿宋_GB2312" w:hAnsi="仿宋_GB2312" w:cs="仿宋_GB2312" w:eastAsia="仿宋_GB2312"/>
                <w:sz w:val="20"/>
                <w:color w:val="000000"/>
              </w:rPr>
              <w:t>供应商负责对所需服务人员的全面管理，并接受采购人的管理进行监督及考核。</w:t>
            </w:r>
          </w:p>
          <w:p>
            <w:pPr>
              <w:pStyle w:val="null3"/>
              <w:ind w:firstLine="400"/>
              <w:jc w:val="left"/>
            </w:pPr>
            <w:r>
              <w:rPr>
                <w:rFonts w:ascii="仿宋_GB2312" w:hAnsi="仿宋_GB2312" w:cs="仿宋_GB2312" w:eastAsia="仿宋_GB2312"/>
                <w:sz w:val="20"/>
                <w:color w:val="000000"/>
              </w:rPr>
              <w:t>②人事关系</w:t>
            </w:r>
          </w:p>
          <w:p>
            <w:pPr>
              <w:pStyle w:val="null3"/>
              <w:ind w:firstLine="400"/>
              <w:jc w:val="left"/>
            </w:pPr>
            <w:r>
              <w:rPr>
                <w:rFonts w:ascii="仿宋_GB2312" w:hAnsi="仿宋_GB2312" w:cs="仿宋_GB2312" w:eastAsia="仿宋_GB2312"/>
                <w:sz w:val="20"/>
                <w:color w:val="000000"/>
              </w:rPr>
              <w:t>釆供双方属于合同承揽关系，釆购方不涉及劳动合同关系。供应商须严格遵守国家有关员工劳动保障和福利政策，保证与服务人员签订合法的劳动合同，承担对其建立劳动关系、支付工资、档案管理、计划生育、党团等组织关系，并保证根据国家法律和地方政策的规定为服务人员缴纳养老保险、失业保险、医疗保险、工伤保险和生育保险等法定社会保险及住房公积金。</w:t>
            </w:r>
          </w:p>
          <w:p>
            <w:pPr>
              <w:pStyle w:val="null3"/>
              <w:ind w:firstLine="400"/>
              <w:jc w:val="left"/>
            </w:pPr>
            <w:r>
              <w:rPr>
                <w:rFonts w:ascii="仿宋_GB2312" w:hAnsi="仿宋_GB2312" w:cs="仿宋_GB2312" w:eastAsia="仿宋_GB2312"/>
                <w:sz w:val="20"/>
                <w:color w:val="000000"/>
              </w:rPr>
              <w:t>③考核要求</w:t>
            </w:r>
          </w:p>
          <w:p>
            <w:pPr>
              <w:pStyle w:val="null3"/>
              <w:ind w:firstLine="400"/>
              <w:jc w:val="left"/>
            </w:pPr>
            <w:r>
              <w:rPr>
                <w:rFonts w:ascii="仿宋_GB2312" w:hAnsi="仿宋_GB2312" w:cs="仿宋_GB2312" w:eastAsia="仿宋_GB2312"/>
                <w:sz w:val="20"/>
                <w:color w:val="000000"/>
              </w:rPr>
              <w:t>釆购人只需根据外包合同考核条款对供应商外包成果进行考核，供应商参照《琼中黎族苗族自治县政务服务中心窗口工作人员考核奖励（暂行）细则》制定科学合理的考核制度以达到采购人的考核标准，对服务项目交付和完成的效果承担责任。</w:t>
            </w:r>
          </w:p>
          <w:p>
            <w:pPr>
              <w:pStyle w:val="null3"/>
              <w:ind w:firstLine="400"/>
              <w:jc w:val="left"/>
            </w:pPr>
            <w:r>
              <w:rPr>
                <w:rFonts w:ascii="仿宋_GB2312" w:hAnsi="仿宋_GB2312" w:cs="仿宋_GB2312" w:eastAsia="仿宋_GB2312"/>
                <w:sz w:val="20"/>
                <w:color w:val="000000"/>
              </w:rPr>
              <w:t>④本项目共设综合窗口9个（综合窗口）、综合窗口服务效能提升及监督考核岗2个、审批辅助岗18个、信用建设岗2个、大数据发展岗2个、企业促进与投诉受理岗1个、政务服务改革创新岗2个、政务事项标准化建设辅助岗1个、政务服务网系统管理1个。</w:t>
            </w:r>
          </w:p>
          <w:p>
            <w:pPr>
              <w:pStyle w:val="null3"/>
              <w:ind w:firstLine="400"/>
              <w:jc w:val="left"/>
            </w:pPr>
            <w:r>
              <w:rPr>
                <w:rFonts w:ascii="仿宋_GB2312" w:hAnsi="仿宋_GB2312" w:cs="仿宋_GB2312" w:eastAsia="仿宋_GB2312"/>
                <w:sz w:val="20"/>
                <w:color w:val="000000"/>
              </w:rPr>
              <w:t>⑤人员要求：（1）具有中华人民共和国国籍；（2）政治素质和道德品行良好，拥护党的路线、方针和政策；（3）具有较强的普通话语言表达和沟通能力；（4）身体健康，具有履行岗位的身体素质；（5）无犯罪记录；（6）服务报价包含项目管理费用、人员费用、人员保险（五险一金）、服务配套费、税金等全部费用，采购人员不再另行支付任何费用。投标人必须在中标并服务期开始后，安排经过培训的服务人员在采购人要求的服务地点提供驻场服务；（7）中标人应对服务人员进行服务礼仪、办公软件等岗位技术培训。</w:t>
            </w:r>
          </w:p>
          <w:p>
            <w:pPr>
              <w:pStyle w:val="null3"/>
              <w:ind w:firstLine="400"/>
              <w:jc w:val="left"/>
            </w:pPr>
            <w:r>
              <w:rPr>
                <w:rFonts w:ascii="仿宋_GB2312" w:hAnsi="仿宋_GB2312" w:cs="仿宋_GB2312" w:eastAsia="仿宋_GB2312"/>
                <w:sz w:val="20"/>
                <w:color w:val="000000"/>
              </w:rPr>
              <w:t>⑥风险管控：工作时间内因不可控因素导致的突发事件由供应商全权负责处理。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0"/>
              <w:jc w:val="left"/>
            </w:pPr>
            <w:r>
              <w:rPr>
                <w:rFonts w:ascii="仿宋_GB2312" w:hAnsi="仿宋_GB2312" w:cs="仿宋_GB2312" w:eastAsia="仿宋_GB2312"/>
                <w:sz w:val="20"/>
                <w:color w:val="000000"/>
              </w:rPr>
              <w:t>2.商务要求</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1）合同履行期限：合同签订之日起一年（具体时间以合同签订为准）</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2）成果交付地点：采购人指定的地点</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3）报价要求：</w:t>
            </w:r>
          </w:p>
          <w:p>
            <w:pPr>
              <w:pStyle w:val="null3"/>
              <w:ind w:firstLine="400"/>
              <w:jc w:val="left"/>
            </w:pPr>
            <w:r>
              <w:rPr>
                <w:rFonts w:ascii="仿宋_GB2312" w:hAnsi="仿宋_GB2312" w:cs="仿宋_GB2312" w:eastAsia="仿宋_GB2312"/>
                <w:sz w:val="20"/>
                <w:color w:val="000000"/>
              </w:rPr>
              <w:t>①本项目预算总价应包含（但不限于）：项目管理费、人员费用（五险一金）、服务人员的奖励性绩效、误餐补贴、差旅补贴、高温补贴，制服费、体检费、税金以及本项采购活动中所产生的服务费等各项费用。</w:t>
            </w:r>
          </w:p>
          <w:p>
            <w:pPr>
              <w:pStyle w:val="null3"/>
              <w:ind w:firstLine="400"/>
              <w:jc w:val="left"/>
            </w:pPr>
            <w:r>
              <w:rPr>
                <w:rFonts w:ascii="仿宋_GB2312" w:hAnsi="仿宋_GB2312" w:cs="仿宋_GB2312" w:eastAsia="仿宋_GB2312"/>
                <w:sz w:val="20"/>
                <w:color w:val="000000"/>
              </w:rPr>
              <w:t>②付款方式：采购双方共同协商。</w:t>
            </w:r>
          </w:p>
          <w:p>
            <w:pPr>
              <w:pStyle w:val="null3"/>
              <w:ind w:firstLine="400"/>
              <w:jc w:val="left"/>
            </w:pPr>
            <w:r>
              <w:rPr>
                <w:rFonts w:ascii="仿宋_GB2312" w:hAnsi="仿宋_GB2312" w:cs="仿宋_GB2312" w:eastAsia="仿宋_GB2312"/>
                <w:sz w:val="20"/>
                <w:color w:val="000000"/>
              </w:rPr>
              <w:t>③验收方法及标准：按磋商文件、成交供应商响应文件及国家、地方和行业的相关政策、法规及规定实施。</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2）供应商必须为未被列入中国执行信息公开网（http://zxgk.court.gov.cn/shixin/）“失信被执行人”，信用中国网站(www.creditchina.gov.cn)“政府采购严重违法失信行为名单”、“重大税收违法失信主体”和中国政府采购网(www.ccgp.gov.cn)“政府采购严重违法失信行为记录名单”的供应商。</w:t>
            </w:r>
          </w:p>
        </w:tc>
        <w:tc>
          <w:tcPr>
            <w:tcW w:type="dxa" w:w="3322"/>
          </w:tcPr>
          <w:p>
            <w:pPr>
              <w:pStyle w:val="null3"/>
              <w:jc w:val="left"/>
            </w:pPr>
            <w:r>
              <w:rPr>
                <w:rFonts w:ascii="仿宋_GB2312" w:hAnsi="仿宋_GB2312" w:cs="仿宋_GB2312" w:eastAsia="仿宋_GB2312"/>
              </w:rPr>
              <w:t>提供承诺函加盖单位公章。</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磋商保证金缴纳证明材料 商务应答表 自觉抵制政府采购领域商业贿赂行为承诺书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技术部分45.00分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服务方案</w:t>
            </w:r>
          </w:p>
        </w:tc>
        <w:tc>
          <w:tcPr>
            <w:tcW w:type="dxa" w:w="2492"/>
          </w:tcPr>
          <w:p>
            <w:pPr>
              <w:pStyle w:val="null3"/>
              <w:jc w:val="left"/>
            </w:pPr>
            <w:r>
              <w:rPr>
                <w:rFonts w:ascii="仿宋_GB2312" w:hAnsi="仿宋_GB2312" w:cs="仿宋_GB2312" w:eastAsia="仿宋_GB2312"/>
              </w:rPr>
              <w:t>综合各供应商针对本项目编制切实可行的服务方案，由磋商小组进行评分： a.服务方案内容的适用性强、可行性强、内容完整， 编制资料收集、整理规范， 组织工作的条理性清晰，人员职责分工明确，得 10分； b.服务方案的适用性一般、可行性一般、内容完整， 编制资料收集、整理规范， 工作组织有条理，有人员职责分工，得 7分； c.服务方案内容不完整， 编制资料收集、整理、工作组织缺乏条理性、人员职 责分工不明确，得 3分； d.不提供得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服务质量保证方案</w:t>
            </w:r>
          </w:p>
        </w:tc>
        <w:tc>
          <w:tcPr>
            <w:tcW w:type="dxa" w:w="2492"/>
          </w:tcPr>
          <w:p>
            <w:pPr>
              <w:pStyle w:val="null3"/>
              <w:jc w:val="left"/>
            </w:pPr>
            <w:r>
              <w:rPr>
                <w:rFonts w:ascii="仿宋_GB2312" w:hAnsi="仿宋_GB2312" w:cs="仿宋_GB2312" w:eastAsia="仿宋_GB2312"/>
              </w:rPr>
              <w:t>综合各供应商针对本项目提供的质量保证方案（对各项工作内容的程序、重点、 难点的控制措施、重点、难点分析及解决措施等），由磋商小组进行评分： a.服务质量保证体系健全， 控制措施的可行性、有效性强， 得 10分； b.服务质量保证和控制措施一般，得 7分； c.服务质量保证和控制措施较差，得 3分； d.不提供得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工作进度流程与控制</w:t>
            </w:r>
          </w:p>
        </w:tc>
        <w:tc>
          <w:tcPr>
            <w:tcW w:type="dxa" w:w="2492"/>
          </w:tcPr>
          <w:p>
            <w:pPr>
              <w:pStyle w:val="null3"/>
              <w:jc w:val="left"/>
            </w:pPr>
            <w:r>
              <w:rPr>
                <w:rFonts w:ascii="仿宋_GB2312" w:hAnsi="仿宋_GB2312" w:cs="仿宋_GB2312" w:eastAsia="仿宋_GB2312"/>
              </w:rPr>
              <w:t>综合各供应商针对本项目提供的工作流程与进度控制情况，由磋商小组进行 评分： a.工作进度流程把控严谨， 充分保证服务质量， 响应机制快捷高效， 得 9分； b.工作进度流程一般，具有响应机制，得 5分； c.工作进度流程有缺陷，得 2分； d.不提供得 0 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项目各阶段存在的廉政风险点及防控措施</w:t>
            </w:r>
          </w:p>
        </w:tc>
        <w:tc>
          <w:tcPr>
            <w:tcW w:type="dxa" w:w="2492"/>
          </w:tcPr>
          <w:p>
            <w:pPr>
              <w:pStyle w:val="null3"/>
              <w:jc w:val="left"/>
            </w:pPr>
            <w:r>
              <w:rPr>
                <w:rFonts w:ascii="仿宋_GB2312" w:hAnsi="仿宋_GB2312" w:cs="仿宋_GB2312" w:eastAsia="仿宋_GB2312"/>
              </w:rPr>
              <w:t>综合各供应商针对本项目提出的项目各阶段存在的廉政风险点及防控措施， 由 磋商小组进行评分： a.各阶段风险分析详细且清晰，提供的防控措施可行性强，得 8分； b.各阶段风险分析具体，提供的防控措施，得 5分； c.提供各阶段风险分析不清晰、防控措施不完整的，得 2 分； d.不提供得 0 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评审承诺及惩罚机制</w:t>
            </w:r>
          </w:p>
        </w:tc>
        <w:tc>
          <w:tcPr>
            <w:tcW w:type="dxa" w:w="2492"/>
          </w:tcPr>
          <w:p>
            <w:pPr>
              <w:pStyle w:val="null3"/>
              <w:jc w:val="left"/>
            </w:pPr>
            <w:r>
              <w:rPr>
                <w:rFonts w:ascii="仿宋_GB2312" w:hAnsi="仿宋_GB2312" w:cs="仿宋_GB2312" w:eastAsia="仿宋_GB2312"/>
              </w:rPr>
              <w:t>综合各供应商针对本项目制定相应的承诺及惩罚机制（包括是否能积极主动配 合评审工作开展， 是否能按期完成评审任务及资料整理归档等， 如未按要求完成采取的处罚措施），由磋商小组进行评分： a.配合度高，能按期完成评审任务及资料整理归档， 惩罚机制切实可行，得 6分b.配合度较低，无法按期完成评审任务及资料整理归档，惩罚机制不切实际、可行度低，得 3分； c.不提供得 0 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成果保密措施</w:t>
            </w:r>
          </w:p>
        </w:tc>
        <w:tc>
          <w:tcPr>
            <w:tcW w:type="dxa" w:w="2492"/>
          </w:tcPr>
          <w:p>
            <w:pPr>
              <w:pStyle w:val="null3"/>
              <w:jc w:val="left"/>
            </w:pPr>
            <w:r>
              <w:rPr>
                <w:rFonts w:ascii="仿宋_GB2312" w:hAnsi="仿宋_GB2312" w:cs="仿宋_GB2312" w:eastAsia="仿宋_GB2312"/>
              </w:rPr>
              <w:t>综合各供应商针对本项目提供的具体项目成果保密措施，由磋商小组进行评分： a.提供成果保密措施 2 分。 b.不提供得 0 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项目人员配备</w:t>
            </w:r>
          </w:p>
        </w:tc>
        <w:tc>
          <w:tcPr>
            <w:tcW w:type="dxa" w:w="2492"/>
          </w:tcPr>
          <w:p>
            <w:pPr>
              <w:pStyle w:val="null3"/>
              <w:jc w:val="left"/>
            </w:pPr>
            <w:r>
              <w:rPr>
                <w:rFonts w:ascii="仿宋_GB2312" w:hAnsi="仿宋_GB2312" w:cs="仿宋_GB2312" w:eastAsia="仿宋_GB2312"/>
              </w:rPr>
              <w:t>（1）供应商拟配备本项目主要负责人具有中级（二级）企业人力资源管理师 的得 3 分，具有高级（一级）企业人力资源管理师的得 5 分，本项满分 5 分。 证明材料：企业人力资源管理师职业资格证书，在响应文件中提供复印件并加盖公章。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项目人员配备</w:t>
            </w:r>
          </w:p>
        </w:tc>
        <w:tc>
          <w:tcPr>
            <w:tcW w:type="dxa" w:w="2492"/>
          </w:tcPr>
          <w:p>
            <w:pPr>
              <w:pStyle w:val="null3"/>
              <w:jc w:val="left"/>
            </w:pPr>
            <w:r>
              <w:rPr>
                <w:rFonts w:ascii="仿宋_GB2312" w:hAnsi="仿宋_GB2312" w:cs="仿宋_GB2312" w:eastAsia="仿宋_GB2312"/>
              </w:rPr>
              <w:t>（2）供应商拟配备本项目主要负责人具有类似服务管理经验的，得 5 分，本项满分5分。 证明材料：合同（关键页） 或委托方出具的证明材料，在响应文件中提供复印件并加盖公章。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项目人员配备</w:t>
            </w:r>
          </w:p>
        </w:tc>
        <w:tc>
          <w:tcPr>
            <w:tcW w:type="dxa" w:w="2492"/>
          </w:tcPr>
          <w:p>
            <w:pPr>
              <w:pStyle w:val="null3"/>
              <w:jc w:val="left"/>
            </w:pPr>
            <w:r>
              <w:rPr>
                <w:rFonts w:ascii="仿宋_GB2312" w:hAnsi="仿宋_GB2312" w:cs="仿宋_GB2312" w:eastAsia="仿宋_GB2312"/>
              </w:rPr>
              <w:t>（3）供应商拟配备本项目管理机构人员（除主要负责人）中具有中级（二级）企业人力资源管理师的得3分，最高得3分；具有高级（一级）企业人力资源管理师的得5分，最高得5分；本项满分5分。 证明材料：企业人力资源管理师职业资格证书，在响应文件中提供复印件并加盖公章。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供应商自 2022 年 1 月 1 日至今具有类似项目业绩：每提供一份业绩得 5 分， 最高得 10分。 证明材料：提供中标通知书或合同复印件并加盖公章（时间以签订为准）。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HNXZ-2025-0328</w:t>
      </w:r>
    </w:p>
    <w:p>
      <w:pPr>
        <w:pStyle w:val="null3"/>
        <w:jc w:val="left"/>
      </w:pPr>
      <w:r>
        <w:rPr>
          <w:rFonts w:ascii="仿宋_GB2312" w:hAnsi="仿宋_GB2312" w:cs="仿宋_GB2312" w:eastAsia="仿宋_GB2312"/>
        </w:rPr>
        <w:t>项目名称：</w:t>
      </w:r>
      <w:r>
        <w:rPr>
          <w:rFonts w:ascii="仿宋_GB2312" w:hAnsi="仿宋_GB2312" w:cs="仿宋_GB2312" w:eastAsia="仿宋_GB2312"/>
        </w:rPr>
        <w:t>琼中黎族苗族自治县营商环境建设局综合辅助性服务项目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琼中黎族苗族自治县营商环境建设局综合辅助性服务项目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琼中黎族苗族自治县营商环境建设局综合辅助性服务项目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2943044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