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2026年保亭县农村义务教育学生营养改善计划食堂供餐食材采购项目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HNZT2026-065</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保亭黎族苗族自治县教育局</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海南政通招投标有限公司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保亭黎族苗族自治县教育局</w:t>
      </w:r>
      <w:r>
        <w:rPr>
          <w:rFonts w:ascii="仿宋_GB2312" w:hAnsi="仿宋_GB2312" w:cs="仿宋_GB2312" w:eastAsia="仿宋_GB2312"/>
        </w:rPr>
        <w:t xml:space="preserve"> 的委托， </w:t>
      </w:r>
      <w:r>
        <w:rPr>
          <w:rFonts w:ascii="仿宋_GB2312" w:hAnsi="仿宋_GB2312" w:cs="仿宋_GB2312" w:eastAsia="仿宋_GB2312"/>
        </w:rPr>
        <w:t>海南政通招投标有限公司</w:t>
      </w:r>
      <w:r>
        <w:rPr>
          <w:rFonts w:ascii="仿宋_GB2312" w:hAnsi="仿宋_GB2312" w:cs="仿宋_GB2312" w:eastAsia="仿宋_GB2312"/>
        </w:rPr>
        <w:t xml:space="preserve"> 对 </w:t>
      </w:r>
      <w:r>
        <w:rPr>
          <w:rFonts w:ascii="仿宋_GB2312" w:hAnsi="仿宋_GB2312" w:cs="仿宋_GB2312" w:eastAsia="仿宋_GB2312"/>
        </w:rPr>
        <w:t>2026年保亭县农村义务教育学生营养改善计划食堂供餐食材采购项目</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HNZT2026-065</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2026年保亭县农村义务教育学生营养改善计划食堂供餐食材采购项目</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3,970,000.00元</w:t>
      </w:r>
      <w:r>
        <w:rPr>
          <w:rFonts w:ascii="仿宋_GB2312" w:hAnsi="仿宋_GB2312" w:cs="仿宋_GB2312" w:eastAsia="仿宋_GB2312"/>
        </w:rPr>
        <w:t>叁佰玖拾柒万元整</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自合同签订生效之日起至2027年01月31日</w:t>
      </w:r>
    </w:p>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left"/>
      </w:pPr>
      <w:r>
        <w:rPr>
          <w:rFonts w:ascii="仿宋_GB2312" w:hAnsi="仿宋_GB2312" w:cs="仿宋_GB2312" w:eastAsia="仿宋_GB2312"/>
        </w:rPr>
        <w:t>3.本项目的特定资格要求：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1、【提供有效的《食品生产许可证》或《食品经营许可证》】：供应商须具备有效《食品生产许可证》或《食品经营许可证》证件</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自财政部和海南省财政厅指定的政府采购信息发布媒体最先发布公告之日起3个工作日。</w:t>
      </w:r>
    </w:p>
    <w:p>
      <w:pPr>
        <w:pStyle w:val="null3"/>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1、本项目为远程不见面开标，供应商无须到达开标现场，但开标前必须登录海南省政府采购智慧云平台，进入本项目电子开标大厅在线签到，远程按时参加在线开标解密等操作。 2、采购项目支持的政府采购政策：本项目支持政府采购促进中小企业发展政策、政府采购支持监狱企业发展政策、促进残疾人就业政府采购政策、政府采购优先采购节能产品政策、政府采购优先采购环境标志产品政策、扶持不发达地区和少数民族地区等相关政策。 3、注意事项：电子标采用全程电子化操作，供应商应详细阅读海南政府采购网的通知《海南省财政厅关于进一步推进政府采购全流程电子化的通知》在海南省政府采购智慧云平台-办事指南查看相应的系统操作指南，严格按照操作指南要求进行系统操作。</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保亭黎族苗族自治县教育局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保亭黎族苗族自治县教育局</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吕老师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0898-83669245</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海南政通招投标有限公司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海南省海口市美兰区蓝天街道蓝天路42号永安家私广场第三层办公区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林少辉</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13976715945</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采购包1：3,970,000.00元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采购包1：缴纳</w:t>
            </w:r>
          </w:p>
          <w:p>
            <w:pPr>
              <w:pStyle w:val="null3"/>
              <w:jc w:val="left"/>
            </w:pPr>
            <w:r>
              <w:rPr>
                <w:rFonts w:ascii="仿宋_GB2312" w:hAnsi="仿宋_GB2312" w:cs="仿宋_GB2312" w:eastAsia="仿宋_GB2312"/>
              </w:rPr>
              <w:t>本采购包履约保证金为合同金额的3%</w:t>
            </w:r>
          </w:p>
          <w:p>
            <w:pPr>
              <w:pStyle w:val="null3"/>
              <w:jc w:val="left"/>
            </w:pPr>
            <w:r>
              <w:rPr>
                <w:rFonts w:ascii="仿宋_GB2312" w:hAnsi="仿宋_GB2312" w:cs="仿宋_GB2312" w:eastAsia="仿宋_GB2312"/>
              </w:rPr>
              <w:t>说明：乙方可自主选择以支票、汇票、本票、保函等非现金形式提交履约保证金，非 现金形式提交保证金涉及的凭证费用由乙方承担。</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60日历日</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代理服务费收费标准：参照《海南省物价局关于降低部分招标代理服务收费标准》（ 琼价费管〔2011〕225号文）标准收取。</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（2）中国政府采购网海南分网（海南省政府采购网），网址https://ccgp-hainan.gov.cn/。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1.本项目以供应商成功加密后递交至海南省政府采购智慧云平台的电子响应文件为准 ，因供应商自身原因导致无法解密或解密失败的，自行承担不利后果。 2.本项目采用的是竞争性磋商采购方式，其中磋商及最终报价程序均采用在线方式，供应商如遇技术问题自行联系海南省政府采购智慧云平台客服。</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“采购单位”指磋商文件中所述所有货物及相关服务的甲方。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4.5.1磋商有效期为从递交响应文件的截止之日起，详见第二章须知前附表，有效期短于此规定的响应文件将被视为无效。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磋商小组认为供应商的报价明显低于其他通过符合性审查供应商，有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7.8.2采购代理机构依据确认结果，在“第一章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8.1.1根据确定的成交结果，采购代理机构 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政府采购磋商邀请函”中指定的信息发布媒体获取信息。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联系人：代理机构</w:t>
      </w:r>
    </w:p>
    <w:p>
      <w:pPr>
        <w:pStyle w:val="null3"/>
        <w:jc w:val="left"/>
      </w:pPr>
      <w:r>
        <w:rPr>
          <w:rFonts w:ascii="仿宋_GB2312" w:hAnsi="仿宋_GB2312" w:cs="仿宋_GB2312" w:eastAsia="仿宋_GB2312"/>
        </w:rPr>
        <w:t>联系电话：0898-68592663</w:t>
      </w:r>
    </w:p>
    <w:p>
      <w:pPr>
        <w:pStyle w:val="null3"/>
        <w:jc w:val="left"/>
      </w:pPr>
      <w:r>
        <w:rPr>
          <w:rFonts w:ascii="仿宋_GB2312" w:hAnsi="仿宋_GB2312" w:cs="仿宋_GB2312" w:eastAsia="仿宋_GB2312"/>
        </w:rPr>
        <w:t>地址：海南省海口市美兰区蓝天街道蓝天路42号永安家私广场第三层办公区</w:t>
      </w:r>
    </w:p>
    <w:p>
      <w:pPr>
        <w:pStyle w:val="null3"/>
        <w:jc w:val="left"/>
      </w:pPr>
      <w:r>
        <w:rPr>
          <w:rFonts w:ascii="仿宋_GB2312" w:hAnsi="仿宋_GB2312" w:cs="仿宋_GB2312" w:eastAsia="仿宋_GB2312"/>
        </w:rPr>
        <w:t>邮编：570000</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sz w:val="21"/>
        </w:rPr>
        <w:t>1.</w:t>
      </w:r>
      <w:r>
        <w:rPr>
          <w:rFonts w:ascii="仿宋_GB2312" w:hAnsi="仿宋_GB2312" w:cs="仿宋_GB2312" w:eastAsia="仿宋_GB2312"/>
          <w:sz w:val="21"/>
        </w:rPr>
        <w:t>根据《教育部等七部门关于〈印发农村义务教育学生营养改善计划实施办法〉的通知》（教财〔2022〕2 号）和《海南省人民政府办公厅关于实施农村义务教育学生营养改善计划的意见》（琼府办〔2013〕98 号）文件精神，实现我县营养改善计划全覆盖，加快推进我县农村义务教育学生营养改善计划工作。</w:t>
      </w:r>
      <w:r>
        <w:br/>
      </w:r>
      <w:r>
        <w:rPr>
          <w:rFonts w:ascii="仿宋_GB2312" w:hAnsi="仿宋_GB2312" w:cs="仿宋_GB2312" w:eastAsia="仿宋_GB2312"/>
          <w:sz w:val="21"/>
        </w:rPr>
        <w:t xml:space="preserve">     2.食材供应学校：2026年4月，保亭县民族中学、六弓乡中心学校、保亭海之南实验学校、南岛小学；2026年10月，加茂镇中心学校、八村学校、毛感乡中心学校、南林乡中心学校、三道镇新民学校、三道镇初级中学、响水镇瑞华学校、响水镇金江学校、响水镇中心学校、保亭县思源实验学校、新星小学、新星中学、保城镇中心学校；保亭中学、什玲镇中心学校、南茂中学、南茂小学、新政中学、保亭县第二小学，2026年11月，保亭县第一小学。</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rPr>
        <w:t>按学生在校使用的实际人数和天数结算，每天5元/人的标准进行拨付。</w:t>
      </w:r>
    </w:p>
    <w:p>
      <w:pPr>
        <w:pStyle w:val="null3"/>
        <w:ind w:firstLine="420"/>
        <w:jc w:val="left"/>
      </w:pPr>
      <w:r>
        <w:rPr>
          <w:rFonts w:ascii="仿宋_GB2312" w:hAnsi="仿宋_GB2312" w:cs="仿宋_GB2312" w:eastAsia="仿宋_GB2312"/>
          <w:sz w:val="21"/>
        </w:rPr>
        <w:t>4.</w:t>
      </w:r>
      <w:r>
        <w:rPr>
          <w:rFonts w:ascii="仿宋_GB2312" w:hAnsi="仿宋_GB2312" w:cs="仿宋_GB2312" w:eastAsia="仿宋_GB2312"/>
          <w:sz w:val="21"/>
        </w:rPr>
        <w:t>供餐标准：提供的食物可依据《教育部等七部门关于印发&lt;农村义务教育学生营养改善计划实施办法&gt;的通知》（财教〔2022〕2号）文件要求实施，将大宗食材、肉类、蔬菜类、蛋类、鱼类等原材料统一采购，经采购程序确定供应商。同时，在食堂日常经营中，每周需公布一周菜谱，原则上每天不同，每月征求学生、家长及陪餐老师的意见再进行调整。</w:t>
      </w:r>
    </w:p>
    <w:p>
      <w:pPr>
        <w:pStyle w:val="null3"/>
        <w:ind w:firstLine="420"/>
        <w:jc w:val="left"/>
      </w:pPr>
      <w:r>
        <w:rPr>
          <w:rFonts w:ascii="仿宋_GB2312" w:hAnsi="仿宋_GB2312" w:cs="仿宋_GB2312" w:eastAsia="仿宋_GB2312"/>
          <w:sz w:val="21"/>
        </w:rPr>
        <w:t>5.</w:t>
      </w:r>
      <w:r>
        <w:rPr>
          <w:rFonts w:ascii="仿宋_GB2312" w:hAnsi="仿宋_GB2312" w:cs="仿宋_GB2312" w:eastAsia="仿宋_GB2312"/>
          <w:sz w:val="21"/>
        </w:rPr>
        <w:t>每个月月底提供下一个月的供应采购品类产品种类的详细名称，肉类至少提供 3样、水产品至少提供3样、蔬菜瓜果至少提供15 样（含以上）。</w:t>
      </w:r>
    </w:p>
    <w:p>
      <w:pPr>
        <w:pStyle w:val="null3"/>
        <w:ind w:firstLine="420"/>
        <w:jc w:val="left"/>
      </w:pPr>
      <w:r>
        <w:rPr>
          <w:rFonts w:ascii="仿宋_GB2312" w:hAnsi="仿宋_GB2312" w:cs="仿宋_GB2312" w:eastAsia="仿宋_GB2312"/>
          <w:sz w:val="21"/>
        </w:rPr>
        <w:t>6.</w:t>
      </w:r>
      <w:r>
        <w:rPr>
          <w:rFonts w:ascii="仿宋_GB2312" w:hAnsi="仿宋_GB2312" w:cs="仿宋_GB2312" w:eastAsia="仿宋_GB2312"/>
          <w:sz w:val="21"/>
        </w:rPr>
        <w:t>供应的食材数量必须满足每人每餐至少米饭+一荤一素一汤的量。</w:t>
      </w:r>
    </w:p>
    <w:p>
      <w:pPr>
        <w:pStyle w:val="null3"/>
        <w:ind w:firstLine="420"/>
        <w:jc w:val="left"/>
      </w:pPr>
      <w:r>
        <w:rPr>
          <w:rFonts w:ascii="仿宋_GB2312" w:hAnsi="仿宋_GB2312" w:cs="仿宋_GB2312" w:eastAsia="仿宋_GB2312"/>
          <w:sz w:val="21"/>
        </w:rPr>
        <w:t>7.</w:t>
      </w:r>
      <w:r>
        <w:rPr>
          <w:rFonts w:ascii="仿宋_GB2312" w:hAnsi="仿宋_GB2312" w:cs="仿宋_GB2312" w:eastAsia="仿宋_GB2312"/>
          <w:sz w:val="21"/>
        </w:rPr>
        <w:t>采购品类及要求</w:t>
      </w:r>
    </w:p>
    <w:tbl>
      <w:tblPr>
        <w:tblW w:w="0" w:type="auto"/>
        <w:tblBorders>
          <w:top w:val="none" w:color="000000" w:sz="4"/>
          <w:left w:val="none" w:color="000000" w:sz="4"/>
          <w:bottom w:val="none" w:color="000000" w:sz="4"/>
          <w:right w:val="none" w:color="000000" w:sz="4"/>
          <w:insideH w:val="none"/>
          <w:insideV w:val="none"/>
        </w:tblBorders>
      </w:tblPr>
      <w:tblGrid>
        <w:gridCol w:w="1175"/>
        <w:gridCol w:w="1259"/>
        <w:gridCol w:w="3021"/>
        <w:gridCol w:w="1343"/>
        <w:gridCol w:w="1426"/>
      </w:tblGrid>
      <w:tr>
        <w:tc>
          <w:tcPr>
            <w:tcW w:type="dxa" w:w="117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1"/>
              </w:rPr>
              <w:t>采购品类</w:t>
            </w:r>
          </w:p>
        </w:tc>
        <w:tc>
          <w:tcPr>
            <w:tcW w:type="dxa" w:w="125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left"/>
            </w:pPr>
            <w:r>
              <w:rPr>
                <w:rFonts w:ascii="仿宋_GB2312" w:hAnsi="仿宋_GB2312" w:cs="仿宋_GB2312" w:eastAsia="仿宋_GB2312"/>
                <w:sz w:val="21"/>
              </w:rPr>
              <w:t>采购资金预算</w:t>
            </w:r>
          </w:p>
        </w:tc>
        <w:tc>
          <w:tcPr>
            <w:tcW w:type="dxa" w:w="30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left"/>
            </w:pPr>
            <w:r>
              <w:rPr>
                <w:rFonts w:ascii="仿宋_GB2312" w:hAnsi="仿宋_GB2312" w:cs="仿宋_GB2312" w:eastAsia="仿宋_GB2312"/>
                <w:sz w:val="21"/>
              </w:rPr>
              <w:t>规格技术要求</w:t>
            </w:r>
          </w:p>
        </w:tc>
        <w:tc>
          <w:tcPr>
            <w:tcW w:type="dxa" w:w="134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left"/>
            </w:pPr>
            <w:r>
              <w:rPr>
                <w:rFonts w:ascii="仿宋_GB2312" w:hAnsi="仿宋_GB2312" w:cs="仿宋_GB2312" w:eastAsia="仿宋_GB2312"/>
                <w:sz w:val="21"/>
              </w:rPr>
              <w:t>质量标准</w:t>
            </w:r>
          </w:p>
        </w:tc>
        <w:tc>
          <w:tcPr>
            <w:tcW w:type="dxa" w:w="14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left"/>
            </w:pPr>
            <w:r>
              <w:rPr>
                <w:rFonts w:ascii="仿宋_GB2312" w:hAnsi="仿宋_GB2312" w:cs="仿宋_GB2312" w:eastAsia="仿宋_GB2312"/>
                <w:sz w:val="21"/>
              </w:rPr>
              <w:t>其他要求</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20"/>
              <w:jc w:val="left"/>
            </w:pPr>
            <w:r>
              <w:rPr>
                <w:rFonts w:ascii="仿宋_GB2312" w:hAnsi="仿宋_GB2312" w:cs="仿宋_GB2312" w:eastAsia="仿宋_GB2312"/>
                <w:sz w:val="21"/>
              </w:rPr>
              <w:t>肉类</w:t>
            </w:r>
          </w:p>
        </w:tc>
        <w:tc>
          <w:tcPr>
            <w:tcW w:type="dxa" w:w="12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left"/>
            </w:pPr>
            <w:r>
              <w:rPr>
                <w:rFonts w:ascii="仿宋_GB2312" w:hAnsi="仿宋_GB2312" w:cs="仿宋_GB2312" w:eastAsia="仿宋_GB2312"/>
                <w:sz w:val="21"/>
              </w:rPr>
              <w:t>资金预算390万元，补助标准5元/人/天</w:t>
            </w:r>
          </w:p>
        </w:tc>
        <w:tc>
          <w:tcPr>
            <w:tcW w:type="dxa" w:w="30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1"/>
              </w:rPr>
              <w:t>热鲜优质肉类，其中禽类必须整只供应，不含瘦肉精、无激素、无质变。</w:t>
            </w:r>
          </w:p>
        </w:tc>
        <w:tc>
          <w:tcPr>
            <w:tcW w:type="dxa" w:w="13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left"/>
            </w:pPr>
            <w:r>
              <w:rPr>
                <w:rFonts w:ascii="仿宋_GB2312" w:hAnsi="仿宋_GB2312" w:cs="仿宋_GB2312" w:eastAsia="仿宋_GB2312"/>
                <w:sz w:val="21"/>
              </w:rPr>
              <w:t>符合《中华人民共和国食品安全法》和《食品安全国家标准》等国家现行法律法规。</w:t>
            </w:r>
          </w:p>
        </w:tc>
        <w:tc>
          <w:tcPr>
            <w:tcW w:type="dxa" w:w="1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left"/>
            </w:pPr>
            <w:r>
              <w:rPr>
                <w:rFonts w:ascii="仿宋_GB2312" w:hAnsi="仿宋_GB2312" w:cs="仿宋_GB2312" w:eastAsia="仿宋_GB2312"/>
                <w:sz w:val="21"/>
              </w:rPr>
              <w:t>双方可根据生产季节、天气等情况协商调整每期采购计划中的品种。 供应商必须能保证提供丰富的品种供采购人选择。</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20"/>
              <w:jc w:val="left"/>
            </w:pPr>
            <w:r>
              <w:rPr>
                <w:rFonts w:ascii="仿宋_GB2312" w:hAnsi="仿宋_GB2312" w:cs="仿宋_GB2312" w:eastAsia="仿宋_GB2312"/>
                <w:sz w:val="21"/>
              </w:rPr>
              <w:t>水产类</w:t>
            </w:r>
          </w:p>
        </w:tc>
        <w:tc>
          <w:tcPr>
            <w:tcW w:type="dxa" w:w="1259"/>
            <w:vMerge/>
            <w:tcBorders>
              <w:top w:val="none" w:color="000000" w:sz="4"/>
              <w:left w:val="none" w:color="000000" w:sz="4"/>
              <w:bottom w:val="single" w:color="000000" w:sz="4"/>
              <w:right w:val="single" w:color="000000" w:sz="4"/>
            </w:tcBorders>
          </w:tcPr>
          <w:p/>
        </w:tc>
        <w:tc>
          <w:tcPr>
            <w:tcW w:type="dxa" w:w="30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1"/>
              </w:rPr>
              <w:t>优质各类水产品</w:t>
            </w:r>
          </w:p>
        </w:tc>
        <w:tc>
          <w:tcPr>
            <w:tcW w:type="dxa" w:w="1343"/>
            <w:vMerge/>
            <w:tcBorders>
              <w:top w:val="none" w:color="000000" w:sz="4"/>
              <w:left w:val="none" w:color="000000" w:sz="4"/>
              <w:bottom w:val="single" w:color="000000" w:sz="4"/>
              <w:right w:val="single" w:color="000000" w:sz="4"/>
            </w:tcBorders>
          </w:tcPr>
          <w:p/>
        </w:tc>
        <w:tc>
          <w:tcPr>
            <w:tcW w:type="dxa" w:w="1426"/>
            <w:vMerge/>
            <w:tcBorders>
              <w:top w:val="none" w:color="000000" w:sz="4"/>
              <w:left w:val="none" w:color="000000" w:sz="4"/>
              <w:bottom w:val="single" w:color="000000" w:sz="4"/>
              <w:right w:val="single" w:color="000000" w:sz="4"/>
            </w:tcBorders>
          </w:tcP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20"/>
              <w:jc w:val="left"/>
            </w:pPr>
            <w:r>
              <w:rPr>
                <w:rFonts w:ascii="仿宋_GB2312" w:hAnsi="仿宋_GB2312" w:cs="仿宋_GB2312" w:eastAsia="仿宋_GB2312"/>
                <w:sz w:val="21"/>
              </w:rPr>
              <w:t>禽蛋类</w:t>
            </w:r>
          </w:p>
        </w:tc>
        <w:tc>
          <w:tcPr>
            <w:tcW w:type="dxa" w:w="1259"/>
            <w:vMerge/>
            <w:tcBorders>
              <w:top w:val="none" w:color="000000" w:sz="4"/>
              <w:left w:val="none" w:color="000000" w:sz="4"/>
              <w:bottom w:val="single" w:color="000000" w:sz="4"/>
              <w:right w:val="single" w:color="000000" w:sz="4"/>
            </w:tcBorders>
          </w:tcPr>
          <w:p/>
        </w:tc>
        <w:tc>
          <w:tcPr>
            <w:tcW w:type="dxa" w:w="30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1"/>
              </w:rPr>
              <w:t>新鲜优质家禽蛋、无质变和破损。</w:t>
            </w:r>
          </w:p>
        </w:tc>
        <w:tc>
          <w:tcPr>
            <w:tcW w:type="dxa" w:w="1343"/>
            <w:vMerge/>
            <w:tcBorders>
              <w:top w:val="none" w:color="000000" w:sz="4"/>
              <w:left w:val="none" w:color="000000" w:sz="4"/>
              <w:bottom w:val="single" w:color="000000" w:sz="4"/>
              <w:right w:val="single" w:color="000000" w:sz="4"/>
            </w:tcBorders>
          </w:tcPr>
          <w:p/>
        </w:tc>
        <w:tc>
          <w:tcPr>
            <w:tcW w:type="dxa" w:w="1426"/>
            <w:vMerge/>
            <w:tcBorders>
              <w:top w:val="none" w:color="000000" w:sz="4"/>
              <w:left w:val="none" w:color="000000" w:sz="4"/>
              <w:bottom w:val="single" w:color="000000" w:sz="4"/>
              <w:right w:val="single" w:color="000000" w:sz="4"/>
            </w:tcBorders>
          </w:tcP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1"/>
              </w:rPr>
              <w:t>蔬菜瓜果类</w:t>
            </w:r>
          </w:p>
        </w:tc>
        <w:tc>
          <w:tcPr>
            <w:tcW w:type="dxa" w:w="1259"/>
            <w:vMerge/>
            <w:tcBorders>
              <w:top w:val="none" w:color="000000" w:sz="4"/>
              <w:left w:val="none" w:color="000000" w:sz="4"/>
              <w:bottom w:val="single" w:color="000000" w:sz="4"/>
              <w:right w:val="single" w:color="000000" w:sz="4"/>
            </w:tcBorders>
          </w:tcPr>
          <w:p/>
        </w:tc>
        <w:tc>
          <w:tcPr>
            <w:tcW w:type="dxa" w:w="30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1"/>
              </w:rPr>
              <w:t>新鲜绿色蔬菜瓜果、无超标农药残余。</w:t>
            </w:r>
          </w:p>
        </w:tc>
        <w:tc>
          <w:tcPr>
            <w:tcW w:type="dxa" w:w="1343"/>
            <w:vMerge/>
            <w:tcBorders>
              <w:top w:val="none" w:color="000000" w:sz="4"/>
              <w:left w:val="none" w:color="000000" w:sz="4"/>
              <w:bottom w:val="single" w:color="000000" w:sz="4"/>
              <w:right w:val="single" w:color="000000" w:sz="4"/>
            </w:tcBorders>
          </w:tcPr>
          <w:p/>
        </w:tc>
        <w:tc>
          <w:tcPr>
            <w:tcW w:type="dxa" w:w="1426"/>
            <w:vMerge/>
            <w:tcBorders>
              <w:top w:val="none" w:color="000000" w:sz="4"/>
              <w:left w:val="none" w:color="000000" w:sz="4"/>
              <w:bottom w:val="single" w:color="000000" w:sz="4"/>
              <w:right w:val="single" w:color="000000" w:sz="4"/>
            </w:tcBorders>
          </w:tcP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1"/>
              </w:rPr>
              <w:t>豆制品类</w:t>
            </w:r>
          </w:p>
        </w:tc>
        <w:tc>
          <w:tcPr>
            <w:tcW w:type="dxa" w:w="1259"/>
            <w:vMerge/>
            <w:tcBorders>
              <w:top w:val="none" w:color="000000" w:sz="4"/>
              <w:left w:val="none" w:color="000000" w:sz="4"/>
              <w:bottom w:val="single" w:color="000000" w:sz="4"/>
              <w:right w:val="single" w:color="000000" w:sz="4"/>
            </w:tcBorders>
          </w:tcPr>
          <w:p/>
        </w:tc>
        <w:tc>
          <w:tcPr>
            <w:tcW w:type="dxa" w:w="30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1"/>
              </w:rPr>
              <w:t>新鲜干净无质变豆制品。</w:t>
            </w:r>
          </w:p>
        </w:tc>
        <w:tc>
          <w:tcPr>
            <w:tcW w:type="dxa" w:w="1343"/>
            <w:vMerge/>
            <w:tcBorders>
              <w:top w:val="none" w:color="000000" w:sz="4"/>
              <w:left w:val="none" w:color="000000" w:sz="4"/>
              <w:bottom w:val="single" w:color="000000" w:sz="4"/>
              <w:right w:val="single" w:color="000000" w:sz="4"/>
            </w:tcBorders>
          </w:tcPr>
          <w:p/>
        </w:tc>
        <w:tc>
          <w:tcPr>
            <w:tcW w:type="dxa" w:w="1426"/>
            <w:vMerge/>
            <w:tcBorders>
              <w:top w:val="none" w:color="000000" w:sz="4"/>
              <w:left w:val="none" w:color="000000" w:sz="4"/>
              <w:bottom w:val="single" w:color="000000" w:sz="4"/>
              <w:right w:val="single" w:color="000000" w:sz="4"/>
            </w:tcBorders>
          </w:tcP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1"/>
              </w:rPr>
              <w:t>米类</w:t>
            </w:r>
          </w:p>
        </w:tc>
        <w:tc>
          <w:tcPr>
            <w:tcW w:type="dxa" w:w="1259"/>
            <w:vMerge/>
            <w:tcBorders>
              <w:top w:val="none" w:color="000000" w:sz="4"/>
              <w:left w:val="none" w:color="000000" w:sz="4"/>
              <w:bottom w:val="single" w:color="000000" w:sz="4"/>
              <w:right w:val="single" w:color="000000" w:sz="4"/>
            </w:tcBorders>
          </w:tcPr>
          <w:p/>
        </w:tc>
        <w:tc>
          <w:tcPr>
            <w:tcW w:type="dxa" w:w="30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1"/>
              </w:rPr>
              <w:t>非陈米，无质变，优质大米。</w:t>
            </w:r>
          </w:p>
        </w:tc>
        <w:tc>
          <w:tcPr>
            <w:tcW w:type="dxa" w:w="1343"/>
            <w:vMerge/>
            <w:tcBorders>
              <w:top w:val="none" w:color="000000" w:sz="4"/>
              <w:left w:val="none" w:color="000000" w:sz="4"/>
              <w:bottom w:val="single" w:color="000000" w:sz="4"/>
              <w:right w:val="single" w:color="000000" w:sz="4"/>
            </w:tcBorders>
          </w:tcPr>
          <w:p/>
        </w:tc>
        <w:tc>
          <w:tcPr>
            <w:tcW w:type="dxa" w:w="1426"/>
            <w:vMerge/>
            <w:tcBorders>
              <w:top w:val="none" w:color="000000" w:sz="4"/>
              <w:left w:val="none" w:color="000000" w:sz="4"/>
              <w:bottom w:val="single" w:color="000000" w:sz="4"/>
              <w:right w:val="single" w:color="000000" w:sz="4"/>
            </w:tcBorders>
          </w:tcP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1"/>
              </w:rPr>
              <w:t>油类</w:t>
            </w:r>
          </w:p>
        </w:tc>
        <w:tc>
          <w:tcPr>
            <w:tcW w:type="dxa" w:w="1259"/>
            <w:vMerge/>
            <w:tcBorders>
              <w:top w:val="none" w:color="000000" w:sz="4"/>
              <w:left w:val="none" w:color="000000" w:sz="4"/>
              <w:bottom w:val="single" w:color="000000" w:sz="4"/>
              <w:right w:val="single" w:color="000000" w:sz="4"/>
            </w:tcBorders>
          </w:tcPr>
          <w:p/>
        </w:tc>
        <w:tc>
          <w:tcPr>
            <w:tcW w:type="dxa" w:w="30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1"/>
              </w:rPr>
              <w:t>非转基因、无勾兑原厂封装，优质食用油，营养成分符合国家标准。</w:t>
            </w:r>
          </w:p>
        </w:tc>
        <w:tc>
          <w:tcPr>
            <w:tcW w:type="dxa" w:w="1343"/>
            <w:vMerge/>
            <w:tcBorders>
              <w:top w:val="none" w:color="000000" w:sz="4"/>
              <w:left w:val="none" w:color="000000" w:sz="4"/>
              <w:bottom w:val="single" w:color="000000" w:sz="4"/>
              <w:right w:val="single" w:color="000000" w:sz="4"/>
            </w:tcBorders>
          </w:tcPr>
          <w:p/>
        </w:tc>
        <w:tc>
          <w:tcPr>
            <w:tcW w:type="dxa" w:w="1426"/>
            <w:vMerge/>
            <w:tcBorders>
              <w:top w:val="none" w:color="000000" w:sz="4"/>
              <w:left w:val="none" w:color="000000" w:sz="4"/>
              <w:bottom w:val="single" w:color="000000" w:sz="4"/>
              <w:right w:val="single" w:color="000000" w:sz="4"/>
            </w:tcBorders>
          </w:tcP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1"/>
              </w:rPr>
              <w:t>干货类</w:t>
            </w:r>
          </w:p>
        </w:tc>
        <w:tc>
          <w:tcPr>
            <w:tcW w:type="dxa" w:w="1259"/>
            <w:vMerge/>
            <w:tcBorders>
              <w:top w:val="none" w:color="000000" w:sz="4"/>
              <w:left w:val="none" w:color="000000" w:sz="4"/>
              <w:bottom w:val="single" w:color="000000" w:sz="4"/>
              <w:right w:val="single" w:color="000000" w:sz="4"/>
            </w:tcBorders>
          </w:tcPr>
          <w:p/>
        </w:tc>
        <w:tc>
          <w:tcPr>
            <w:tcW w:type="dxa" w:w="30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1"/>
              </w:rPr>
              <w:t>安全无质变干货。</w:t>
            </w:r>
          </w:p>
        </w:tc>
        <w:tc>
          <w:tcPr>
            <w:tcW w:type="dxa" w:w="1343"/>
            <w:vMerge/>
            <w:tcBorders>
              <w:top w:val="none" w:color="000000" w:sz="4"/>
              <w:left w:val="none" w:color="000000" w:sz="4"/>
              <w:bottom w:val="single" w:color="000000" w:sz="4"/>
              <w:right w:val="single" w:color="000000" w:sz="4"/>
            </w:tcBorders>
          </w:tcPr>
          <w:p/>
        </w:tc>
        <w:tc>
          <w:tcPr>
            <w:tcW w:type="dxa" w:w="1426"/>
            <w:vMerge/>
            <w:tcBorders>
              <w:top w:val="none" w:color="000000" w:sz="4"/>
              <w:left w:val="none" w:color="000000" w:sz="4"/>
              <w:bottom w:val="single" w:color="000000" w:sz="4"/>
              <w:right w:val="single" w:color="000000" w:sz="4"/>
            </w:tcBorders>
          </w:tcP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1"/>
              </w:rPr>
              <w:t>杂粮、粗粮类</w:t>
            </w:r>
          </w:p>
        </w:tc>
        <w:tc>
          <w:tcPr>
            <w:tcW w:type="dxa" w:w="1259"/>
            <w:vMerge/>
            <w:tcBorders>
              <w:top w:val="none" w:color="000000" w:sz="4"/>
              <w:left w:val="none" w:color="000000" w:sz="4"/>
              <w:bottom w:val="single" w:color="000000" w:sz="4"/>
              <w:right w:val="single" w:color="000000" w:sz="4"/>
            </w:tcBorders>
          </w:tcPr>
          <w:p/>
        </w:tc>
        <w:tc>
          <w:tcPr>
            <w:tcW w:type="dxa" w:w="30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rFonts w:ascii="仿宋_GB2312" w:hAnsi="仿宋_GB2312" w:cs="仿宋_GB2312" w:eastAsia="仿宋_GB2312"/>
                <w:sz w:val="21"/>
              </w:rPr>
              <w:t>颗粒饱满、无杂质、无质变的优质杂粮粗粮。</w:t>
            </w:r>
          </w:p>
        </w:tc>
        <w:tc>
          <w:tcPr>
            <w:tcW w:type="dxa" w:w="1343"/>
            <w:vMerge/>
            <w:tcBorders>
              <w:top w:val="none" w:color="000000" w:sz="4"/>
              <w:left w:val="none" w:color="000000" w:sz="4"/>
              <w:bottom w:val="single" w:color="000000" w:sz="4"/>
              <w:right w:val="single" w:color="000000" w:sz="4"/>
            </w:tcBorders>
          </w:tcPr>
          <w:p/>
        </w:tc>
        <w:tc>
          <w:tcPr>
            <w:tcW w:type="dxa" w:w="1426"/>
            <w:vMerge/>
            <w:tcBorders>
              <w:top w:val="none" w:color="000000" w:sz="4"/>
              <w:left w:val="none" w:color="000000" w:sz="4"/>
              <w:bottom w:val="single" w:color="000000" w:sz="4"/>
              <w:right w:val="single" w:color="000000" w:sz="4"/>
            </w:tcBorders>
          </w:tcPr>
          <w:p/>
        </w:tc>
      </w:tr>
    </w:tbl>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3,970,000.00</w:t>
      </w:r>
    </w:p>
    <w:p>
      <w:pPr>
        <w:pStyle w:val="null3"/>
        <w:jc w:val="left"/>
      </w:pPr>
      <w:r>
        <w:rPr>
          <w:rFonts w:ascii="仿宋_GB2312" w:hAnsi="仿宋_GB2312" w:cs="仿宋_GB2312" w:eastAsia="仿宋_GB2312"/>
        </w:rPr>
        <w:t>采购包最高限价（元）: 3,900,000.00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C22040000-餐饮服务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3,970,000.00</w:t>
            </w:r>
          </w:p>
        </w:tc>
        <w:tc>
          <w:tcPr>
            <w:tcW w:type="dxa" w:w="831"/>
          </w:tcPr>
          <w:p>
            <w:pPr>
              <w:pStyle w:val="null3"/>
              <w:jc w:val="left"/>
            </w:pPr>
            <w:r>
              <w:rPr>
                <w:rFonts w:ascii="仿宋_GB2312" w:hAnsi="仿宋_GB2312" w:cs="仿宋_GB2312" w:eastAsia="仿宋_GB2312"/>
              </w:rPr>
              <w:t>其他</w:t>
            </w:r>
          </w:p>
        </w:tc>
        <w:tc>
          <w:tcPr>
            <w:tcW w:type="dxa" w:w="831"/>
          </w:tcPr>
          <w:p>
            <w:pPr>
              <w:pStyle w:val="null3"/>
              <w:jc w:val="left"/>
            </w:pPr>
            <w:r>
              <w:rPr>
                <w:rFonts w:ascii="仿宋_GB2312" w:hAnsi="仿宋_GB2312" w:cs="仿宋_GB2312" w:eastAsia="仿宋_GB2312"/>
              </w:rPr>
              <w:t>餐饮业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C22040000-餐饮服务</w:t>
            </w:r>
          </w:p>
        </w:tc>
        <w:tc>
          <w:tcPr>
            <w:tcW w:type="dxa" w:w="554"/>
          </w:tcPr>
          <w:p>
            <w:pPr>
              <w:pStyle w:val="null3"/>
              <w:jc w:val="left"/>
            </w:pPr>
            <w:r>
              <w:rPr>
                <w:rFonts w:ascii="仿宋_GB2312" w:hAnsi="仿宋_GB2312" w:cs="仿宋_GB2312" w:eastAsia="仿宋_GB2312"/>
              </w:rPr>
              <w:t>其他</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3,900,000.00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标的名称：C22040000-餐饮服务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供应商供应的产品必须符合国家《产品质量法》、《食品卫生法》等相关法律法规的要求，确保所供食品优质新鲜，符合卫生防疫部门、检验检疫部门的各项合格指标，并有完整的销售合格标注或证书，符合采购人提出的合理的特殊要求和质量标准。</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所有食品的采购都须做到索证无误，“三证”齐全，并把索证记录表和有关证明提供给采购人。对货物的品质的具体要求（必须符合国家相关食品主管部门的相关标准和下列规格要求）</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肉、水产类：（索证无误，“三证”齐全，并提供产品检疫合格证等相关食物索证证明材料提供给采购人；</w:t>
            </w:r>
          </w:p>
          <w:p>
            <w:pPr>
              <w:pStyle w:val="null3"/>
              <w:jc w:val="left"/>
            </w:pPr>
            <w:r>
              <w:rPr>
                <w:rFonts w:ascii="仿宋_GB2312" w:hAnsi="仿宋_GB2312" w:cs="仿宋_GB2312" w:eastAsia="仿宋_GB2312"/>
                <w:sz w:val="20"/>
              </w:rPr>
              <w:t>A.</w:t>
            </w:r>
            <w:r>
              <w:rPr>
                <w:rFonts w:ascii="仿宋_GB2312" w:hAnsi="仿宋_GB2312" w:cs="仿宋_GB2312" w:eastAsia="仿宋_GB2312"/>
                <w:sz w:val="20"/>
              </w:rPr>
              <w:t>必须符合相应的国家或行业食品安全标准；</w:t>
            </w:r>
          </w:p>
          <w:p>
            <w:pPr>
              <w:pStyle w:val="null3"/>
              <w:jc w:val="left"/>
            </w:pPr>
            <w:r>
              <w:rPr>
                <w:rFonts w:ascii="仿宋_GB2312" w:hAnsi="仿宋_GB2312" w:cs="仿宋_GB2312" w:eastAsia="仿宋_GB2312"/>
                <w:sz w:val="20"/>
              </w:rPr>
              <w:t>B.</w:t>
            </w:r>
            <w:r>
              <w:rPr>
                <w:rFonts w:ascii="仿宋_GB2312" w:hAnsi="仿宋_GB2312" w:cs="仿宋_GB2312" w:eastAsia="仿宋_GB2312"/>
                <w:sz w:val="20"/>
              </w:rPr>
              <w:t>供应商所供肉类、水产类要求全部为当日生鲜（当日宰杀），拒绝冷冻食品；</w:t>
            </w:r>
          </w:p>
          <w:p>
            <w:pPr>
              <w:pStyle w:val="null3"/>
              <w:jc w:val="left"/>
            </w:pPr>
            <w:r>
              <w:rPr>
                <w:rFonts w:ascii="仿宋_GB2312" w:hAnsi="仿宋_GB2312" w:cs="仿宋_GB2312" w:eastAsia="仿宋_GB2312"/>
                <w:sz w:val="20"/>
              </w:rPr>
              <w:t>C.</w:t>
            </w:r>
            <w:r>
              <w:rPr>
                <w:rFonts w:ascii="仿宋_GB2312" w:hAnsi="仿宋_GB2312" w:cs="仿宋_GB2312" w:eastAsia="仿宋_GB2312"/>
                <w:sz w:val="20"/>
              </w:rPr>
              <w:t>需具有追踪溯源体系，并可追踪溯源。猪肉、牛肉、鸡鸭、鸡副产品等供货时必须提供动物检验检疫合格证（原件）、禽类检疫合格证（原件）；家禽和鱼类必须为当天宰杀的新鲜产品，不得提供隔夜或宰杀前已死亡产品</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禽蛋、蔬菜瓜果、豆制品类：（索证无误，“三证”齐全，供货时提供所有蔬菜、豆制品、水果检疫合格证）。</w:t>
            </w:r>
          </w:p>
          <w:p>
            <w:pPr>
              <w:pStyle w:val="null3"/>
              <w:jc w:val="left"/>
            </w:pPr>
            <w:r>
              <w:rPr>
                <w:rFonts w:ascii="仿宋_GB2312" w:hAnsi="仿宋_GB2312" w:cs="仿宋_GB2312" w:eastAsia="仿宋_GB2312"/>
                <w:sz w:val="20"/>
              </w:rPr>
              <w:t>A.</w:t>
            </w:r>
            <w:r>
              <w:rPr>
                <w:rFonts w:ascii="仿宋_GB2312" w:hAnsi="仿宋_GB2312" w:cs="仿宋_GB2312" w:eastAsia="仿宋_GB2312"/>
                <w:sz w:val="20"/>
              </w:rPr>
              <w:t>禽蛋：蛋壳清洁、无破裂，打开后蛋壳凸起、完整、有韧性，蛋白澄清透明，稀稠分明，必须符合</w:t>
            </w:r>
            <w:r>
              <w:rPr>
                <w:rFonts w:ascii="仿宋_GB2312" w:hAnsi="仿宋_GB2312" w:cs="仿宋_GB2312" w:eastAsia="仿宋_GB2312"/>
                <w:sz w:val="20"/>
              </w:rPr>
              <w:t>GB2749</w:t>
            </w:r>
            <w:r>
              <w:rPr>
                <w:rFonts w:ascii="仿宋_GB2312" w:hAnsi="仿宋_GB2312" w:cs="仿宋_GB2312" w:eastAsia="仿宋_GB2312"/>
                <w:sz w:val="20"/>
              </w:rPr>
              <w:t>标准；</w:t>
            </w:r>
          </w:p>
          <w:p>
            <w:pPr>
              <w:pStyle w:val="null3"/>
              <w:jc w:val="left"/>
            </w:pPr>
            <w:r>
              <w:rPr>
                <w:rFonts w:ascii="仿宋_GB2312" w:hAnsi="仿宋_GB2312" w:cs="仿宋_GB2312" w:eastAsia="仿宋_GB2312"/>
                <w:sz w:val="20"/>
              </w:rPr>
              <w:t>B.</w:t>
            </w:r>
            <w:r>
              <w:rPr>
                <w:rFonts w:ascii="仿宋_GB2312" w:hAnsi="仿宋_GB2312" w:cs="仿宋_GB2312" w:eastAsia="仿宋_GB2312"/>
                <w:sz w:val="20"/>
              </w:rPr>
              <w:t>蔬菜瓜果：必须符合农产品安全质量无公害蔬菜瓜果安全要求，对蔬菜瓜果中有害物质严格控制在标准规定范围之内。供应商供应的蔬菜瓜果必须为新鲜时令蔬菜，符合国家《农产品安全质量无公害蔬菜安全要求》、《食品中污染限量》、《食品中农药最大残留限量》等规定和采购人有关的质量要求，严格遵守“无公害蔬菜”管理办法，所供蔬菜必须经过粗加工，食用率达</w:t>
            </w:r>
            <w:r>
              <w:rPr>
                <w:rFonts w:ascii="仿宋_GB2312" w:hAnsi="仿宋_GB2312" w:cs="仿宋_GB2312" w:eastAsia="仿宋_GB2312"/>
                <w:sz w:val="20"/>
              </w:rPr>
              <w:t>95%</w:t>
            </w:r>
            <w:r>
              <w:rPr>
                <w:rFonts w:ascii="仿宋_GB2312" w:hAnsi="仿宋_GB2312" w:cs="仿宋_GB2312" w:eastAsia="仿宋_GB2312"/>
                <w:sz w:val="20"/>
              </w:rPr>
              <w:t>以上；</w:t>
            </w:r>
          </w:p>
          <w:p>
            <w:pPr>
              <w:pStyle w:val="null3"/>
              <w:jc w:val="left"/>
            </w:pPr>
            <w:r>
              <w:rPr>
                <w:rFonts w:ascii="仿宋_GB2312" w:hAnsi="仿宋_GB2312" w:cs="仿宋_GB2312" w:eastAsia="仿宋_GB2312"/>
                <w:sz w:val="20"/>
              </w:rPr>
              <w:t>C.</w:t>
            </w:r>
            <w:r>
              <w:rPr>
                <w:rFonts w:ascii="仿宋_GB2312" w:hAnsi="仿宋_GB2312" w:cs="仿宋_GB2312" w:eastAsia="仿宋_GB2312"/>
                <w:sz w:val="20"/>
              </w:rPr>
              <w:t>豆制品：确保所采购的豆制品是由纯黄豆加工而成，且原料来源合法，不得有霉烂变质的现象。此外，加工工艺需要规范，并且符合国家的食品卫生标准。不应含有国家禁止使用的增白剂和添加剂等对人体的有害物质，必须符合</w:t>
            </w:r>
            <w:r>
              <w:rPr>
                <w:rFonts w:ascii="仿宋_GB2312" w:hAnsi="仿宋_GB2312" w:cs="仿宋_GB2312" w:eastAsia="仿宋_GB2312"/>
                <w:sz w:val="20"/>
              </w:rPr>
              <w:t>GB2712-2014</w:t>
            </w:r>
            <w:r>
              <w:rPr>
                <w:rFonts w:ascii="仿宋_GB2312" w:hAnsi="仿宋_GB2312" w:cs="仿宋_GB2312" w:eastAsia="仿宋_GB2312"/>
                <w:sz w:val="20"/>
              </w:rPr>
              <w:t>标准</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大米、食用油、干货、杂粮、粗粮类：（索证无误，“三证”齐全，并提供产品合格证等相关证明材料提供给采购人。</w:t>
            </w:r>
          </w:p>
          <w:p>
            <w:pPr>
              <w:pStyle w:val="null3"/>
              <w:jc w:val="left"/>
            </w:pPr>
            <w:r>
              <w:rPr>
                <w:rFonts w:ascii="仿宋_GB2312" w:hAnsi="仿宋_GB2312" w:cs="仿宋_GB2312" w:eastAsia="仿宋_GB2312"/>
                <w:sz w:val="20"/>
              </w:rPr>
              <w:t>A.</w:t>
            </w:r>
            <w:r>
              <w:rPr>
                <w:rFonts w:ascii="仿宋_GB2312" w:hAnsi="仿宋_GB2312" w:cs="仿宋_GB2312" w:eastAsia="仿宋_GB2312"/>
                <w:sz w:val="20"/>
              </w:rPr>
              <w:t>大米的品质要求：</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）有“</w:t>
            </w:r>
            <w:r>
              <w:rPr>
                <w:rFonts w:ascii="仿宋_GB2312" w:hAnsi="仿宋_GB2312" w:cs="仿宋_GB2312" w:eastAsia="仿宋_GB2312"/>
                <w:sz w:val="20"/>
              </w:rPr>
              <w:t>SC</w:t>
            </w:r>
            <w:r>
              <w:rPr>
                <w:rFonts w:ascii="仿宋_GB2312" w:hAnsi="仿宋_GB2312" w:cs="仿宋_GB2312" w:eastAsia="仿宋_GB2312"/>
                <w:sz w:val="20"/>
              </w:rPr>
              <w:t>”标志，标明加工厂名称、品名、生产日期、保持期或保存期，供货时的剩余保质期不少于三分之二，质量等级、产品标准号、产品合格证，质量符合</w:t>
            </w:r>
            <w:r>
              <w:rPr>
                <w:rFonts w:ascii="仿宋_GB2312" w:hAnsi="仿宋_GB2312" w:cs="仿宋_GB2312" w:eastAsia="仿宋_GB2312"/>
                <w:sz w:val="20"/>
              </w:rPr>
              <w:t>GB1354-2009</w:t>
            </w:r>
            <w:r>
              <w:rPr>
                <w:rFonts w:ascii="仿宋_GB2312" w:hAnsi="仿宋_GB2312" w:cs="仿宋_GB2312" w:eastAsia="仿宋_GB2312"/>
                <w:sz w:val="20"/>
              </w:rPr>
              <w:t>标准</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）具有固有色泽和香味，无污染、无虫害，色泽、气味、口味正常，无异味或霉味（霉变），无虫蛀结块挂丝或杂质异等，符合国家粮食卫生标准。</w:t>
            </w:r>
          </w:p>
          <w:p>
            <w:pPr>
              <w:pStyle w:val="null3"/>
              <w:jc w:val="left"/>
            </w:pPr>
            <w:r>
              <w:rPr>
                <w:rFonts w:ascii="仿宋_GB2312" w:hAnsi="仿宋_GB2312" w:cs="仿宋_GB2312" w:eastAsia="仿宋_GB2312"/>
                <w:sz w:val="20"/>
              </w:rPr>
              <w:t>B.</w:t>
            </w:r>
            <w:r>
              <w:rPr>
                <w:rFonts w:ascii="仿宋_GB2312" w:hAnsi="仿宋_GB2312" w:cs="仿宋_GB2312" w:eastAsia="仿宋_GB2312"/>
                <w:sz w:val="20"/>
              </w:rPr>
              <w:t>食用油的品质要求：</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）基本要求：外包装完好，必须符合</w:t>
            </w:r>
            <w:r>
              <w:rPr>
                <w:rFonts w:ascii="仿宋_GB2312" w:hAnsi="仿宋_GB2312" w:cs="仿宋_GB2312" w:eastAsia="仿宋_GB2312"/>
                <w:sz w:val="20"/>
              </w:rPr>
              <w:t>GB1536</w:t>
            </w:r>
            <w:r>
              <w:rPr>
                <w:rFonts w:ascii="仿宋_GB2312" w:hAnsi="仿宋_GB2312" w:cs="仿宋_GB2312" w:eastAsia="仿宋_GB2312"/>
                <w:sz w:val="20"/>
              </w:rPr>
              <w:t>标准，有</w:t>
            </w:r>
            <w:r>
              <w:rPr>
                <w:rFonts w:ascii="仿宋_GB2312" w:hAnsi="仿宋_GB2312" w:cs="仿宋_GB2312" w:eastAsia="仿宋_GB2312"/>
                <w:sz w:val="20"/>
              </w:rPr>
              <w:t>SC</w:t>
            </w:r>
            <w:r>
              <w:rPr>
                <w:rFonts w:ascii="仿宋_GB2312" w:hAnsi="仿宋_GB2312" w:cs="仿宋_GB2312" w:eastAsia="仿宋_GB2312"/>
                <w:sz w:val="20"/>
              </w:rPr>
              <w:t>标志，非转基因产品，标明品名、厂名、重量、生产日期、保质期或保存期、执行标准，供货时剩余保质期不少于三分二，具有产品合格证。具有正常植物油的色泽、透明度、气味和滋味，无焦臭、酸败及其他异味；</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）食用油生产企业的资质证明（首次供应时提供）：《营业执照》、《全国工业产品生产许可证》；</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）气味、滋味：具有固定的气味和滋味，无异味；</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）加热试验（</w:t>
            </w:r>
            <w:r>
              <w:rPr>
                <w:rFonts w:ascii="仿宋_GB2312" w:hAnsi="仿宋_GB2312" w:cs="仿宋_GB2312" w:eastAsia="仿宋_GB2312"/>
                <w:sz w:val="20"/>
              </w:rPr>
              <w:t>280</w:t>
            </w:r>
            <w:r>
              <w:rPr>
                <w:rFonts w:ascii="仿宋_GB2312" w:hAnsi="仿宋_GB2312" w:cs="仿宋_GB2312" w:eastAsia="仿宋_GB2312"/>
                <w:sz w:val="20"/>
              </w:rPr>
              <w:t>℃）油色不得变深，无析出物；</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）不得混有其他食用油或非食用油；</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）卫生标准和动植物检疫项目，按照国家有关规定执行；</w:t>
            </w:r>
          </w:p>
          <w:p>
            <w:pPr>
              <w:pStyle w:val="null3"/>
              <w:jc w:val="left"/>
            </w:pPr>
            <w:r>
              <w:rPr>
                <w:rFonts w:ascii="仿宋_GB2312" w:hAnsi="仿宋_GB2312" w:cs="仿宋_GB2312" w:eastAsia="仿宋_GB2312"/>
                <w:sz w:val="20"/>
              </w:rPr>
              <w:t>C.</w:t>
            </w:r>
            <w:r>
              <w:rPr>
                <w:rFonts w:ascii="仿宋_GB2312" w:hAnsi="仿宋_GB2312" w:cs="仿宋_GB2312" w:eastAsia="仿宋_GB2312"/>
                <w:sz w:val="20"/>
              </w:rPr>
              <w:t>干货的品质要求：必须符合相关国家标准，并拥有“</w:t>
            </w:r>
            <w:r>
              <w:rPr>
                <w:rFonts w:ascii="仿宋_GB2312" w:hAnsi="仿宋_GB2312" w:cs="仿宋_GB2312" w:eastAsia="仿宋_GB2312"/>
                <w:sz w:val="20"/>
              </w:rPr>
              <w:t>SC</w:t>
            </w:r>
            <w:r>
              <w:rPr>
                <w:rFonts w:ascii="仿宋_GB2312" w:hAnsi="仿宋_GB2312" w:cs="仿宋_GB2312" w:eastAsia="仿宋_GB2312"/>
                <w:sz w:val="20"/>
              </w:rPr>
              <w:t>”食品质量安全认证标志；</w:t>
            </w:r>
          </w:p>
          <w:p>
            <w:pPr>
              <w:pStyle w:val="null3"/>
              <w:jc w:val="left"/>
            </w:pPr>
            <w:r>
              <w:rPr>
                <w:rFonts w:ascii="仿宋_GB2312" w:hAnsi="仿宋_GB2312" w:cs="仿宋_GB2312" w:eastAsia="仿宋_GB2312"/>
                <w:sz w:val="20"/>
              </w:rPr>
              <w:t>D.</w:t>
            </w:r>
            <w:r>
              <w:rPr>
                <w:rFonts w:ascii="仿宋_GB2312" w:hAnsi="仿宋_GB2312" w:cs="仿宋_GB2312" w:eastAsia="仿宋_GB2312"/>
                <w:sz w:val="20"/>
              </w:rPr>
              <w:t>杂粮、粗粮的品质要求：所有杂粮、粗粮产品必须符合国家食品安全卫生标准，无添加剂，无污染，新鲜度高。</w:t>
            </w:r>
          </w:p>
          <w:p>
            <w:pPr>
              <w:pStyle w:val="null3"/>
              <w:jc w:val="left"/>
            </w:pPr>
            <w:r>
              <w:rPr>
                <w:rFonts w:ascii="仿宋_GB2312" w:hAnsi="仿宋_GB2312" w:cs="仿宋_GB2312" w:eastAsia="仿宋_GB2312"/>
                <w:sz w:val="20"/>
                <w:b/>
              </w:rPr>
              <w:t>6.</w:t>
            </w:r>
            <w:r>
              <w:rPr>
                <w:rFonts w:ascii="仿宋_GB2312" w:hAnsi="仿宋_GB2312" w:cs="仿宋_GB2312" w:eastAsia="仿宋_GB2312"/>
                <w:sz w:val="20"/>
                <w:b/>
              </w:rPr>
              <w:t>供应商应配备县区域内专职负责人应具有三年以上食品供应管理经验，掌握食品质量安全相关的法律法规知识，具有良好的思想素质和职业道德。专职食品安全管理员应在市场监督管理部门组织的培训考核中合格，落实日常食品安全管理工作检查制度，建立食品安全工作巡检制度，并做好检查、巡检记录和存档；</w:t>
            </w:r>
            <w:r>
              <w:rPr>
                <w:rFonts w:ascii="仿宋_GB2312" w:hAnsi="仿宋_GB2312" w:cs="仿宋_GB2312" w:eastAsia="仿宋_GB2312"/>
                <w:sz w:val="20"/>
                <w:b/>
              </w:rPr>
              <w:t>(</w:t>
            </w:r>
            <w:r>
              <w:rPr>
                <w:rFonts w:ascii="仿宋_GB2312" w:hAnsi="仿宋_GB2312" w:cs="仿宋_GB2312" w:eastAsia="仿宋_GB2312"/>
                <w:sz w:val="20"/>
                <w:b/>
              </w:rPr>
              <w:t>其他人员包含：专</w:t>
            </w:r>
            <w:r>
              <w:rPr>
                <w:rFonts w:ascii="仿宋_GB2312" w:hAnsi="仿宋_GB2312" w:cs="仿宋_GB2312" w:eastAsia="仿宋_GB2312"/>
                <w:sz w:val="20"/>
                <w:b/>
              </w:rPr>
              <w:t>&lt;</w:t>
            </w:r>
            <w:r>
              <w:rPr>
                <w:rFonts w:ascii="仿宋_GB2312" w:hAnsi="仿宋_GB2312" w:cs="仿宋_GB2312" w:eastAsia="仿宋_GB2312"/>
                <w:sz w:val="20"/>
                <w:b/>
              </w:rPr>
              <w:t>兼</w:t>
            </w:r>
            <w:r>
              <w:rPr>
                <w:rFonts w:ascii="仿宋_GB2312" w:hAnsi="仿宋_GB2312" w:cs="仿宋_GB2312" w:eastAsia="仿宋_GB2312"/>
                <w:sz w:val="20"/>
                <w:b/>
              </w:rPr>
              <w:t>&gt;</w:t>
            </w:r>
            <w:r>
              <w:rPr>
                <w:rFonts w:ascii="仿宋_GB2312" w:hAnsi="仿宋_GB2312" w:cs="仿宋_GB2312" w:eastAsia="仿宋_GB2312"/>
                <w:sz w:val="20"/>
                <w:b/>
              </w:rPr>
              <w:t>职食品安全管理员（须具备中级及以上证书）</w:t>
            </w:r>
            <w:r>
              <w:rPr>
                <w:rFonts w:ascii="仿宋_GB2312" w:hAnsi="仿宋_GB2312" w:cs="仿宋_GB2312" w:eastAsia="仿宋_GB2312"/>
                <w:sz w:val="20"/>
                <w:b/>
              </w:rPr>
              <w:t>4</w:t>
            </w:r>
            <w:r>
              <w:rPr>
                <w:rFonts w:ascii="仿宋_GB2312" w:hAnsi="仿宋_GB2312" w:cs="仿宋_GB2312" w:eastAsia="仿宋_GB2312"/>
                <w:sz w:val="20"/>
                <w:b/>
              </w:rPr>
              <w:t>名以上，食品检验师</w:t>
            </w:r>
            <w:r>
              <w:rPr>
                <w:rFonts w:ascii="仿宋_GB2312" w:hAnsi="仿宋_GB2312" w:cs="仿宋_GB2312" w:eastAsia="仿宋_GB2312"/>
                <w:sz w:val="20"/>
                <w:b/>
              </w:rPr>
              <w:t>1</w:t>
            </w:r>
            <w:r>
              <w:rPr>
                <w:rFonts w:ascii="仿宋_GB2312" w:hAnsi="仿宋_GB2312" w:cs="仿宋_GB2312" w:eastAsia="仿宋_GB2312"/>
                <w:sz w:val="20"/>
                <w:b/>
              </w:rPr>
              <w:t>名，公共营养师</w:t>
            </w:r>
            <w:r>
              <w:rPr>
                <w:rFonts w:ascii="仿宋_GB2312" w:hAnsi="仿宋_GB2312" w:cs="仿宋_GB2312" w:eastAsia="仿宋_GB2312"/>
                <w:sz w:val="20"/>
                <w:b/>
              </w:rPr>
              <w:t>1</w:t>
            </w:r>
            <w:r>
              <w:rPr>
                <w:rFonts w:ascii="仿宋_GB2312" w:hAnsi="仿宋_GB2312" w:cs="仿宋_GB2312" w:eastAsia="仿宋_GB2312"/>
                <w:sz w:val="20"/>
                <w:b/>
              </w:rPr>
              <w:t>名</w:t>
            </w:r>
            <w:r>
              <w:rPr>
                <w:rFonts w:ascii="仿宋_GB2312" w:hAnsi="仿宋_GB2312" w:cs="仿宋_GB2312" w:eastAsia="仿宋_GB2312"/>
                <w:sz w:val="20"/>
                <w:b/>
              </w:rPr>
              <w:t>)</w:t>
            </w:r>
            <w:r>
              <w:rPr>
                <w:rFonts w:ascii="仿宋_GB2312" w:hAnsi="仿宋_GB2312" w:cs="仿宋_GB2312" w:eastAsia="仿宋_GB2312"/>
                <w:sz w:val="20"/>
                <w:b/>
              </w:rPr>
              <w:t>。注明：以上人员的配备，供应商在响应文件中须提供承诺函，承诺中标后，在履行签订合同前</w:t>
            </w:r>
            <w:r>
              <w:rPr>
                <w:rFonts w:ascii="仿宋_GB2312" w:hAnsi="仿宋_GB2312" w:cs="仿宋_GB2312" w:eastAsia="仿宋_GB2312"/>
                <w:sz w:val="20"/>
                <w:b/>
              </w:rPr>
              <w:t>7</w:t>
            </w:r>
            <w:r>
              <w:rPr>
                <w:rFonts w:ascii="仿宋_GB2312" w:hAnsi="仿宋_GB2312" w:cs="仿宋_GB2312" w:eastAsia="仿宋_GB2312"/>
                <w:sz w:val="20"/>
                <w:b/>
              </w:rPr>
              <w:t>个工作日内落实人员的证书齐全且证书均在有效期内，并提供证书复印件一份给予采购人备案留底。若供应商不提供承诺函，则按无效响应处理</w:t>
            </w:r>
            <w:r>
              <w:rPr>
                <w:rFonts w:ascii="仿宋_GB2312" w:hAnsi="仿宋_GB2312" w:cs="仿宋_GB2312" w:eastAsia="仿宋_GB2312"/>
                <w:sz w:val="20"/>
                <w:b/>
              </w:rPr>
              <w:t>。</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供应商所有从业人员应持有有效的健康证，并经食品安全知识培训合格</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供应商应有完整的组织机构，有健全的规章制度，包括人事管理、用工培训、工作规范、卫生保障、安全防患、应急处置、文明服务、价格管理等制度</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供应商应选择安全、质优、价廉的材料，所有材料做到</w:t>
            </w:r>
            <w:r>
              <w:rPr>
                <w:rFonts w:ascii="仿宋_GB2312" w:hAnsi="仿宋_GB2312" w:cs="仿宋_GB2312" w:eastAsia="仿宋_GB2312"/>
                <w:sz w:val="20"/>
              </w:rPr>
              <w:t>100%</w:t>
            </w:r>
            <w:r>
              <w:rPr>
                <w:rFonts w:ascii="仿宋_GB2312" w:hAnsi="仿宋_GB2312" w:cs="仿宋_GB2312" w:eastAsia="仿宋_GB2312"/>
                <w:sz w:val="20"/>
              </w:rPr>
              <w:t>可追溯</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所供应产品符合国家食品安全及质量标准，能按时提供产地质检机构年度抽检报告或分批次生产厂家自检报告等</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供应商应建立健全并执行食品安全管理制度，主要包括：食品安全知识培训制度，从业人员健康管理制度，食品原材料进货查验记录制度，食品原材料运输储存保管制度，不合格食品原材料退市、召回制度，食品原材料质量安全检测制度，食品原材料留样制度，食品原材料安全事故处置方案，环境卫生管理制度，法律法规规定的其他制度</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供应商应设置符合条件的配送</w:t>
            </w:r>
            <w:r>
              <w:rPr>
                <w:rFonts w:ascii="仿宋_GB2312" w:hAnsi="仿宋_GB2312" w:cs="仿宋_GB2312" w:eastAsia="仿宋_GB2312"/>
                <w:sz w:val="20"/>
              </w:rPr>
              <w:t xml:space="preserve"> (</w:t>
            </w:r>
            <w:r>
              <w:rPr>
                <w:rFonts w:ascii="仿宋_GB2312" w:hAnsi="仿宋_GB2312" w:cs="仿宋_GB2312" w:eastAsia="仿宋_GB2312"/>
                <w:sz w:val="20"/>
              </w:rPr>
              <w:t>分拣</w:t>
            </w:r>
            <w:r>
              <w:rPr>
                <w:rFonts w:ascii="仿宋_GB2312" w:hAnsi="仿宋_GB2312" w:cs="仿宋_GB2312" w:eastAsia="仿宋_GB2312"/>
                <w:sz w:val="20"/>
              </w:rPr>
              <w:t xml:space="preserve">) </w:t>
            </w:r>
            <w:r>
              <w:rPr>
                <w:rFonts w:ascii="仿宋_GB2312" w:hAnsi="仿宋_GB2312" w:cs="仿宋_GB2312" w:eastAsia="仿宋_GB2312"/>
                <w:sz w:val="20"/>
              </w:rPr>
              <w:t>仓库，配备专用的库房和必要的食品贮存设施设备，库房应符合以下要求</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A.</w:t>
            </w:r>
            <w:r>
              <w:rPr>
                <w:rFonts w:ascii="仿宋_GB2312" w:hAnsi="仿宋_GB2312" w:cs="仿宋_GB2312" w:eastAsia="仿宋_GB2312"/>
                <w:sz w:val="20"/>
              </w:rPr>
              <w:t>库房周围应环境整洁，卫生状况良好，</w:t>
            </w:r>
            <w:r>
              <w:rPr>
                <w:rFonts w:ascii="仿宋_GB2312" w:hAnsi="仿宋_GB2312" w:cs="仿宋_GB2312" w:eastAsia="仿宋_GB2312"/>
                <w:sz w:val="20"/>
              </w:rPr>
              <w:t xml:space="preserve">25 </w:t>
            </w:r>
            <w:r>
              <w:rPr>
                <w:rFonts w:ascii="仿宋_GB2312" w:hAnsi="仿宋_GB2312" w:cs="仿宋_GB2312" w:eastAsia="仿宋_GB2312"/>
                <w:sz w:val="20"/>
              </w:rPr>
              <w:t>米以内无暴露的垃圾场、旱厕、粪池等污染源；</w:t>
            </w:r>
          </w:p>
          <w:p>
            <w:pPr>
              <w:pStyle w:val="null3"/>
              <w:jc w:val="left"/>
            </w:pPr>
            <w:r>
              <w:rPr>
                <w:rFonts w:ascii="仿宋_GB2312" w:hAnsi="仿宋_GB2312" w:cs="仿宋_GB2312" w:eastAsia="仿宋_GB2312"/>
                <w:sz w:val="20"/>
              </w:rPr>
              <w:t>B.</w:t>
            </w:r>
            <w:r>
              <w:rPr>
                <w:rFonts w:ascii="仿宋_GB2312" w:hAnsi="仿宋_GB2312" w:cs="仿宋_GB2312" w:eastAsia="仿宋_GB2312"/>
                <w:sz w:val="20"/>
              </w:rPr>
              <w:t>库房地面应当干燥、平整，保持清洁；应有良好的通风、采光、照明，经营场所和仓储场所门窗、下水道出口等应闭合严密，加装必要的防蝇、防鼠、防火、防盗设施；</w:t>
            </w:r>
          </w:p>
          <w:p>
            <w:pPr>
              <w:pStyle w:val="null3"/>
              <w:jc w:val="left"/>
            </w:pPr>
            <w:r>
              <w:rPr>
                <w:rFonts w:ascii="仿宋_GB2312" w:hAnsi="仿宋_GB2312" w:cs="仿宋_GB2312" w:eastAsia="仿宋_GB2312"/>
                <w:sz w:val="20"/>
              </w:rPr>
              <w:t>C.</w:t>
            </w:r>
            <w:r>
              <w:rPr>
                <w:rFonts w:ascii="仿宋_GB2312" w:hAnsi="仿宋_GB2312" w:cs="仿宋_GB2312" w:eastAsia="仿宋_GB2312"/>
                <w:sz w:val="20"/>
              </w:rPr>
              <w:t>库房应具有满足供应食品品种、数量相适应的设施设备条件，食品仓储场所的货架</w:t>
            </w:r>
            <w:r>
              <w:rPr>
                <w:rFonts w:ascii="仿宋_GB2312" w:hAnsi="仿宋_GB2312" w:cs="仿宋_GB2312" w:eastAsia="仿宋_GB2312"/>
                <w:sz w:val="20"/>
              </w:rPr>
              <w:t>(</w:t>
            </w:r>
            <w:r>
              <w:rPr>
                <w:rFonts w:ascii="仿宋_GB2312" w:hAnsi="仿宋_GB2312" w:cs="仿宋_GB2312" w:eastAsia="仿宋_GB2312"/>
                <w:sz w:val="20"/>
              </w:rPr>
              <w:t>台</w:t>
            </w:r>
            <w:r>
              <w:rPr>
                <w:rFonts w:ascii="仿宋_GB2312" w:hAnsi="仿宋_GB2312" w:cs="仿宋_GB2312" w:eastAsia="仿宋_GB2312"/>
                <w:sz w:val="20"/>
              </w:rPr>
              <w:t>)</w:t>
            </w:r>
            <w:r>
              <w:rPr>
                <w:rFonts w:ascii="仿宋_GB2312" w:hAnsi="仿宋_GB2312" w:cs="仿宋_GB2312" w:eastAsia="仿宋_GB2312"/>
                <w:sz w:val="20"/>
              </w:rPr>
              <w:t>应与地、墙保持距离，能使食品应分类、分区、分架、遵循先进先出存放；</w:t>
            </w:r>
          </w:p>
          <w:p>
            <w:pPr>
              <w:pStyle w:val="null3"/>
              <w:jc w:val="left"/>
            </w:pPr>
            <w:r>
              <w:rPr>
                <w:rFonts w:ascii="仿宋_GB2312" w:hAnsi="仿宋_GB2312" w:cs="仿宋_GB2312" w:eastAsia="仿宋_GB2312"/>
                <w:sz w:val="20"/>
              </w:rPr>
              <w:t>D.</w:t>
            </w:r>
            <w:r>
              <w:rPr>
                <w:rFonts w:ascii="仿宋_GB2312" w:hAnsi="仿宋_GB2312" w:cs="仿宋_GB2312" w:eastAsia="仿宋_GB2312"/>
                <w:sz w:val="20"/>
              </w:rPr>
              <w:t>食品添加剂应做到“五专”管理，分类存放；</w:t>
            </w:r>
          </w:p>
          <w:p>
            <w:pPr>
              <w:pStyle w:val="null3"/>
              <w:jc w:val="left"/>
            </w:pPr>
            <w:r>
              <w:rPr>
                <w:rFonts w:ascii="仿宋_GB2312" w:hAnsi="仿宋_GB2312" w:cs="仿宋_GB2312" w:eastAsia="仿宋_GB2312"/>
                <w:sz w:val="20"/>
              </w:rPr>
              <w:t>E.</w:t>
            </w:r>
            <w:r>
              <w:rPr>
                <w:rFonts w:ascii="仿宋_GB2312" w:hAnsi="仿宋_GB2312" w:cs="仿宋_GB2312" w:eastAsia="仿宋_GB2312"/>
                <w:sz w:val="20"/>
              </w:rPr>
              <w:t>库房内不得有其他不相关物品混合存放，不得有兽药、农药及其他有毒有害的化工产品；</w:t>
            </w:r>
          </w:p>
          <w:p>
            <w:pPr>
              <w:pStyle w:val="null3"/>
              <w:jc w:val="left"/>
            </w:pPr>
            <w:r>
              <w:rPr>
                <w:rFonts w:ascii="仿宋_GB2312" w:hAnsi="仿宋_GB2312" w:cs="仿宋_GB2312" w:eastAsia="仿宋_GB2312"/>
                <w:sz w:val="20"/>
              </w:rPr>
              <w:t>F.</w:t>
            </w:r>
            <w:r>
              <w:rPr>
                <w:rFonts w:ascii="仿宋_GB2312" w:hAnsi="仿宋_GB2312" w:cs="仿宋_GB2312" w:eastAsia="仿宋_GB2312"/>
                <w:sz w:val="20"/>
              </w:rPr>
              <w:t>库房配备必要的符合食品储藏条件的控温、控湿设施，根据需要配备恒温保鲜库</w:t>
            </w:r>
            <w:r>
              <w:rPr>
                <w:rFonts w:ascii="仿宋_GB2312" w:hAnsi="仿宋_GB2312" w:cs="仿宋_GB2312" w:eastAsia="仿宋_GB2312"/>
                <w:sz w:val="20"/>
              </w:rPr>
              <w:t>(</w:t>
            </w:r>
            <w:r>
              <w:rPr>
                <w:rFonts w:ascii="仿宋_GB2312" w:hAnsi="仿宋_GB2312" w:cs="仿宋_GB2312" w:eastAsia="仿宋_GB2312"/>
                <w:sz w:val="20"/>
              </w:rPr>
              <w:t>柜</w:t>
            </w:r>
            <w:r>
              <w:rPr>
                <w:rFonts w:ascii="仿宋_GB2312" w:hAnsi="仿宋_GB2312" w:cs="仿宋_GB2312" w:eastAsia="仿宋_GB2312"/>
                <w:sz w:val="20"/>
              </w:rPr>
              <w:t>)</w:t>
            </w:r>
            <w:r>
              <w:rPr>
                <w:rFonts w:ascii="仿宋_GB2312" w:hAnsi="仿宋_GB2312" w:cs="仿宋_GB2312" w:eastAsia="仿宋_GB2312"/>
                <w:sz w:val="20"/>
              </w:rPr>
              <w:t>、冷冻冷藏库</w:t>
            </w:r>
            <w:r>
              <w:rPr>
                <w:rFonts w:ascii="仿宋_GB2312" w:hAnsi="仿宋_GB2312" w:cs="仿宋_GB2312" w:eastAsia="仿宋_GB2312"/>
                <w:sz w:val="20"/>
              </w:rPr>
              <w:t>(</w:t>
            </w:r>
            <w:r>
              <w:rPr>
                <w:rFonts w:ascii="仿宋_GB2312" w:hAnsi="仿宋_GB2312" w:cs="仿宋_GB2312" w:eastAsia="仿宋_GB2312"/>
                <w:sz w:val="20"/>
              </w:rPr>
              <w:t>柜</w:t>
            </w:r>
            <w:r>
              <w:rPr>
                <w:rFonts w:ascii="仿宋_GB2312" w:hAnsi="仿宋_GB2312" w:cs="仿宋_GB2312" w:eastAsia="仿宋_GB2312"/>
                <w:sz w:val="20"/>
              </w:rPr>
              <w:t>)</w:t>
            </w:r>
            <w:r>
              <w:rPr>
                <w:rFonts w:ascii="仿宋_GB2312" w:hAnsi="仿宋_GB2312" w:cs="仿宋_GB2312" w:eastAsia="仿宋_GB2312"/>
                <w:sz w:val="20"/>
              </w:rPr>
              <w:t>和留样设备等；</w:t>
            </w:r>
          </w:p>
          <w:p>
            <w:pPr>
              <w:pStyle w:val="null3"/>
              <w:jc w:val="left"/>
            </w:pPr>
            <w:r>
              <w:rPr>
                <w:rFonts w:ascii="仿宋_GB2312" w:hAnsi="仿宋_GB2312" w:cs="仿宋_GB2312" w:eastAsia="仿宋_GB2312"/>
                <w:sz w:val="20"/>
              </w:rPr>
              <w:t>G.</w:t>
            </w:r>
            <w:r>
              <w:rPr>
                <w:rFonts w:ascii="仿宋_GB2312" w:hAnsi="仿宋_GB2312" w:cs="仿宋_GB2312" w:eastAsia="仿宋_GB2312"/>
                <w:sz w:val="20"/>
              </w:rPr>
              <w:t>出库原材料要做好记录，建立原材料二级追溯机制；</w:t>
            </w:r>
          </w:p>
          <w:p>
            <w:pPr>
              <w:pStyle w:val="null3"/>
              <w:jc w:val="left"/>
            </w:pPr>
            <w:r>
              <w:rPr>
                <w:rFonts w:ascii="仿宋_GB2312" w:hAnsi="仿宋_GB2312" w:cs="仿宋_GB2312" w:eastAsia="仿宋_GB2312"/>
                <w:sz w:val="20"/>
              </w:rPr>
              <w:t>H.</w:t>
            </w:r>
            <w:r>
              <w:rPr>
                <w:rFonts w:ascii="仿宋_GB2312" w:hAnsi="仿宋_GB2312" w:cs="仿宋_GB2312" w:eastAsia="仿宋_GB2312"/>
                <w:sz w:val="20"/>
              </w:rPr>
              <w:t>冷库应当配备温度自动监测、显示、记录、调控、报警的设备。供应商应当对冷库、冷藏车、冷藏箱、保温箱以及温湿度自动监测系统</w:t>
            </w:r>
            <w:r>
              <w:rPr>
                <w:rFonts w:ascii="仿宋_GB2312" w:hAnsi="仿宋_GB2312" w:cs="仿宋_GB2312" w:eastAsia="仿宋_GB2312"/>
                <w:sz w:val="20"/>
              </w:rPr>
              <w:t>(</w:t>
            </w:r>
            <w:r>
              <w:rPr>
                <w:rFonts w:ascii="仿宋_GB2312" w:hAnsi="仿宋_GB2312" w:cs="仿宋_GB2312" w:eastAsia="仿宋_GB2312"/>
                <w:sz w:val="20"/>
              </w:rPr>
              <w:t>以下简称监测系统</w:t>
            </w:r>
            <w:r>
              <w:rPr>
                <w:rFonts w:ascii="仿宋_GB2312" w:hAnsi="仿宋_GB2312" w:cs="仿宋_GB2312" w:eastAsia="仿宋_GB2312"/>
                <w:sz w:val="20"/>
              </w:rPr>
              <w:t>)</w:t>
            </w:r>
            <w:r>
              <w:rPr>
                <w:rFonts w:ascii="仿宋_GB2312" w:hAnsi="仿宋_GB2312" w:cs="仿宋_GB2312" w:eastAsia="仿宋_GB2312"/>
                <w:sz w:val="20"/>
              </w:rPr>
              <w:t>等进行验证，确认相关设施、设备及监测系统能够符合规定的设计标准和要求，并能安全、有效地正常运行和使用，确保冷藏、冷冻食品在储存、运输过程中的质量安全；</w:t>
            </w:r>
          </w:p>
          <w:p>
            <w:pPr>
              <w:pStyle w:val="null3"/>
              <w:jc w:val="left"/>
            </w:pPr>
            <w:r>
              <w:rPr>
                <w:rFonts w:ascii="仿宋_GB2312" w:hAnsi="仿宋_GB2312" w:cs="仿宋_GB2312" w:eastAsia="仿宋_GB2312"/>
                <w:sz w:val="20"/>
              </w:rPr>
              <w:t>I.</w:t>
            </w:r>
            <w:r>
              <w:rPr>
                <w:rFonts w:ascii="仿宋_GB2312" w:hAnsi="仿宋_GB2312" w:cs="仿宋_GB2312" w:eastAsia="仿宋_GB2312"/>
                <w:sz w:val="20"/>
              </w:rPr>
              <w:t>供应商应当配备食品检测室，检测设施设备能满足企业所有食品原材料的自检项目的需要。</w:t>
            </w:r>
          </w:p>
          <w:p>
            <w:pPr>
              <w:pStyle w:val="null3"/>
              <w:jc w:val="left"/>
            </w:pPr>
            <w:r>
              <w:rPr>
                <w:rFonts w:ascii="仿宋_GB2312" w:hAnsi="仿宋_GB2312" w:cs="仿宋_GB2312" w:eastAsia="仿宋_GB2312"/>
                <w:sz w:val="20"/>
              </w:rPr>
              <w:t>J</w:t>
            </w:r>
            <w:r>
              <w:rPr>
                <w:rFonts w:ascii="仿宋_GB2312" w:hAnsi="仿宋_GB2312" w:cs="仿宋_GB2312" w:eastAsia="仿宋_GB2312"/>
                <w:sz w:val="20"/>
              </w:rPr>
              <w:t>供应商应配备足够数量的运送车辆和设备，具备按要求进行物资配送的能力</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应使用专车配送；</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在配送时应做到“三固定”，即司机和送货员相对固定、运送车辆相对固定、运送日期和时间相对固定；</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应对配送人员进行食品安全知识和业务技能培训，配送人员应着装统一、干净、整齐，并佩戴健康证胸卡；</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配送人员应配合仓库管理人员在送货前查看该批次食品的检验报告书、合格证、生产商及生产地的证明文件，查验货物保质期及外包装，不得将过期、变质的原材料送给学校；</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装车过程中避免日晒、雨淋，不得与有毒、有害、有异味或能对产品产生不良影响的物品混装；</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装车时对产品要轻拿、轻放、整齐、平整摆放、不能倒置或侧立，杜绝野蛮操作等现象；</w:t>
            </w:r>
          </w:p>
          <w:p>
            <w:pPr>
              <w:pStyle w:val="null3"/>
              <w:jc w:val="left"/>
            </w:pPr>
            <w:r>
              <w:rPr>
                <w:rFonts w:ascii="仿宋_GB2312" w:hAnsi="仿宋_GB2312" w:cs="仿宋_GB2312" w:eastAsia="仿宋_GB2312"/>
                <w:sz w:val="20"/>
              </w:rPr>
              <w:t>K</w:t>
            </w:r>
            <w:r>
              <w:rPr>
                <w:rFonts w:ascii="仿宋_GB2312" w:hAnsi="仿宋_GB2312" w:cs="仿宋_GB2312" w:eastAsia="仿宋_GB2312"/>
                <w:sz w:val="20"/>
              </w:rPr>
              <w:t>.</w:t>
            </w:r>
            <w:r>
              <w:rPr>
                <w:rFonts w:ascii="仿宋_GB2312" w:hAnsi="仿宋_GB2312" w:cs="仿宋_GB2312" w:eastAsia="仿宋_GB2312"/>
                <w:sz w:val="20"/>
              </w:rPr>
              <w:t>运输冷藏、冷冻食品的冷藏车及车载冷藏箱、保温箱应当符合食品运输过程中对温度控制的要求，冷藏车具有自动调控温度、显示温度、存储和读取温度监测数据的功能；</w:t>
            </w:r>
          </w:p>
          <w:p>
            <w:pPr>
              <w:pStyle w:val="null3"/>
              <w:jc w:val="left"/>
            </w:pPr>
            <w:r>
              <w:rPr>
                <w:rFonts w:ascii="仿宋_GB2312" w:hAnsi="仿宋_GB2312" w:cs="仿宋_GB2312" w:eastAsia="仿宋_GB2312"/>
                <w:sz w:val="20"/>
              </w:rPr>
              <w:t>L</w:t>
            </w:r>
            <w:r>
              <w:rPr>
                <w:rFonts w:ascii="仿宋_GB2312" w:hAnsi="仿宋_GB2312" w:cs="仿宋_GB2312" w:eastAsia="仿宋_GB2312"/>
                <w:sz w:val="20"/>
              </w:rPr>
              <w:t>.</w:t>
            </w:r>
            <w:r>
              <w:rPr>
                <w:rFonts w:ascii="仿宋_GB2312" w:hAnsi="仿宋_GB2312" w:cs="仿宋_GB2312" w:eastAsia="仿宋_GB2312"/>
                <w:sz w:val="20"/>
              </w:rPr>
              <w:t>储存、运输设施设备的定期检查、清洁和维护应当由专人负责，并建立记录和档案</w:t>
            </w:r>
            <w:r>
              <w:rPr>
                <w:rFonts w:ascii="仿宋_GB2312" w:hAnsi="仿宋_GB2312" w:cs="仿宋_GB2312" w:eastAsia="仿宋_GB2312"/>
                <w:sz w:val="20"/>
              </w:rPr>
              <w:t>。</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供应商应具备应对台风等自然灾害的应急处置能力，确保受灾期间的原材料供应。</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合同履行期限</w:t>
            </w:r>
            <w:r>
              <w:rPr>
                <w:rFonts w:ascii="仿宋_GB2312" w:hAnsi="仿宋_GB2312" w:cs="仿宋_GB2312" w:eastAsia="仿宋_GB2312"/>
                <w:sz w:val="20"/>
              </w:rPr>
              <w:t>（服务期限）：自合同签订生效之日起至</w:t>
            </w:r>
            <w:r>
              <w:rPr>
                <w:rFonts w:ascii="仿宋_GB2312" w:hAnsi="仿宋_GB2312" w:cs="仿宋_GB2312" w:eastAsia="仿宋_GB2312"/>
                <w:sz w:val="20"/>
              </w:rPr>
              <w:t>2027</w:t>
            </w:r>
            <w:r>
              <w:rPr>
                <w:rFonts w:ascii="仿宋_GB2312" w:hAnsi="仿宋_GB2312" w:cs="仿宋_GB2312" w:eastAsia="仿宋_GB2312"/>
                <w:sz w:val="20"/>
              </w:rPr>
              <w:t>年</w:t>
            </w:r>
            <w:r>
              <w:rPr>
                <w:rFonts w:ascii="仿宋_GB2312" w:hAnsi="仿宋_GB2312" w:cs="仿宋_GB2312" w:eastAsia="仿宋_GB2312"/>
                <w:sz w:val="20"/>
              </w:rPr>
              <w:t>01</w:t>
            </w:r>
            <w:r>
              <w:rPr>
                <w:rFonts w:ascii="仿宋_GB2312" w:hAnsi="仿宋_GB2312" w:cs="仿宋_GB2312" w:eastAsia="仿宋_GB2312"/>
                <w:sz w:val="20"/>
              </w:rPr>
              <w:t>月</w:t>
            </w:r>
            <w:r>
              <w:rPr>
                <w:rFonts w:ascii="仿宋_GB2312" w:hAnsi="仿宋_GB2312" w:cs="仿宋_GB2312" w:eastAsia="仿宋_GB2312"/>
                <w:sz w:val="20"/>
              </w:rPr>
              <w:t>31</w:t>
            </w:r>
            <w:r>
              <w:rPr>
                <w:rFonts w:ascii="仿宋_GB2312" w:hAnsi="仿宋_GB2312" w:cs="仿宋_GB2312" w:eastAsia="仿宋_GB2312"/>
                <w:sz w:val="20"/>
              </w:rPr>
              <w:t>日</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通过采购的供应商应与教育局签订供应合同，并与学校签订食品安全责任书和供应合同，明确双方有关食品安全工作的责任和义务，方可供应。合同签订之日起</w:t>
            </w:r>
            <w:r>
              <w:rPr>
                <w:rFonts w:ascii="仿宋_GB2312" w:hAnsi="仿宋_GB2312" w:cs="仿宋_GB2312" w:eastAsia="仿宋_GB2312"/>
                <w:sz w:val="20"/>
              </w:rPr>
              <w:t>15</w:t>
            </w:r>
            <w:r>
              <w:rPr>
                <w:rFonts w:ascii="仿宋_GB2312" w:hAnsi="仿宋_GB2312" w:cs="仿宋_GB2312" w:eastAsia="仿宋_GB2312"/>
                <w:sz w:val="20"/>
              </w:rPr>
              <w:t>日内，乙方应向甲方支付中标金额的</w:t>
            </w:r>
            <w:r>
              <w:rPr>
                <w:rFonts w:ascii="仿宋_GB2312" w:hAnsi="仿宋_GB2312" w:cs="仿宋_GB2312" w:eastAsia="仿宋_GB2312"/>
                <w:sz w:val="20"/>
              </w:rPr>
              <w:t>3 %</w:t>
            </w:r>
            <w:r>
              <w:rPr>
                <w:rFonts w:ascii="仿宋_GB2312" w:hAnsi="仿宋_GB2312" w:cs="仿宋_GB2312" w:eastAsia="仿宋_GB2312"/>
                <w:sz w:val="20"/>
              </w:rPr>
              <w:t>作为履约保证金，乙方履约完毕后没有违约情形的，甲方无息退还，如因乙方原因导致的违约或发生食品安全等问题造成甲方损失的，甲方有权直接从该履约保证金中扣除违约金、赔偿金。</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服务管理</w:t>
            </w:r>
          </w:p>
          <w:p>
            <w:pPr>
              <w:pStyle w:val="null3"/>
              <w:jc w:val="left"/>
            </w:pPr>
            <w:r>
              <w:rPr>
                <w:rFonts w:ascii="仿宋_GB2312" w:hAnsi="仿宋_GB2312" w:cs="仿宋_GB2312" w:eastAsia="仿宋_GB2312"/>
                <w:sz w:val="20"/>
              </w:rPr>
              <w:t>成交供应商有下列情形，采购人有权解除服务合同，全额没收履约保证金并取消成交供应商的服务资格，一切经济和法律责任由成交供应商承担：</w:t>
            </w:r>
          </w:p>
          <w:p>
            <w:pPr>
              <w:pStyle w:val="null3"/>
              <w:jc w:val="left"/>
            </w:pPr>
            <w:r>
              <w:rPr>
                <w:rFonts w:ascii="仿宋_GB2312" w:hAnsi="仿宋_GB2312" w:cs="仿宋_GB2312" w:eastAsia="仿宋_GB2312"/>
                <w:sz w:val="20"/>
              </w:rPr>
              <w:t>A.</w:t>
            </w:r>
            <w:r>
              <w:rPr>
                <w:rFonts w:ascii="仿宋_GB2312" w:hAnsi="仿宋_GB2312" w:cs="仿宋_GB2312" w:eastAsia="仿宋_GB2312"/>
                <w:sz w:val="20"/>
              </w:rPr>
              <w:t>成交供应商对项目内容进行转让或分包的；</w:t>
            </w:r>
          </w:p>
          <w:p>
            <w:pPr>
              <w:pStyle w:val="null3"/>
              <w:jc w:val="left"/>
            </w:pPr>
            <w:r>
              <w:rPr>
                <w:rFonts w:ascii="仿宋_GB2312" w:hAnsi="仿宋_GB2312" w:cs="仿宋_GB2312" w:eastAsia="仿宋_GB2312"/>
                <w:sz w:val="20"/>
              </w:rPr>
              <w:t>B.</w:t>
            </w:r>
            <w:r>
              <w:rPr>
                <w:rFonts w:ascii="仿宋_GB2312" w:hAnsi="仿宋_GB2312" w:cs="仿宋_GB2312" w:eastAsia="仿宋_GB2312"/>
                <w:sz w:val="20"/>
              </w:rPr>
              <w:t>成交供应商出现比规定的送货时间迟到一天以上情形，每半年累计超过两次的。（客观不可抗力原因除外）；</w:t>
            </w:r>
          </w:p>
          <w:p>
            <w:pPr>
              <w:pStyle w:val="null3"/>
              <w:jc w:val="left"/>
            </w:pPr>
            <w:r>
              <w:rPr>
                <w:rFonts w:ascii="仿宋_GB2312" w:hAnsi="仿宋_GB2312" w:cs="仿宋_GB2312" w:eastAsia="仿宋_GB2312"/>
                <w:sz w:val="20"/>
              </w:rPr>
              <w:t>C.</w:t>
            </w:r>
            <w:r>
              <w:rPr>
                <w:rFonts w:ascii="仿宋_GB2312" w:hAnsi="仿宋_GB2312" w:cs="仿宋_GB2312" w:eastAsia="仿宋_GB2312"/>
                <w:sz w:val="20"/>
              </w:rPr>
              <w:t>成交供应商提供食材的产地、食材等级、生产日期、保质期等重要信息，如成交供应商伪造上述证明文件、提供虚假信息或不提供上述信息的；</w:t>
            </w:r>
          </w:p>
          <w:p>
            <w:pPr>
              <w:pStyle w:val="null3"/>
              <w:jc w:val="left"/>
            </w:pPr>
            <w:r>
              <w:rPr>
                <w:rFonts w:ascii="仿宋_GB2312" w:hAnsi="仿宋_GB2312" w:cs="仿宋_GB2312" w:eastAsia="仿宋_GB2312"/>
                <w:sz w:val="20"/>
              </w:rPr>
              <w:t>D.</w:t>
            </w:r>
            <w:r>
              <w:rPr>
                <w:rFonts w:ascii="仿宋_GB2312" w:hAnsi="仿宋_GB2312" w:cs="仿宋_GB2312" w:eastAsia="仿宋_GB2312"/>
                <w:sz w:val="20"/>
              </w:rPr>
              <w:t>成交供应商提供假冒伪劣、过期、变质食品的，要求无条件退货或换货外，被处以当次供应食品货款</w:t>
            </w:r>
            <w:r>
              <w:rPr>
                <w:rFonts w:ascii="仿宋_GB2312" w:hAnsi="仿宋_GB2312" w:cs="仿宋_GB2312" w:eastAsia="仿宋_GB2312"/>
                <w:sz w:val="20"/>
              </w:rPr>
              <w:t>2</w:t>
            </w:r>
            <w:r>
              <w:rPr>
                <w:rFonts w:ascii="仿宋_GB2312" w:hAnsi="仿宋_GB2312" w:cs="仿宋_GB2312" w:eastAsia="仿宋_GB2312"/>
                <w:sz w:val="20"/>
              </w:rPr>
              <w:t>倍的违约赔偿，赔偿款由供货结算款内扣除；</w:t>
            </w:r>
          </w:p>
          <w:p>
            <w:pPr>
              <w:pStyle w:val="null3"/>
              <w:jc w:val="left"/>
            </w:pPr>
            <w:r>
              <w:rPr>
                <w:rFonts w:ascii="仿宋_GB2312" w:hAnsi="仿宋_GB2312" w:cs="仿宋_GB2312" w:eastAsia="仿宋_GB2312"/>
                <w:sz w:val="20"/>
              </w:rPr>
              <w:t>E.</w:t>
            </w:r>
            <w:r>
              <w:rPr>
                <w:rFonts w:ascii="仿宋_GB2312" w:hAnsi="仿宋_GB2312" w:cs="仿宋_GB2312" w:eastAsia="仿宋_GB2312"/>
                <w:sz w:val="20"/>
              </w:rPr>
              <w:t>成交供应商所供货物出现质量问题需要退换货，一个月内累计达到两次的；</w:t>
            </w:r>
          </w:p>
          <w:p>
            <w:pPr>
              <w:pStyle w:val="null3"/>
              <w:jc w:val="left"/>
            </w:pPr>
            <w:r>
              <w:rPr>
                <w:rFonts w:ascii="仿宋_GB2312" w:hAnsi="仿宋_GB2312" w:cs="仿宋_GB2312" w:eastAsia="仿宋_GB2312"/>
                <w:sz w:val="20"/>
              </w:rPr>
              <w:t>F.</w:t>
            </w:r>
            <w:r>
              <w:rPr>
                <w:rFonts w:ascii="仿宋_GB2312" w:hAnsi="仿宋_GB2312" w:cs="仿宋_GB2312" w:eastAsia="仿宋_GB2312"/>
                <w:sz w:val="20"/>
              </w:rPr>
              <w:t>成交供应商食材不符合卫生条件导致人员食物中毒的，成交供应商还应当依法承担事故导致的相应的法律责任；</w:t>
            </w:r>
          </w:p>
          <w:p>
            <w:pPr>
              <w:pStyle w:val="null3"/>
              <w:jc w:val="left"/>
            </w:pPr>
            <w:r>
              <w:rPr>
                <w:rFonts w:ascii="仿宋_GB2312" w:hAnsi="仿宋_GB2312" w:cs="仿宋_GB2312" w:eastAsia="仿宋_GB2312"/>
                <w:sz w:val="20"/>
              </w:rPr>
              <w:t>G.</w:t>
            </w:r>
            <w:r>
              <w:rPr>
                <w:rFonts w:ascii="仿宋_GB2312" w:hAnsi="仿宋_GB2312" w:cs="仿宋_GB2312" w:eastAsia="仿宋_GB2312"/>
                <w:sz w:val="20"/>
              </w:rPr>
              <w:t>经市场安全监管部门检验鉴定，食材含有有毒、有害物质或者被有害物质污染，对人体有害的不合格食材；</w:t>
            </w:r>
          </w:p>
          <w:p>
            <w:pPr>
              <w:pStyle w:val="null3"/>
              <w:jc w:val="left"/>
            </w:pPr>
            <w:r>
              <w:rPr>
                <w:rFonts w:ascii="仿宋_GB2312" w:hAnsi="仿宋_GB2312" w:cs="仿宋_GB2312" w:eastAsia="仿宋_GB2312"/>
                <w:sz w:val="20"/>
              </w:rPr>
              <w:t>H.</w:t>
            </w:r>
            <w:r>
              <w:rPr>
                <w:rFonts w:ascii="仿宋_GB2312" w:hAnsi="仿宋_GB2312" w:cs="仿宋_GB2312" w:eastAsia="仿宋_GB2312"/>
                <w:sz w:val="20"/>
              </w:rPr>
              <w:t>成交供应商使用非食品原料加工的，加入非食品用化学物质的；</w:t>
            </w:r>
          </w:p>
          <w:p>
            <w:pPr>
              <w:pStyle w:val="null3"/>
              <w:jc w:val="left"/>
            </w:pPr>
            <w:r>
              <w:rPr>
                <w:rFonts w:ascii="仿宋_GB2312" w:hAnsi="仿宋_GB2312" w:cs="仿宋_GB2312" w:eastAsia="仿宋_GB2312"/>
                <w:sz w:val="20"/>
              </w:rPr>
              <w:t>I.</w:t>
            </w:r>
            <w:r>
              <w:rPr>
                <w:rFonts w:ascii="仿宋_GB2312" w:hAnsi="仿宋_GB2312" w:cs="仿宋_GB2312" w:eastAsia="仿宋_GB2312"/>
                <w:sz w:val="20"/>
              </w:rPr>
              <w:t>成交供应商使用超保质期的食品的；</w:t>
            </w:r>
          </w:p>
          <w:p>
            <w:pPr>
              <w:pStyle w:val="null3"/>
              <w:jc w:val="left"/>
            </w:pPr>
            <w:r>
              <w:rPr>
                <w:rFonts w:ascii="仿宋_GB2312" w:hAnsi="仿宋_GB2312" w:cs="仿宋_GB2312" w:eastAsia="仿宋_GB2312"/>
                <w:sz w:val="20"/>
              </w:rPr>
              <w:t>J.</w:t>
            </w:r>
            <w:r>
              <w:rPr>
                <w:rFonts w:ascii="仿宋_GB2312" w:hAnsi="仿宋_GB2312" w:cs="仿宋_GB2312" w:eastAsia="仿宋_GB2312"/>
                <w:sz w:val="20"/>
              </w:rPr>
              <w:t>成交供应商提供的食品，造成食品安全事故的，经有关单位鉴定原因后，如确实为成交供应商提供之食品问题，成交供应商除需负担全数之医药费外，采购人还有权取消成交供应商供货资格，解除成交供应商供货合同，成交供应商同时承担相应的民事法律责任，涉及刑事犯罪的，采购人有权将犯罪线索移交；</w:t>
            </w:r>
          </w:p>
          <w:p>
            <w:pPr>
              <w:pStyle w:val="null3"/>
              <w:jc w:val="left"/>
            </w:pPr>
            <w:r>
              <w:rPr>
                <w:rFonts w:ascii="仿宋_GB2312" w:hAnsi="仿宋_GB2312" w:cs="仿宋_GB2312" w:eastAsia="仿宋_GB2312"/>
                <w:sz w:val="20"/>
              </w:rPr>
              <w:t>K.</w:t>
            </w:r>
            <w:r>
              <w:rPr>
                <w:rFonts w:ascii="仿宋_GB2312" w:hAnsi="仿宋_GB2312" w:cs="仿宋_GB2312" w:eastAsia="仿宋_GB2312"/>
                <w:sz w:val="20"/>
              </w:rPr>
              <w:t>成交供应商存在其他严重违反磋商文件要求的；</w:t>
            </w:r>
          </w:p>
          <w:p>
            <w:pPr>
              <w:pStyle w:val="null3"/>
              <w:jc w:val="left"/>
            </w:pPr>
            <w:r>
              <w:rPr>
                <w:rFonts w:ascii="仿宋_GB2312" w:hAnsi="仿宋_GB2312" w:cs="仿宋_GB2312" w:eastAsia="仿宋_GB2312"/>
                <w:sz w:val="20"/>
              </w:rPr>
              <w:t>L.</w:t>
            </w:r>
            <w:r>
              <w:rPr>
                <w:rFonts w:ascii="仿宋_GB2312" w:hAnsi="仿宋_GB2312" w:cs="仿宋_GB2312" w:eastAsia="仿宋_GB2312"/>
                <w:sz w:val="20"/>
              </w:rPr>
              <w:t>不符合《教育部等七部门关于印发</w:t>
            </w:r>
            <w:r>
              <w:rPr>
                <w:rFonts w:ascii="仿宋_GB2312" w:hAnsi="仿宋_GB2312" w:cs="仿宋_GB2312" w:eastAsia="仿宋_GB2312"/>
                <w:sz w:val="20"/>
              </w:rPr>
              <w:t>&lt;</w:t>
            </w:r>
            <w:r>
              <w:rPr>
                <w:rFonts w:ascii="仿宋_GB2312" w:hAnsi="仿宋_GB2312" w:cs="仿宋_GB2312" w:eastAsia="仿宋_GB2312"/>
                <w:sz w:val="20"/>
              </w:rPr>
              <w:t>农村义务教育学生营养改善计划实施办法</w:t>
            </w:r>
            <w:r>
              <w:rPr>
                <w:rFonts w:ascii="仿宋_GB2312" w:hAnsi="仿宋_GB2312" w:cs="仿宋_GB2312" w:eastAsia="仿宋_GB2312"/>
                <w:sz w:val="20"/>
              </w:rPr>
              <w:t>&gt;</w:t>
            </w:r>
            <w:r>
              <w:rPr>
                <w:rFonts w:ascii="仿宋_GB2312" w:hAnsi="仿宋_GB2312" w:cs="仿宋_GB2312" w:eastAsia="仿宋_GB2312"/>
                <w:sz w:val="20"/>
              </w:rPr>
              <w:t>的通知》</w:t>
            </w:r>
            <w:r>
              <w:rPr>
                <w:rFonts w:ascii="仿宋_GB2312" w:hAnsi="仿宋_GB2312" w:cs="仿宋_GB2312" w:eastAsia="仿宋_GB2312"/>
                <w:sz w:val="20"/>
              </w:rPr>
              <w:t>(</w:t>
            </w:r>
            <w:r>
              <w:rPr>
                <w:rFonts w:ascii="仿宋_GB2312" w:hAnsi="仿宋_GB2312" w:cs="仿宋_GB2312" w:eastAsia="仿宋_GB2312"/>
                <w:sz w:val="20"/>
              </w:rPr>
              <w:t>财教</w:t>
            </w:r>
            <w:r>
              <w:rPr>
                <w:rFonts w:ascii="仿宋_GB2312" w:hAnsi="仿宋_GB2312" w:cs="仿宋_GB2312" w:eastAsia="仿宋_GB2312"/>
                <w:sz w:val="20"/>
              </w:rPr>
              <w:t>(2022)2</w:t>
            </w:r>
            <w:r>
              <w:rPr>
                <w:rFonts w:ascii="仿宋_GB2312" w:hAnsi="仿宋_GB2312" w:cs="仿宋_GB2312" w:eastAsia="仿宋_GB2312"/>
                <w:sz w:val="20"/>
              </w:rPr>
              <w:t>号</w:t>
            </w:r>
            <w:r>
              <w:rPr>
                <w:rFonts w:ascii="仿宋_GB2312" w:hAnsi="仿宋_GB2312" w:cs="仿宋_GB2312" w:eastAsia="仿宋_GB2312"/>
                <w:sz w:val="20"/>
              </w:rPr>
              <w:t>)</w:t>
            </w:r>
            <w:r>
              <w:rPr>
                <w:rFonts w:ascii="仿宋_GB2312" w:hAnsi="仿宋_GB2312" w:cs="仿宋_GB2312" w:eastAsia="仿宋_GB2312"/>
                <w:sz w:val="20"/>
              </w:rPr>
              <w:t>文件关于食品原材料供应的有关要求或其它国家有关法律法规以及上级有关政策制度的。</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质量保证</w:t>
            </w:r>
          </w:p>
          <w:p>
            <w:pPr>
              <w:pStyle w:val="null3"/>
              <w:jc w:val="left"/>
            </w:pPr>
            <w:r>
              <w:rPr>
                <w:rFonts w:ascii="仿宋_GB2312" w:hAnsi="仿宋_GB2312" w:cs="仿宋_GB2312" w:eastAsia="仿宋_GB2312"/>
                <w:sz w:val="20"/>
              </w:rPr>
              <w:t>配送的学生营养餐食品原材料，从出仓开始到学校入库全过程的各个环节，均按照最新的国家标准规范配送和存储保鲜，确保卫生安全和新鲜，并按要求做好相关记录存底，运输过程存在或出现的任何问题由成交供应商负全责。</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其他要求及说明</w:t>
            </w:r>
          </w:p>
          <w:p>
            <w:pPr>
              <w:pStyle w:val="null3"/>
              <w:jc w:val="left"/>
            </w:pPr>
            <w:r>
              <w:rPr>
                <w:rFonts w:ascii="仿宋_GB2312" w:hAnsi="仿宋_GB2312" w:cs="仿宋_GB2312" w:eastAsia="仿宋_GB2312"/>
                <w:sz w:val="20"/>
              </w:rPr>
              <w:t>A.</w:t>
            </w:r>
            <w:r>
              <w:rPr>
                <w:rFonts w:ascii="仿宋_GB2312" w:hAnsi="仿宋_GB2312" w:cs="仿宋_GB2312" w:eastAsia="仿宋_GB2312"/>
                <w:sz w:val="20"/>
              </w:rPr>
              <w:t>因配送食品原材料质量问题给学生身心健康带来影响或发生疾病，伤亡事故，成交供应商承担全部经济和法律责任。若因食品原材料质量原因出现的安全、卫生问题、由成交供应商承担全部责任；</w:t>
            </w:r>
          </w:p>
          <w:p>
            <w:pPr>
              <w:pStyle w:val="null3"/>
              <w:jc w:val="left"/>
            </w:pPr>
            <w:r>
              <w:rPr>
                <w:rFonts w:ascii="仿宋_GB2312" w:hAnsi="仿宋_GB2312" w:cs="仿宋_GB2312" w:eastAsia="仿宋_GB2312"/>
                <w:sz w:val="20"/>
              </w:rPr>
              <w:t>B.</w:t>
            </w:r>
            <w:r>
              <w:rPr>
                <w:rFonts w:ascii="仿宋_GB2312" w:hAnsi="仿宋_GB2312" w:cs="仿宋_GB2312" w:eastAsia="仿宋_GB2312"/>
                <w:sz w:val="20"/>
              </w:rPr>
              <w:t>按质、按时、按量、按协议要求做好配送服务工作</w:t>
            </w:r>
            <w:r>
              <w:rPr>
                <w:rFonts w:ascii="仿宋_GB2312" w:hAnsi="仿宋_GB2312" w:cs="仿宋_GB2312" w:eastAsia="仿宋_GB2312"/>
                <w:sz w:val="20"/>
              </w:rPr>
              <w:t>;</w:t>
            </w:r>
            <w:r>
              <w:rPr>
                <w:rFonts w:ascii="仿宋_GB2312" w:hAnsi="仿宋_GB2312" w:cs="仿宋_GB2312" w:eastAsia="仿宋_GB2312"/>
                <w:sz w:val="20"/>
              </w:rPr>
              <w:t>按照监管部门要求严把质量关；</w:t>
            </w:r>
          </w:p>
          <w:p>
            <w:pPr>
              <w:pStyle w:val="null3"/>
              <w:jc w:val="left"/>
            </w:pPr>
            <w:r>
              <w:rPr>
                <w:rFonts w:ascii="仿宋_GB2312" w:hAnsi="仿宋_GB2312" w:cs="仿宋_GB2312" w:eastAsia="仿宋_GB2312"/>
                <w:sz w:val="20"/>
              </w:rPr>
              <w:t>C.</w:t>
            </w:r>
            <w:r>
              <w:rPr>
                <w:rFonts w:ascii="仿宋_GB2312" w:hAnsi="仿宋_GB2312" w:cs="仿宋_GB2312" w:eastAsia="仿宋_GB2312"/>
                <w:sz w:val="20"/>
              </w:rPr>
              <w:t>确定工作认真负责、身体健康</w:t>
            </w:r>
            <w:r>
              <w:rPr>
                <w:rFonts w:ascii="仿宋_GB2312" w:hAnsi="仿宋_GB2312" w:cs="仿宋_GB2312" w:eastAsia="仿宋_GB2312"/>
                <w:sz w:val="20"/>
              </w:rPr>
              <w:t>(</w:t>
            </w:r>
            <w:r>
              <w:rPr>
                <w:rFonts w:ascii="仿宋_GB2312" w:hAnsi="仿宋_GB2312" w:cs="仿宋_GB2312" w:eastAsia="仿宋_GB2312"/>
                <w:sz w:val="20"/>
              </w:rPr>
              <w:t>有健康证</w:t>
            </w:r>
            <w:r>
              <w:rPr>
                <w:rFonts w:ascii="仿宋_GB2312" w:hAnsi="仿宋_GB2312" w:cs="仿宋_GB2312" w:eastAsia="仿宋_GB2312"/>
                <w:sz w:val="20"/>
              </w:rPr>
              <w:t>)</w:t>
            </w:r>
            <w:r>
              <w:rPr>
                <w:rFonts w:ascii="仿宋_GB2312" w:hAnsi="仿宋_GB2312" w:cs="仿宋_GB2312" w:eastAsia="仿宋_GB2312"/>
                <w:sz w:val="20"/>
              </w:rPr>
              <w:t>的人员对口衔接学校，建立接送卡，专人配送；</w:t>
            </w:r>
          </w:p>
          <w:p>
            <w:pPr>
              <w:pStyle w:val="null3"/>
              <w:jc w:val="left"/>
            </w:pPr>
            <w:r>
              <w:rPr>
                <w:rFonts w:ascii="仿宋_GB2312" w:hAnsi="仿宋_GB2312" w:cs="仿宋_GB2312" w:eastAsia="仿宋_GB2312"/>
                <w:sz w:val="20"/>
              </w:rPr>
              <w:t>D.</w:t>
            </w:r>
            <w:r>
              <w:rPr>
                <w:rFonts w:ascii="仿宋_GB2312" w:hAnsi="仿宋_GB2312" w:cs="仿宋_GB2312" w:eastAsia="仿宋_GB2312"/>
                <w:sz w:val="20"/>
              </w:rPr>
              <w:t>严格执行学生营养餐配送食品原材料检验、留样、放行程序，对每批次出仓的配送食品原材料都留样备查，并备注相关留样信息；</w:t>
            </w:r>
          </w:p>
          <w:p>
            <w:pPr>
              <w:pStyle w:val="null3"/>
              <w:jc w:val="left"/>
            </w:pPr>
            <w:r>
              <w:rPr>
                <w:rFonts w:ascii="仿宋_GB2312" w:hAnsi="仿宋_GB2312" w:cs="仿宋_GB2312" w:eastAsia="仿宋_GB2312"/>
                <w:sz w:val="20"/>
              </w:rPr>
              <w:t>E.</w:t>
            </w:r>
            <w:r>
              <w:rPr>
                <w:rFonts w:ascii="仿宋_GB2312" w:hAnsi="仿宋_GB2312" w:cs="仿宋_GB2312" w:eastAsia="仿宋_GB2312"/>
                <w:sz w:val="20"/>
              </w:rPr>
              <w:t>服务期内每学期接受采购人随机抽样检查并评估考核，如经教育、市监、卫健等部门认定需第三方专业机构进行检测的，相关费用由成交供应商全部负责；</w:t>
            </w:r>
          </w:p>
          <w:p>
            <w:pPr>
              <w:pStyle w:val="null3"/>
              <w:jc w:val="left"/>
            </w:pPr>
            <w:r>
              <w:rPr>
                <w:rFonts w:ascii="仿宋_GB2312" w:hAnsi="仿宋_GB2312" w:cs="仿宋_GB2312" w:eastAsia="仿宋_GB2312"/>
                <w:sz w:val="21"/>
              </w:rPr>
              <w:t>F.</w:t>
            </w:r>
            <w:r>
              <w:rPr>
                <w:rFonts w:ascii="仿宋_GB2312" w:hAnsi="仿宋_GB2312" w:cs="仿宋_GB2312" w:eastAsia="仿宋_GB2312"/>
                <w:sz w:val="21"/>
              </w:rPr>
              <w:t>相关标准未尽之处应按照《教育部等七部门关于印发&lt;农村义务教育学生营养改善计划实施办法&gt;的通知》(财教(2022)2号)文件有关要求或其它国家有关法律法规以及上级有关政策制度执行。本需求最终解释权归保亭县教育局所有。</w:t>
            </w:r>
            <w:r>
              <w:br/>
            </w:r>
            <w:r>
              <w:rPr>
                <w:rFonts w:ascii="仿宋_GB2312" w:hAnsi="仿宋_GB2312" w:cs="仿宋_GB2312" w:eastAsia="仿宋_GB2312"/>
                <w:sz w:val="21"/>
              </w:rPr>
              <w:t xml:space="preserve"> 6.付款方式：成交供应商每月凭配送单与学校出具的学生每天实际用餐人数统计表（校长签名，加盖学校公章）进行核算，双方审核无误后，报送给县教育局汇总后进行结算。</w:t>
            </w:r>
            <w:r>
              <w:br/>
            </w:r>
            <w:r>
              <w:rPr>
                <w:rFonts w:ascii="仿宋_GB2312" w:hAnsi="仿宋_GB2312" w:cs="仿宋_GB2312" w:eastAsia="仿宋_GB2312"/>
                <w:sz w:val="21"/>
              </w:rPr>
              <w:t xml:space="preserve"> 7.交付地点:采购人指定地点。</w:t>
            </w:r>
          </w:p>
        </w:tc>
      </w:tr>
    </w:tbl>
    <w:p>
      <w:pPr>
        <w:pStyle w:val="null3"/>
        <w:ind w:firstLine="480"/>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其他未尽事宜由采购双方在合同中详细约定。</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 资格承诺函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供应商承诺函 信用记录证明及无串通情形条款 供应商应提交的相关证明材料 资格承诺函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供应商承诺函 投标（响应）函 资格承诺函</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【提供有效的《食品生产许可证》或《食品经营许可证》】</w:t>
            </w:r>
          </w:p>
        </w:tc>
        <w:tc>
          <w:tcPr>
            <w:tcW w:type="dxa" w:w="3322"/>
          </w:tcPr>
          <w:p>
            <w:pPr>
              <w:pStyle w:val="null3"/>
              <w:jc w:val="left"/>
            </w:pPr>
            <w:r>
              <w:rPr>
                <w:rFonts w:ascii="仿宋_GB2312" w:hAnsi="仿宋_GB2312" w:cs="仿宋_GB2312" w:eastAsia="仿宋_GB2312"/>
              </w:rPr>
              <w:t>供应商须具备有效《食品生产许可证》或《食品经营许可证》证件</w:t>
            </w:r>
          </w:p>
        </w:tc>
        <w:tc>
          <w:tcPr>
            <w:tcW w:type="dxa" w:w="1661"/>
          </w:tcPr>
          <w:p>
            <w:pPr>
              <w:pStyle w:val="null3"/>
              <w:jc w:val="left"/>
            </w:pPr>
            <w:r>
              <w:rPr>
                <w:rFonts w:ascii="仿宋_GB2312" w:hAnsi="仿宋_GB2312" w:cs="仿宋_GB2312" w:eastAsia="仿宋_GB2312"/>
              </w:rPr>
              <w:t>特定资格审查需提供的材料</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中小企业声明函 商务应答表 自觉抵制政府采购领域商业贿赂行为承诺书 封面 商业信誉、财务会计制度、缴纳税收和社保的承诺函 具有独立承担民事责任的能力证明文件 特定资格审查需提供的材料 供应商承诺函 信用记录证明及无串通情形条款 其他材料 残疾人福利性单位声明函 供应商应提交的相关证明材料 无重大违法记录声明函 法定代表人资格证明书或法定代表人授权委托书 投标（响应）函 监狱企业的证明文件 具备履行合同所必需设备和专业技术能力的声明函 技术参数响应表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供应商承诺函 法定代表人资格证明书或法定代表人授权委托书 具备履行合同所必需设备和专业技术能力的声明函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开标（报价）一览表 商务应答表 技术参数响应表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供应商承诺函 商务应答表 投标（响应）函 技术参数响应表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供应商承诺函 信用记录证明及无串通情形条款</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技术部分50.00分</w:t>
            </w:r>
          </w:p>
          <w:p>
            <w:pPr>
              <w:pStyle w:val="null3"/>
              <w:jc w:val="left"/>
            </w:pPr>
            <w:r>
              <w:rPr>
                <w:rFonts w:ascii="仿宋_GB2312" w:hAnsi="仿宋_GB2312" w:cs="仿宋_GB2312" w:eastAsia="仿宋_GB2312"/>
              </w:rPr>
              <w:t>商务部分40.00分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服务方案</w:t>
            </w:r>
          </w:p>
        </w:tc>
        <w:tc>
          <w:tcPr>
            <w:tcW w:type="dxa" w:w="2492"/>
          </w:tcPr>
          <w:p>
            <w:pPr>
              <w:pStyle w:val="null3"/>
              <w:jc w:val="left"/>
            </w:pPr>
            <w:r>
              <w:rPr>
                <w:rFonts w:ascii="仿宋_GB2312" w:hAnsi="仿宋_GB2312" w:cs="仿宋_GB2312" w:eastAsia="仿宋_GB2312"/>
              </w:rPr>
              <w:t>根据供应商提供的服务方案进行赋分，内容包含但不限于①项目实施组织方案；②供货计划；③食品安全知识培训制度；④从业人员健康管理制度。供应商提交完整科学合理的服务方案的得10分，如第①—④项，每提供一项得2.5分，每缺少一项扣2.5分；服务方案内容存在一处缺陷（缺陷是指方案内容不符合采购项目的具体特点、与采购项目实际需要不相适应、与合同履行无关、凭空编造、方案中内容前后不一致、前后逻辑错误等情形）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仓储以及配送保障方案</w:t>
            </w:r>
          </w:p>
        </w:tc>
        <w:tc>
          <w:tcPr>
            <w:tcW w:type="dxa" w:w="2492"/>
          </w:tcPr>
          <w:p>
            <w:pPr>
              <w:pStyle w:val="null3"/>
              <w:jc w:val="left"/>
            </w:pPr>
            <w:r>
              <w:rPr>
                <w:rFonts w:ascii="仿宋_GB2312" w:hAnsi="仿宋_GB2312" w:cs="仿宋_GB2312" w:eastAsia="仿宋_GB2312"/>
              </w:rPr>
              <w:t>根据供应商提供的仓储以及配送保障方案进行赋分，内容包含但不限于①仓储食品安全管理方案及保障措施；②仓储食品卫生防疫管理方案及保障措施；③库房安全管理措施；④食品原材料进货查验记录制度食品原材料运输储存保管制度等。供应商提交完整科学合理的仓储以及配送保障方案的得10分，如第①—④项，每提供一项得2.5分，每缺少一项扣2.5分；仓储以及配送保障方案内容存在一处缺陷（缺陷是指方案内容不符合采购项目的具体特点、与采购项目实际需要不相适应、与合同履行无关、凭空编造、方案中内容前后不一致、前后逻辑错误等情形）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产品质量安全保证措施</w:t>
            </w:r>
          </w:p>
        </w:tc>
        <w:tc>
          <w:tcPr>
            <w:tcW w:type="dxa" w:w="2492"/>
          </w:tcPr>
          <w:p>
            <w:pPr>
              <w:pStyle w:val="null3"/>
              <w:jc w:val="left"/>
            </w:pPr>
            <w:r>
              <w:rPr>
                <w:rFonts w:ascii="仿宋_GB2312" w:hAnsi="仿宋_GB2312" w:cs="仿宋_GB2312" w:eastAsia="仿宋_GB2312"/>
              </w:rPr>
              <w:t>根据供应商提供的产品质量安全保证措施进行赋分，内容包含但不限于①食材质量保证标准及目的；②食品原材料留样制度；③食品原材料质量安全检测制度；④食品原材料进货查验记录制度等。供应商提交完整科学合理的产品质量安全保证措施的得10分，如第①—④项，每提供一项得2.5分，每缺少一项扣2.5分；产品质量安全保证措施内容存在一处缺陷（缺陷是指方案内容不符合采购项目的具体特点、与采购项目实际需要不相适应、与合同履行无关、凭空编造、方案中内容前后不一致、前后逻辑错误等情形）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应急处理方案</w:t>
            </w:r>
          </w:p>
        </w:tc>
        <w:tc>
          <w:tcPr>
            <w:tcW w:type="dxa" w:w="2492"/>
          </w:tcPr>
          <w:p>
            <w:pPr>
              <w:pStyle w:val="null3"/>
              <w:jc w:val="left"/>
            </w:pPr>
            <w:r>
              <w:rPr>
                <w:rFonts w:ascii="仿宋_GB2312" w:hAnsi="仿宋_GB2312" w:cs="仿宋_GB2312" w:eastAsia="仿宋_GB2312"/>
              </w:rPr>
              <w:t>根据供应商提供的应急处理方案进行赋分，内容包含但不限于①运送车辆突发情况应急处理方案；②不合格产品退货应急处理方案；③货品短缺应急处理方案；④因天气或其他原因造成不能及时送达应急预案等。供应商提交完整科学合理的应急处理方案的得10分，如第①—④项，每提供一项得2.5分，每缺少一项扣2.5分；应急处理方案内容存在一处缺陷（缺陷是指方案内容不符合采购项目的具体特点、与采购项目实际需要不相适应、与合同履行无关、凭空编造、方案中内容前后不一致、前后逻辑错误等情形）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492"/>
          </w:tcPr>
          <w:p>
            <w:pPr>
              <w:pStyle w:val="null3"/>
              <w:jc w:val="left"/>
            </w:pPr>
            <w:r>
              <w:rPr>
                <w:rFonts w:ascii="仿宋_GB2312" w:hAnsi="仿宋_GB2312" w:cs="仿宋_GB2312" w:eastAsia="仿宋_GB2312"/>
              </w:rPr>
              <w:t>根据供应商提供的售后服务方案进行赋分，内容包含但不限于①售后服务团队；②食品原材料安全事故处置方案；③不合格食品原材料退市、召回制度；④售后投诉途径及处理办法等。供应商提交完整科学合理的售后服务方案的得10分，如第①—④项，每提供一项得2.5分，每缺少一项扣2.5分；售后服务方案内容存在一处缺陷（缺陷是指方案内容不符合采购项目的具体特点、与采购项目实际需要不相适应、与合同履行无关、凭空编造、方案中内容前后不一致、前后逻辑错误等情形）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val="restart"/>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类似项目业绩</w:t>
            </w:r>
          </w:p>
        </w:tc>
        <w:tc>
          <w:tcPr>
            <w:tcW w:type="dxa" w:w="2492"/>
          </w:tcPr>
          <w:p>
            <w:pPr>
              <w:pStyle w:val="null3"/>
              <w:jc w:val="left"/>
            </w:pPr>
            <w:r>
              <w:rPr>
                <w:rFonts w:ascii="仿宋_GB2312" w:hAnsi="仿宋_GB2312" w:cs="仿宋_GB2312" w:eastAsia="仿宋_GB2312"/>
              </w:rPr>
              <w:t>供应商提供自2023年01月01日至今承接过的类似项目业绩，每提供一个类似项目业绩得3分，本项满分12分。 证明材料：提供中标（成交）通知书或合同（时间以合同签订时间为主）复印件并加盖公章，未提供或者提供不全不得分。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492"/>
          </w:tcPr>
          <w:p>
            <w:pPr>
              <w:pStyle w:val="null3"/>
              <w:jc w:val="left"/>
            </w:pPr>
            <w:r>
              <w:rPr>
                <w:rFonts w:ascii="仿宋_GB2312" w:hAnsi="仿宋_GB2312" w:cs="仿宋_GB2312" w:eastAsia="仿宋_GB2312"/>
              </w:rPr>
              <w:t>供应商为本项目配备的人员，本项满分9分。 ①供应商为本项目配备的项目负责人，具备大专及以上学历证书且三年及以上管理经验证明的，得3分，本项满分3分； 证明材料：提供学历证书、劳动合同复印件证明材料加盖公章，少提供或不提供不得分。 ②供应商根据货物配送需要配备专职配送人员4人，每1人得1.5分，本项满分6分。 证明材料：提供符合准驾车型驾驶证、健康证、2025年至今任意一个月在本公司的社保缴纳记录提供复印件（或劳动合同复印件）加盖公章，少提供或不提供不得分。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配送车辆</w:t>
            </w:r>
          </w:p>
        </w:tc>
        <w:tc>
          <w:tcPr>
            <w:tcW w:type="dxa" w:w="2492"/>
          </w:tcPr>
          <w:p>
            <w:pPr>
              <w:pStyle w:val="null3"/>
              <w:jc w:val="left"/>
            </w:pPr>
            <w:r>
              <w:rPr>
                <w:rFonts w:ascii="仿宋_GB2312" w:hAnsi="仿宋_GB2312" w:cs="仿宋_GB2312" w:eastAsia="仿宋_GB2312"/>
              </w:rPr>
              <w:t>供应商为本项目配置的配送车辆，本项满分6分。 每配置一辆有符合国家运输安全标准的冷藏运输配送车辆4辆，每1辆得1.5分，本项满分6分； 证明材料：供应商如为自有车辆需提供供应商名下相应车辆行驶证（通过年审）、车辆照片、购车发票复印件并加盖公章；如为租赁车辆需提供行驶证（通过年审）、车辆照片、租赁合同复印件并加盖公章，未提供或者提供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食品安全责任保险</w:t>
            </w:r>
          </w:p>
        </w:tc>
        <w:tc>
          <w:tcPr>
            <w:tcW w:type="dxa" w:w="2492"/>
          </w:tcPr>
          <w:p>
            <w:pPr>
              <w:pStyle w:val="null3"/>
              <w:jc w:val="left"/>
            </w:pPr>
            <w:r>
              <w:rPr>
                <w:rFonts w:ascii="仿宋_GB2312" w:hAnsi="仿宋_GB2312" w:cs="仿宋_GB2312" w:eastAsia="仿宋_GB2312"/>
              </w:rPr>
              <w:t>供应商提供在有效期内的食品安全责任保险，本项满分5分。 为保证重大安全责任等事故出现的赔偿，供应商必须购买食品安全责任保险， ①保险累计赔偿限额达到3000万元（含）以上，得5分； ②保险累计赔偿限额达到2000-3000万元（不含），得2分； ③保险累计赔偿限额达到1000-2000万元（不含），得1分； ④保险累计赔偿限额达到1000万元（不含）以下，得0分。 证明材料：提供保险公司出具的食品安全责任保险保单复印件（保险期限时间未覆盖本项目全部服务期间的应承诺到期续保，确保保单时间覆盖本项目）或提供中标后购买保险承诺书（承诺中标后购买相关保险，保险期限时间需覆盖本项目服务期间，格式自拟）。</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仓库储存能力-1</w:t>
            </w:r>
          </w:p>
        </w:tc>
        <w:tc>
          <w:tcPr>
            <w:tcW w:type="dxa" w:w="2492"/>
          </w:tcPr>
          <w:p>
            <w:pPr>
              <w:pStyle w:val="null3"/>
              <w:jc w:val="left"/>
            </w:pPr>
            <w:r>
              <w:rPr>
                <w:rFonts w:ascii="仿宋_GB2312" w:hAnsi="仿宋_GB2312" w:cs="仿宋_GB2312" w:eastAsia="仿宋_GB2312"/>
              </w:rPr>
              <w:t>食材常温储存能力：供应商具有普通仓库（含累计仓库面积），本项满分4分。 ①供应商具有普通仓库面积满500平方米及以上的，得4分； ②面积300平方米（含）-500平方米（不含）的，得2分； ③面积100平方米（含）-300平方米（不含）的，得1分； ④100平方米（不含）以下的，不得分。 证明材料：供应商如为自有仓库的需提供供应商自有房产证明复印件，并提供仓库照片并加盖公章；如为租赁仓库的需提供供应商与出租方签订的租赁合同，并提供仓库照片并加盖公章，未提供或者提供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仓库储存能力-2</w:t>
            </w:r>
          </w:p>
        </w:tc>
        <w:tc>
          <w:tcPr>
            <w:tcW w:type="dxa" w:w="2492"/>
          </w:tcPr>
          <w:p>
            <w:pPr>
              <w:pStyle w:val="null3"/>
              <w:jc w:val="left"/>
            </w:pPr>
            <w:r>
              <w:rPr>
                <w:rFonts w:ascii="仿宋_GB2312" w:hAnsi="仿宋_GB2312" w:cs="仿宋_GB2312" w:eastAsia="仿宋_GB2312"/>
              </w:rPr>
              <w:t>食材保鲜储存能力：供应商具有冷藏库和冷冻库（含累计仓库面积）本项满分4分。 ①供应商具有冷藏和冷冻库面积满300平方米及以上的得4分； ②面积200平方米（含）-300平方米（不含）的得2分； ③面积100平方米（含）-200平方米（不含）的得1分； ④100平方米（不含）以下不得分。 证明材料：供应商如为自有仓库的需提供投标人自有房产证明复印件，并提供仓库照片并加盖公章；如为租赁仓库的需提供投标人与出租方签订的租赁合同，并提供仓库照片并加盖公章，未提供或者提供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价格评审</w:t>
            </w:r>
          </w:p>
        </w:tc>
        <w:tc>
          <w:tcPr>
            <w:tcW w:type="dxa" w:w="2492"/>
          </w:tcPr>
          <w:p>
            <w:pPr>
              <w:pStyle w:val="null3"/>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投标（响应）报价明细表</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监狱企业的证明文件</w:t>
            </w:r>
          </w:p>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残疾人福利性单位声明函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响应文件格式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HNZT2026-065</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2026年保亭县农村义务教育学生营养改善计划食堂供餐食材采购项目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2026年保亭县农村义务教育学生营养改善计划食堂供餐食材采购项目</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C22040000-餐饮服务</w:t>
            </w:r>
          </w:p>
        </w:tc>
        <w:tc>
          <w:tcPr>
            <w:tcW w:type="dxa" w:w="1038"/>
          </w:tcPr>
          <w:p>
            <w:pPr>
              <w:pStyle w:val="null3"/>
              <w:jc w:val="left"/>
            </w:pPr>
            <w:r>
              <w:rPr>
                <w:rFonts w:ascii="仿宋_GB2312" w:hAnsi="仿宋_GB2312" w:cs="仿宋_GB2312" w:eastAsia="仿宋_GB2312"/>
              </w:rPr>
              <w:t xml:space="preserve"> 1.00其他</w:t>
            </w:r>
          </w:p>
        </w:tc>
        <w:tc>
          <w:tcPr>
            <w:tcW w:type="dxa" w:w="1038"/>
          </w:tcPr>
          <w:p>
            <w:pPr>
              <w:pStyle w:val="null3"/>
              <w:jc w:val="left"/>
            </w:pPr>
            <w:r>
              <w:rPr>
                <w:rFonts w:ascii="仿宋_GB2312" w:hAnsi="仿宋_GB2312" w:cs="仿宋_GB2312" w:eastAsia="仿宋_GB2312"/>
              </w:rPr>
              <w:t xml:space="preserve"> 3900000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详见附件：供应商承诺函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详见附件：信用记录证明及无串通情形条款</w:t>
      </w:r>
    </w:p>
    <w:p>
      <w:pPr>
        <w:pStyle w:val="null3"/>
        <w:ind w:firstLine="960"/>
        <w:jc w:val="left"/>
      </w:pPr>
      <w:r>
        <w:rPr>
          <w:rFonts w:ascii="仿宋_GB2312" w:hAnsi="仿宋_GB2312" w:cs="仿宋_GB2312" w:eastAsia="仿宋_GB2312"/>
        </w:rPr>
        <w:t>详见附件：资格承诺函</w:t>
      </w:r>
    </w:p>
    <w:p>
      <w:pPr>
        <w:pStyle w:val="null3"/>
        <w:ind w:firstLine="960"/>
        <w:jc w:val="left"/>
      </w:pPr>
      <w:r>
        <w:rPr>
          <w:rFonts w:ascii="仿宋_GB2312" w:hAnsi="仿宋_GB2312" w:cs="仿宋_GB2312" w:eastAsia="仿宋_GB2312"/>
        </w:rPr>
        <w:t>详见附件：特定资格审查需提供的材料</w:t>
      </w:r>
    </w:p>
    <w:p>
      <w:pPr>
        <w:pStyle w:val="null3"/>
        <w:jc w:val="left"/>
        <w:outlineLvl w:val="3"/>
      </w:pPr>
      <w:r>
        <w:rPr>
          <w:rFonts w:ascii="仿宋_GB2312" w:hAnsi="仿宋_GB2312" w:cs="仿宋_GB2312" w:eastAsia="仿宋_GB2312"/>
          <w:sz w:val="24"/>
          <w:b/>
        </w:rPr>
        <w:t>响应文件格式补充说明</w:t>
      </w:r>
    </w:p>
    <w:p>
      <w:pPr>
        <w:pStyle w:val="null3"/>
        <w:ind w:firstLine="480"/>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