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E4D8A2">
      <w:pPr>
        <w:jc w:val="center"/>
        <w:rPr>
          <w:rFonts w:hint="eastAsia" w:ascii="宋体" w:hAnsi="宋体"/>
          <w:color w:val="auto"/>
          <w:sz w:val="44"/>
          <w:szCs w:val="44"/>
          <w:lang w:eastAsia="zh-CN"/>
        </w:rPr>
      </w:pPr>
      <w:bookmarkStart w:id="0" w:name="_GoBack"/>
      <w:bookmarkEnd w:id="0"/>
    </w:p>
    <w:p w14:paraId="4079F1FE">
      <w:pPr>
        <w:jc w:val="center"/>
        <w:rPr>
          <w:rFonts w:hint="eastAsia" w:ascii="宋体" w:hAnsi="宋体"/>
          <w:color w:val="auto"/>
          <w:sz w:val="44"/>
          <w:szCs w:val="44"/>
          <w:lang w:eastAsia="zh-CN"/>
        </w:rPr>
      </w:pPr>
    </w:p>
    <w:p w14:paraId="490593E2">
      <w:pPr>
        <w:jc w:val="center"/>
        <w:rPr>
          <w:rFonts w:hint="eastAsia" w:ascii="宋体" w:hAnsi="宋体"/>
          <w:color w:val="auto"/>
          <w:sz w:val="44"/>
          <w:szCs w:val="44"/>
          <w:lang w:eastAsia="zh-CN"/>
        </w:rPr>
      </w:pPr>
    </w:p>
    <w:p w14:paraId="7984A49D">
      <w:pPr>
        <w:jc w:val="center"/>
        <w:rPr>
          <w:rFonts w:hint="eastAsia" w:ascii="宋体" w:hAnsi="宋体" w:eastAsia="宋体"/>
          <w:color w:val="auto"/>
          <w:sz w:val="44"/>
          <w:szCs w:val="44"/>
          <w:lang w:eastAsia="zh-CN"/>
        </w:rPr>
      </w:pPr>
      <w:r>
        <w:rPr>
          <w:rFonts w:hint="eastAsia" w:ascii="宋体" w:hAnsi="宋体"/>
          <w:color w:val="auto"/>
          <w:sz w:val="44"/>
          <w:szCs w:val="44"/>
          <w:lang w:eastAsia="zh-CN"/>
        </w:rPr>
        <w:t>教育系统财务服务中心采购合同</w:t>
      </w:r>
    </w:p>
    <w:p w14:paraId="4C74DD29">
      <w:pPr>
        <w:widowControl/>
        <w:rPr>
          <w:rFonts w:ascii="宋体" w:hAnsi="宋体"/>
          <w:b/>
          <w:bCs/>
          <w:color w:val="auto"/>
          <w:kern w:val="0"/>
          <w:sz w:val="28"/>
          <w:szCs w:val="28"/>
        </w:rPr>
      </w:pPr>
    </w:p>
    <w:p w14:paraId="0919A07A">
      <w:pPr>
        <w:spacing w:line="360" w:lineRule="auto"/>
        <w:jc w:val="center"/>
        <w:rPr>
          <w:rFonts w:ascii="宋体"/>
          <w:b/>
          <w:color w:val="auto"/>
          <w:sz w:val="32"/>
          <w:szCs w:val="32"/>
          <w:lang w:val="zh-CN"/>
        </w:rPr>
      </w:pPr>
    </w:p>
    <w:p w14:paraId="2DE81E31">
      <w:pPr>
        <w:spacing w:line="360" w:lineRule="auto"/>
        <w:jc w:val="center"/>
        <w:rPr>
          <w:rFonts w:ascii="宋体"/>
          <w:b/>
          <w:color w:val="auto"/>
          <w:sz w:val="32"/>
          <w:szCs w:val="32"/>
          <w:lang w:val="zh-CN"/>
        </w:rPr>
      </w:pPr>
    </w:p>
    <w:p w14:paraId="4BE47BAE">
      <w:pPr>
        <w:spacing w:line="360" w:lineRule="auto"/>
        <w:jc w:val="center"/>
        <w:rPr>
          <w:rFonts w:ascii="宋体"/>
          <w:b/>
          <w:color w:val="auto"/>
          <w:sz w:val="32"/>
          <w:szCs w:val="32"/>
          <w:lang w:val="zh-CN"/>
        </w:rPr>
      </w:pPr>
    </w:p>
    <w:p w14:paraId="065363DE">
      <w:pPr>
        <w:bidi w:val="0"/>
        <w:rPr>
          <w:color w:val="auto"/>
          <w:lang w:val="zh-CN"/>
        </w:rPr>
      </w:pPr>
    </w:p>
    <w:p w14:paraId="4FDC28DC">
      <w:pPr>
        <w:spacing w:line="360" w:lineRule="auto"/>
        <w:jc w:val="center"/>
        <w:rPr>
          <w:rFonts w:ascii="宋体"/>
          <w:b/>
          <w:color w:val="auto"/>
          <w:sz w:val="32"/>
          <w:szCs w:val="32"/>
          <w:lang w:val="zh-CN"/>
        </w:rPr>
      </w:pPr>
    </w:p>
    <w:p w14:paraId="05A5DCA8">
      <w:pPr>
        <w:spacing w:line="360" w:lineRule="auto"/>
        <w:jc w:val="center"/>
        <w:rPr>
          <w:rFonts w:ascii="宋体"/>
          <w:b/>
          <w:color w:val="auto"/>
          <w:sz w:val="32"/>
          <w:szCs w:val="32"/>
          <w:lang w:val="zh-CN"/>
        </w:rPr>
      </w:pPr>
    </w:p>
    <w:p w14:paraId="6C6A55BB">
      <w:pPr>
        <w:spacing w:line="360" w:lineRule="auto"/>
        <w:jc w:val="center"/>
        <w:rPr>
          <w:rFonts w:ascii="宋体"/>
          <w:b/>
          <w:color w:val="auto"/>
          <w:sz w:val="32"/>
          <w:szCs w:val="32"/>
          <w:lang w:val="zh-CN"/>
        </w:rPr>
      </w:pPr>
    </w:p>
    <w:p w14:paraId="7B1DAAC2">
      <w:pPr>
        <w:spacing w:line="360" w:lineRule="auto"/>
        <w:jc w:val="center"/>
        <w:rPr>
          <w:rFonts w:ascii="宋体"/>
          <w:b/>
          <w:color w:val="auto"/>
          <w:sz w:val="32"/>
          <w:szCs w:val="32"/>
          <w:lang w:val="zh-CN"/>
        </w:rPr>
      </w:pPr>
    </w:p>
    <w:p w14:paraId="531C68C6">
      <w:pPr>
        <w:spacing w:line="360" w:lineRule="auto"/>
        <w:jc w:val="center"/>
        <w:rPr>
          <w:rFonts w:ascii="宋体"/>
          <w:b/>
          <w:color w:val="auto"/>
          <w:sz w:val="32"/>
          <w:szCs w:val="32"/>
          <w:lang w:val="zh-CN"/>
        </w:rPr>
      </w:pPr>
    </w:p>
    <w:p w14:paraId="75AF9DC5">
      <w:pPr>
        <w:ind w:firstLine="1417" w:firstLineChars="504"/>
        <w:rPr>
          <w:rFonts w:ascii="宋体" w:hAnsi="宋体" w:cs="宋体"/>
          <w:b/>
          <w:bCs/>
          <w:color w:val="auto"/>
          <w:sz w:val="28"/>
          <w:szCs w:val="28"/>
          <w:u w:val="single"/>
        </w:rPr>
      </w:pPr>
      <w:r>
        <w:rPr>
          <w:rFonts w:hint="eastAsia" w:ascii="宋体" w:hAnsi="宋体" w:cs="宋体"/>
          <w:b/>
          <w:bCs/>
          <w:color w:val="auto"/>
          <w:sz w:val="28"/>
          <w:szCs w:val="28"/>
        </w:rPr>
        <w:t>甲方：</w:t>
      </w:r>
      <w:r>
        <w:rPr>
          <w:rFonts w:hint="eastAsia" w:ascii="宋体" w:hAnsi="宋体"/>
          <w:b/>
          <w:color w:val="auto"/>
          <w:sz w:val="24"/>
          <w:u w:val="single"/>
        </w:rPr>
        <w:t xml:space="preserve"> </w:t>
      </w:r>
      <w:r>
        <w:rPr>
          <w:rFonts w:hint="eastAsia" w:ascii="宋体" w:hAnsi="宋体"/>
          <w:b/>
          <w:color w:val="auto"/>
          <w:sz w:val="24"/>
          <w:u w:val="single"/>
          <w:lang w:eastAsia="zh-CN"/>
        </w:rPr>
        <w:t>保亭黎族苗族自治县教育局</w:t>
      </w:r>
      <w:r>
        <w:rPr>
          <w:rFonts w:ascii="宋体" w:hAnsi="宋体"/>
          <w:b/>
          <w:color w:val="auto"/>
          <w:sz w:val="24"/>
          <w:u w:val="single"/>
        </w:rPr>
        <w:t xml:space="preserve">  </w:t>
      </w:r>
    </w:p>
    <w:p w14:paraId="40C61CEF">
      <w:pPr>
        <w:spacing w:line="360" w:lineRule="auto"/>
        <w:ind w:firstLine="1405" w:firstLineChars="500"/>
        <w:rPr>
          <w:rFonts w:ascii="宋体" w:hAnsi="宋体" w:cs="宋体"/>
          <w:b/>
          <w:bCs/>
          <w:color w:val="auto"/>
          <w:sz w:val="28"/>
          <w:szCs w:val="28"/>
          <w:u w:val="single"/>
        </w:rPr>
      </w:pPr>
      <w:r>
        <w:rPr>
          <w:rFonts w:hint="eastAsia" w:ascii="宋体" w:hAnsi="宋体" w:cs="宋体"/>
          <w:b/>
          <w:bCs/>
          <w:color w:val="auto"/>
          <w:sz w:val="28"/>
          <w:szCs w:val="28"/>
        </w:rPr>
        <w:t>乙方：</w:t>
      </w:r>
      <w:r>
        <w:rPr>
          <w:rFonts w:hint="eastAsia" w:ascii="宋体" w:hAnsi="宋体" w:cs="宋体"/>
          <w:b/>
          <w:bCs/>
          <w:color w:val="auto"/>
          <w:sz w:val="28"/>
          <w:szCs w:val="28"/>
          <w:u w:val="single"/>
        </w:rPr>
        <w:t xml:space="preserve">                   </w:t>
      </w:r>
      <w:r>
        <w:rPr>
          <w:rFonts w:hint="eastAsia" w:ascii="宋体" w:hAnsi="宋体"/>
          <w:b/>
          <w:color w:val="auto"/>
          <w:sz w:val="24"/>
          <w:u w:val="single"/>
        </w:rPr>
        <w:t xml:space="preserve"> </w:t>
      </w:r>
      <w:r>
        <w:rPr>
          <w:rFonts w:hint="eastAsia" w:ascii="宋体" w:hAnsi="宋体" w:cs="宋体"/>
          <w:b/>
          <w:bCs/>
          <w:color w:val="auto"/>
          <w:sz w:val="28"/>
          <w:szCs w:val="28"/>
          <w:u w:val="single"/>
        </w:rPr>
        <w:t xml:space="preserve">   </w:t>
      </w:r>
    </w:p>
    <w:p w14:paraId="23008016">
      <w:pPr>
        <w:spacing w:line="360" w:lineRule="auto"/>
        <w:ind w:left="0" w:leftChars="0" w:firstLine="1484" w:firstLineChars="528"/>
        <w:rPr>
          <w:rFonts w:ascii="宋体" w:hAnsi="宋体" w:cs="宋体"/>
          <w:b/>
          <w:color w:val="auto"/>
          <w:sz w:val="28"/>
          <w:szCs w:val="28"/>
        </w:rPr>
      </w:pPr>
      <w:r>
        <w:rPr>
          <w:rFonts w:hint="eastAsia" w:ascii="宋体" w:hAnsi="宋体" w:cs="宋体"/>
          <w:b/>
          <w:color w:val="auto"/>
          <w:sz w:val="28"/>
          <w:szCs w:val="28"/>
        </w:rPr>
        <w:t>签订日期：</w:t>
      </w:r>
      <w:r>
        <w:rPr>
          <w:rFonts w:hint="eastAsia" w:ascii="宋体" w:hAnsi="宋体" w:cs="宋体"/>
          <w:b/>
          <w:color w:val="auto"/>
          <w:sz w:val="28"/>
          <w:szCs w:val="28"/>
          <w:u w:val="single"/>
        </w:rPr>
        <w:t xml:space="preserve">      </w:t>
      </w:r>
      <w:r>
        <w:rPr>
          <w:rFonts w:hint="eastAsia" w:ascii="宋体" w:hAnsi="宋体" w:cs="宋体"/>
          <w:b/>
          <w:color w:val="auto"/>
          <w:sz w:val="28"/>
          <w:szCs w:val="28"/>
        </w:rPr>
        <w:t>年</w:t>
      </w:r>
      <w:r>
        <w:rPr>
          <w:rFonts w:hint="eastAsia" w:ascii="宋体" w:hAnsi="宋体" w:cs="宋体"/>
          <w:b/>
          <w:color w:val="auto"/>
          <w:sz w:val="28"/>
          <w:szCs w:val="28"/>
          <w:u w:val="single"/>
        </w:rPr>
        <w:t xml:space="preserve">    </w:t>
      </w:r>
      <w:r>
        <w:rPr>
          <w:rFonts w:hint="eastAsia" w:ascii="宋体" w:hAnsi="宋体" w:cs="宋体"/>
          <w:b/>
          <w:color w:val="auto"/>
          <w:sz w:val="28"/>
          <w:szCs w:val="28"/>
        </w:rPr>
        <w:t>月</w:t>
      </w:r>
      <w:r>
        <w:rPr>
          <w:rFonts w:hint="eastAsia" w:ascii="宋体" w:hAnsi="宋体" w:cs="宋体"/>
          <w:b/>
          <w:color w:val="auto"/>
          <w:sz w:val="28"/>
          <w:szCs w:val="28"/>
          <w:u w:val="single"/>
        </w:rPr>
        <w:t xml:space="preserve">    </w:t>
      </w:r>
      <w:r>
        <w:rPr>
          <w:rFonts w:hint="eastAsia" w:ascii="宋体" w:hAnsi="宋体" w:cs="宋体"/>
          <w:b/>
          <w:color w:val="auto"/>
          <w:sz w:val="28"/>
          <w:szCs w:val="28"/>
        </w:rPr>
        <w:t>日</w:t>
      </w:r>
    </w:p>
    <w:p w14:paraId="2E180EFA">
      <w:pPr>
        <w:spacing w:line="360" w:lineRule="auto"/>
        <w:rPr>
          <w:color w:val="auto"/>
          <w:sz w:val="28"/>
        </w:rPr>
      </w:pPr>
    </w:p>
    <w:p w14:paraId="4741592D">
      <w:pPr>
        <w:rPr>
          <w:rFonts w:hint="eastAsia"/>
          <w:color w:val="auto"/>
        </w:rPr>
      </w:pPr>
    </w:p>
    <w:p w14:paraId="12496723">
      <w:pPr>
        <w:spacing w:before="19" w:line="360" w:lineRule="auto"/>
        <w:rPr>
          <w:rFonts w:hint="eastAsia" w:ascii="宋体" w:hAnsi="宋体"/>
          <w:b/>
          <w:bCs/>
          <w:color w:val="auto"/>
          <w:sz w:val="28"/>
          <w:szCs w:val="28"/>
        </w:rPr>
        <w:sectPr>
          <w:footnotePr>
            <w:pos w:val="beneathText"/>
          </w:footnotePr>
          <w:pgSz w:w="11906" w:h="16838"/>
          <w:pgMar w:top="1440" w:right="1559" w:bottom="1440" w:left="1797" w:header="851" w:footer="992" w:gutter="0"/>
          <w:cols w:space="720" w:num="1"/>
          <w:docGrid w:type="lines" w:linePitch="312" w:charSpace="0"/>
        </w:sectPr>
      </w:pPr>
    </w:p>
    <w:p w14:paraId="7A3B23F0">
      <w:pPr>
        <w:spacing w:before="19" w:line="360" w:lineRule="auto"/>
        <w:rPr>
          <w:rFonts w:ascii="宋体" w:hAnsi="宋体"/>
          <w:b/>
          <w:bCs/>
          <w:color w:val="auto"/>
          <w:sz w:val="28"/>
          <w:szCs w:val="28"/>
          <w:u w:val="single"/>
        </w:rPr>
      </w:pPr>
      <w:r>
        <w:rPr>
          <w:rFonts w:hint="eastAsia" w:ascii="宋体" w:hAnsi="宋体"/>
          <w:b/>
          <w:bCs/>
          <w:color w:val="auto"/>
          <w:sz w:val="28"/>
          <w:szCs w:val="28"/>
        </w:rPr>
        <w:t xml:space="preserve">甲方: </w:t>
      </w:r>
      <w:r>
        <w:rPr>
          <w:rFonts w:hint="eastAsia" w:ascii="宋体" w:hAnsi="宋体"/>
          <w:b/>
          <w:bCs/>
          <w:color w:val="auto"/>
          <w:sz w:val="28"/>
          <w:szCs w:val="28"/>
          <w:u w:val="single"/>
        </w:rPr>
        <w:t xml:space="preserve"> </w:t>
      </w:r>
      <w:r>
        <w:rPr>
          <w:rFonts w:hint="eastAsia" w:ascii="宋体" w:hAnsi="宋体"/>
          <w:b/>
          <w:bCs/>
          <w:color w:val="auto"/>
          <w:sz w:val="28"/>
          <w:szCs w:val="28"/>
          <w:u w:val="single"/>
          <w:lang w:eastAsia="zh-CN"/>
        </w:rPr>
        <w:t>保亭黎族苗族自治县教育局</w:t>
      </w:r>
      <w:r>
        <w:rPr>
          <w:rFonts w:hint="eastAsia" w:ascii="宋体" w:hAnsi="宋体"/>
          <w:b/>
          <w:bCs/>
          <w:color w:val="auto"/>
          <w:sz w:val="28"/>
          <w:szCs w:val="28"/>
          <w:u w:val="single"/>
        </w:rPr>
        <w:t xml:space="preserve">  </w:t>
      </w:r>
    </w:p>
    <w:p w14:paraId="1EE624E8">
      <w:pPr>
        <w:spacing w:before="19" w:line="360" w:lineRule="auto"/>
        <w:rPr>
          <w:rFonts w:ascii="宋体" w:hAnsi="宋体"/>
          <w:b/>
          <w:bCs/>
          <w:color w:val="auto"/>
          <w:sz w:val="28"/>
          <w:szCs w:val="28"/>
          <w:u w:val="single"/>
        </w:rPr>
      </w:pPr>
      <w:r>
        <w:rPr>
          <w:rFonts w:hint="eastAsia" w:ascii="宋体" w:hAnsi="宋体"/>
          <w:b/>
          <w:bCs/>
          <w:color w:val="auto"/>
          <w:sz w:val="28"/>
          <w:szCs w:val="28"/>
        </w:rPr>
        <w:t xml:space="preserve">乙方: </w:t>
      </w:r>
      <w:r>
        <w:rPr>
          <w:rFonts w:hint="eastAsia" w:ascii="宋体" w:hAnsi="宋体"/>
          <w:b/>
          <w:bCs/>
          <w:color w:val="auto"/>
          <w:sz w:val="28"/>
          <w:szCs w:val="28"/>
          <w:u w:val="single"/>
        </w:rPr>
        <w:t xml:space="preserve">                           </w:t>
      </w:r>
    </w:p>
    <w:p w14:paraId="623A3F03">
      <w:pPr>
        <w:snapToGrid w:val="0"/>
        <w:spacing w:before="19" w:line="360" w:lineRule="auto"/>
        <w:ind w:firstLine="600"/>
        <w:rPr>
          <w:rFonts w:ascii="宋体" w:hAnsi="宋体"/>
          <w:color w:val="auto"/>
          <w:sz w:val="24"/>
        </w:rPr>
      </w:pPr>
    </w:p>
    <w:p w14:paraId="41C3748D">
      <w:pPr>
        <w:snapToGrid w:val="0"/>
        <w:spacing w:before="19" w:line="360" w:lineRule="auto"/>
        <w:ind w:firstLine="600"/>
        <w:rPr>
          <w:rFonts w:ascii="宋体" w:hAnsi="宋体"/>
          <w:color w:val="auto"/>
          <w:sz w:val="24"/>
        </w:rPr>
      </w:pPr>
      <w:r>
        <w:rPr>
          <w:rFonts w:hint="eastAsia" w:ascii="宋体" w:hAnsi="宋体"/>
          <w:color w:val="auto"/>
          <w:sz w:val="24"/>
        </w:rPr>
        <w:t>甲乙双方根据</w:t>
      </w:r>
      <w:r>
        <w:rPr>
          <w:color w:val="auto"/>
          <w:sz w:val="24"/>
          <w:szCs w:val="28"/>
        </w:rPr>
        <w:t>《</w:t>
      </w:r>
      <w:r>
        <w:rPr>
          <w:rFonts w:hint="eastAsia"/>
          <w:color w:val="auto"/>
          <w:sz w:val="24"/>
          <w:szCs w:val="28"/>
        </w:rPr>
        <w:t>中华人民共和国民法典</w:t>
      </w:r>
      <w:r>
        <w:rPr>
          <w:color w:val="auto"/>
          <w:sz w:val="24"/>
          <w:szCs w:val="28"/>
        </w:rPr>
        <w:t>》</w:t>
      </w:r>
      <w:r>
        <w:rPr>
          <w:rFonts w:hint="eastAsia"/>
          <w:color w:val="auto"/>
          <w:sz w:val="24"/>
          <w:szCs w:val="28"/>
        </w:rPr>
        <w:t>《中华人民共和国政府采购法》等法律法规</w:t>
      </w:r>
      <w:r>
        <w:rPr>
          <w:rFonts w:hint="eastAsia" w:ascii="宋体" w:hAnsi="宋体"/>
          <w:color w:val="auto"/>
          <w:sz w:val="24"/>
        </w:rPr>
        <w:t>要求，经甲乙双方友好协商，本着平等、自愿、诚实信用原则，签订本合同，以兹共同遵守。</w:t>
      </w:r>
    </w:p>
    <w:p w14:paraId="08D954E7">
      <w:pPr>
        <w:snapToGrid w:val="0"/>
        <w:spacing w:line="360" w:lineRule="auto"/>
        <w:rPr>
          <w:rFonts w:ascii="宋体" w:hAnsi="宋体"/>
          <w:b/>
          <w:color w:val="auto"/>
          <w:sz w:val="28"/>
          <w:szCs w:val="28"/>
        </w:rPr>
      </w:pPr>
      <w:r>
        <w:rPr>
          <w:rFonts w:hint="eastAsia" w:ascii="宋体" w:hAnsi="宋体"/>
          <w:b/>
          <w:color w:val="auto"/>
          <w:sz w:val="28"/>
          <w:szCs w:val="28"/>
        </w:rPr>
        <w:t>一、服务内容</w:t>
      </w:r>
      <w:r>
        <w:rPr>
          <w:rFonts w:hint="eastAsia" w:ascii="宋体" w:hAnsi="宋体"/>
          <w:b/>
          <w:color w:val="auto"/>
          <w:sz w:val="28"/>
          <w:szCs w:val="28"/>
          <w:lang w:eastAsia="zh-CN"/>
        </w:rPr>
        <w:t>、</w:t>
      </w:r>
      <w:r>
        <w:rPr>
          <w:rFonts w:hint="eastAsia" w:ascii="宋体" w:hAnsi="宋体"/>
          <w:b/>
          <w:color w:val="auto"/>
          <w:sz w:val="28"/>
          <w:szCs w:val="28"/>
          <w:lang w:val="en-US" w:eastAsia="zh-CN"/>
        </w:rPr>
        <w:t>服务</w:t>
      </w:r>
      <w:r>
        <w:rPr>
          <w:rFonts w:hint="eastAsia" w:ascii="宋体" w:hAnsi="宋体"/>
          <w:b/>
          <w:color w:val="auto"/>
          <w:sz w:val="28"/>
          <w:szCs w:val="28"/>
        </w:rPr>
        <w:t>要求</w:t>
      </w:r>
    </w:p>
    <w:p w14:paraId="499A95CB">
      <w:pPr>
        <w:snapToGrid w:val="0"/>
        <w:spacing w:line="500" w:lineRule="exact"/>
        <w:ind w:firstLine="480" w:firstLineChars="200"/>
        <w:rPr>
          <w:rFonts w:hint="eastAsia" w:ascii="宋体" w:hAnsi="宋体"/>
          <w:color w:val="auto"/>
          <w:sz w:val="24"/>
        </w:rPr>
      </w:pPr>
      <w:r>
        <w:rPr>
          <w:rFonts w:hint="eastAsia" w:ascii="宋体" w:hAnsi="宋体"/>
          <w:color w:val="auto"/>
          <w:sz w:val="24"/>
        </w:rPr>
        <w:t>（一）报账业务</w:t>
      </w:r>
    </w:p>
    <w:p w14:paraId="3E27FCD4">
      <w:pPr>
        <w:snapToGrid w:val="0"/>
        <w:spacing w:line="500" w:lineRule="exact"/>
        <w:ind w:firstLine="480" w:firstLineChars="200"/>
        <w:rPr>
          <w:rFonts w:hint="eastAsia" w:ascii="宋体" w:hAnsi="宋体"/>
          <w:color w:val="auto"/>
          <w:sz w:val="24"/>
        </w:rPr>
      </w:pPr>
      <w:r>
        <w:rPr>
          <w:rFonts w:hint="eastAsia" w:ascii="宋体" w:hAnsi="宋体"/>
          <w:color w:val="auto"/>
          <w:sz w:val="24"/>
        </w:rPr>
        <w:t>1.报账受理与审核服务。实现财务工作的规范化、标准化操作，严格遵循国家财务法规以及教育系统相关财务管理制度。提高报账效率，缩短报账周期，减少服务对象等待时间，提升教育系统整体财务管理水平和服务满意度。确保报账数据的准确性和完整性，为财务分析、预算执行等后续工作提供可靠的数据支撑，同时保障财务信息安全。</w:t>
      </w:r>
    </w:p>
    <w:p w14:paraId="1761FB39">
      <w:pPr>
        <w:snapToGrid w:val="0"/>
        <w:spacing w:line="500" w:lineRule="exact"/>
        <w:ind w:firstLine="480" w:firstLineChars="200"/>
        <w:rPr>
          <w:rFonts w:hint="eastAsia" w:ascii="宋体" w:hAnsi="宋体" w:eastAsia="宋体" w:cs="Times New Roman"/>
          <w:color w:val="auto"/>
          <w:sz w:val="24"/>
          <w:lang w:val="en-US" w:eastAsia="zh-CN"/>
        </w:rPr>
      </w:pPr>
      <w:r>
        <w:rPr>
          <w:rFonts w:hint="eastAsia" w:ascii="宋体" w:hAnsi="宋体"/>
          <w:color w:val="auto"/>
          <w:sz w:val="24"/>
        </w:rPr>
        <w:t>服务内容：（1）每周固定时间在服务单位设立专门的报账受理窗口，接收服务单位提交的各类报账凭证，包括但不限于发票、报销单、审批表等。（2）按照行政事业单位财务管理办法及国家相关法律法规对报账凭证进行审核，包括但不限于检查凭证的合法性（如发票真伪、合规性）、完整性（材料是否齐全）、合理性（费用支出是否符合相关规定及预算安排），对不符合要求的凭证及时反馈给报账人员并指导其补充或更正。服务要求：（1）服务人员需熟悉国家财经法规、税收政策以及教育系统内部财务报销制度，具备较强的财务审核专业能力，能够准确判断报账凭证的有效性。（2）建立完善的报账受理登记台账，对每一笔报账业务的受理时间、提交人、审核情况等信息进行详细记录，便于查询和追溯。</w:t>
      </w:r>
      <w:r>
        <w:rPr>
          <w:rFonts w:hint="eastAsia" w:ascii="宋体" w:hAnsi="宋体" w:eastAsia="宋体" w:cs="Times New Roman"/>
          <w:color w:val="auto"/>
          <w:sz w:val="24"/>
          <w:lang w:eastAsia="zh-CN"/>
        </w:rPr>
        <w:t>（</w:t>
      </w:r>
      <w:r>
        <w:rPr>
          <w:rFonts w:hint="eastAsia" w:ascii="宋体" w:hAnsi="宋体" w:eastAsia="宋体" w:cs="Times New Roman"/>
          <w:color w:val="auto"/>
          <w:sz w:val="24"/>
          <w:lang w:val="en-US" w:eastAsia="zh-CN"/>
        </w:rPr>
        <w:t>3</w:t>
      </w:r>
      <w:r>
        <w:rPr>
          <w:rFonts w:hint="eastAsia" w:ascii="宋体" w:hAnsi="宋体" w:eastAsia="宋体" w:cs="Times New Roman"/>
          <w:color w:val="auto"/>
          <w:sz w:val="24"/>
          <w:lang w:eastAsia="zh-CN"/>
        </w:rPr>
        <w:t>）</w:t>
      </w:r>
      <w:r>
        <w:rPr>
          <w:rFonts w:hint="eastAsia" w:ascii="宋体" w:hAnsi="宋体" w:eastAsia="宋体" w:cs="Times New Roman"/>
          <w:color w:val="auto"/>
          <w:sz w:val="24"/>
        </w:rPr>
        <w:t>审核工作需在规定的时间内完成，一般常规报账业务的初审应在</w:t>
      </w:r>
      <w:r>
        <w:rPr>
          <w:rFonts w:hint="eastAsia" w:ascii="宋体" w:hAnsi="宋体" w:eastAsia="宋体" w:cs="Times New Roman"/>
          <w:color w:val="auto"/>
          <w:sz w:val="24"/>
          <w:lang w:val="en-US" w:eastAsia="zh-CN"/>
        </w:rPr>
        <w:t>当天</w:t>
      </w:r>
      <w:r>
        <w:rPr>
          <w:rFonts w:hint="eastAsia" w:ascii="宋体" w:hAnsi="宋体" w:eastAsia="宋体" w:cs="Times New Roman"/>
          <w:color w:val="auto"/>
          <w:sz w:val="24"/>
        </w:rPr>
        <w:t>内反馈审核结果</w:t>
      </w:r>
      <w:r>
        <w:rPr>
          <w:rFonts w:hint="eastAsia" w:ascii="宋体" w:hAnsi="宋体" w:eastAsia="宋体" w:cs="Times New Roman"/>
          <w:color w:val="auto"/>
          <w:sz w:val="24"/>
          <w:lang w:eastAsia="zh-CN"/>
        </w:rPr>
        <w:t>并协助完成报账单据填报</w:t>
      </w:r>
      <w:r>
        <w:rPr>
          <w:rFonts w:hint="eastAsia" w:ascii="宋体" w:hAnsi="宋体" w:eastAsia="宋体" w:cs="Times New Roman"/>
          <w:color w:val="auto"/>
          <w:sz w:val="24"/>
        </w:rPr>
        <w:t>，对于复杂业务的审核时间最长不超过</w:t>
      </w:r>
      <w:r>
        <w:rPr>
          <w:rFonts w:hint="eastAsia" w:ascii="宋体" w:hAnsi="宋体" w:eastAsia="宋体" w:cs="Times New Roman"/>
          <w:color w:val="auto"/>
          <w:sz w:val="24"/>
          <w:lang w:val="en-US" w:eastAsia="zh-CN"/>
        </w:rPr>
        <w:t>2</w:t>
      </w:r>
      <w:r>
        <w:rPr>
          <w:rFonts w:hint="eastAsia" w:ascii="宋体" w:hAnsi="宋体" w:eastAsia="宋体" w:cs="Times New Roman"/>
          <w:color w:val="auto"/>
          <w:sz w:val="24"/>
        </w:rPr>
        <w:t>个工作日</w:t>
      </w:r>
      <w:r>
        <w:rPr>
          <w:rFonts w:hint="eastAsia" w:ascii="宋体" w:hAnsi="宋体" w:eastAsia="宋体" w:cs="Times New Roman"/>
          <w:color w:val="auto"/>
          <w:sz w:val="24"/>
          <w:lang w:eastAsia="zh-CN"/>
        </w:rPr>
        <w:t>，</w:t>
      </w:r>
      <w:r>
        <w:rPr>
          <w:rFonts w:hint="eastAsia" w:ascii="宋体" w:hAnsi="宋体" w:eastAsia="宋体" w:cs="Times New Roman"/>
          <w:color w:val="auto"/>
          <w:sz w:val="24"/>
          <w:lang w:val="en-US" w:eastAsia="zh-CN"/>
        </w:rPr>
        <w:t>审核结束后应根据内控制度履行签字、上会等程序。</w:t>
      </w:r>
    </w:p>
    <w:p w14:paraId="7FC2DC04">
      <w:pPr>
        <w:snapToGrid w:val="0"/>
        <w:spacing w:line="500" w:lineRule="exact"/>
        <w:ind w:firstLine="480" w:firstLineChars="200"/>
        <w:rPr>
          <w:rFonts w:hint="eastAsia" w:ascii="宋体" w:hAnsi="宋体"/>
          <w:color w:val="auto"/>
          <w:sz w:val="24"/>
        </w:rPr>
      </w:pPr>
      <w:r>
        <w:rPr>
          <w:rFonts w:hint="eastAsia" w:ascii="宋体" w:hAnsi="宋体"/>
          <w:color w:val="auto"/>
          <w:sz w:val="24"/>
        </w:rPr>
        <w:t>2.报账凭证整理、录入、送审服务。服务内容：（1）将审核通过的报账凭证按照会计核算要求进行分类整理，如区分费用类别（差旅费、办公用品费、设备购置等）、资金来源（财政拨款、自筹经费等）等，确保凭证整齐有序，便于后续的账务处理。（2）准确无误地将报账凭证信息录入到预算管理一体化系统，包括凭证日期、摘要、金额等关键数据，保证录入数据与原始凭证一致。（3）完成录入送审后将报账材料送交国库支付中心（财政所）进行支付审核。服务要求：（1）服务人员须具备严谨细致的工作态度和较高的录入准确性。（2）定期对已录入的凭证数据进行自查和交叉核对，发现问题及时更正，并做好核对记录，确保财务数据的准确性和完整性。</w:t>
      </w:r>
    </w:p>
    <w:p w14:paraId="6734EF98">
      <w:pPr>
        <w:snapToGrid w:val="0"/>
        <w:spacing w:line="500" w:lineRule="exact"/>
        <w:ind w:firstLine="480" w:firstLineChars="200"/>
        <w:rPr>
          <w:rFonts w:hint="eastAsia" w:ascii="宋体" w:hAnsi="宋体"/>
          <w:color w:val="auto"/>
          <w:sz w:val="24"/>
        </w:rPr>
      </w:pPr>
      <w:r>
        <w:rPr>
          <w:rFonts w:hint="eastAsia" w:ascii="宋体" w:hAnsi="宋体"/>
          <w:color w:val="auto"/>
          <w:sz w:val="24"/>
        </w:rPr>
        <w:t>3.报账流程跟踪与沟通服务。服务内容：（1）对每一笔报账业务在预算管理一体化系统内的流转流程进行实时跟踪，及时掌握报账业务所处的环节（如待审批、待支付等），并向报账人员反馈进度情况，方便其了解报账动态。（2）针对报账过程中出现的问题，如审批环节受阻、资金不足等情况，及时与相关部门（财务部门、审批部门、经费管理部门等）和报账人员进行沟通协调，推动报账业务顺利进行。要求：（1）建立有效的沟通机制，通过电话、短信等多种方式与各方保持密切联系，确保信息传递及时、准确。（2）对于报账人员的咨询和反馈，需在1个工作日内给予明确答复，保障沟通的顺畅性。</w:t>
      </w:r>
    </w:p>
    <w:p w14:paraId="0AF5069B">
      <w:pPr>
        <w:snapToGrid w:val="0"/>
        <w:spacing w:line="500" w:lineRule="exact"/>
        <w:ind w:firstLine="480" w:firstLineChars="200"/>
        <w:rPr>
          <w:rFonts w:hint="eastAsia" w:ascii="宋体" w:hAnsi="宋体"/>
          <w:color w:val="auto"/>
          <w:sz w:val="24"/>
        </w:rPr>
      </w:pPr>
      <w:r>
        <w:rPr>
          <w:rFonts w:hint="eastAsia" w:ascii="宋体" w:hAnsi="宋体"/>
          <w:color w:val="auto"/>
          <w:sz w:val="24"/>
        </w:rPr>
        <w:t>（二）固定资产管理。涵盖服务对象所拥有的各类固定资产，包括但不限于：教学设备：如多媒体教学仪器、实验器材、体育器材、图书资料等。办公设备：电脑、打印机、复印机、桌椅、文件柜等。建筑物及附属设施：教学楼、办公楼、图书馆、体育馆、学生宿舍、校园道路、水电设施等。</w:t>
      </w:r>
    </w:p>
    <w:p w14:paraId="188BD7E0">
      <w:pPr>
        <w:snapToGrid w:val="0"/>
        <w:spacing w:line="500" w:lineRule="exact"/>
        <w:ind w:firstLine="480" w:firstLineChars="200"/>
        <w:rPr>
          <w:rFonts w:hint="eastAsia" w:ascii="宋体" w:hAnsi="宋体"/>
          <w:color w:val="auto"/>
          <w:sz w:val="24"/>
        </w:rPr>
      </w:pPr>
      <w:r>
        <w:rPr>
          <w:rFonts w:hint="eastAsia" w:ascii="宋体" w:hAnsi="宋体"/>
          <w:color w:val="auto"/>
          <w:sz w:val="24"/>
        </w:rPr>
        <w:t>服务内容：1.新增资产入账管理。根据验收合格的资产验收报告以及相关采购发票、调拨单等凭证，按照会计准则，及时进行固定资产的账务处理，登记入账，确定资产的入账价值、折旧年限、折旧方法等关键信息。记录资产的详细信息，如资产编号、名称、购置日期、存放地点、使用部门、责任人等，确保账账相符、账实相符的基础数据完整准确。2.标签标识。对新入账的固定资产为每一项固定资产制作唯一的标识标签，标签内容包括资产编号、名称、使用部门等关键信息，将标签牢固粘贴或悬挂在资产显眼位置，便于识别和日常管理。</w:t>
      </w:r>
    </w:p>
    <w:p w14:paraId="6CA65EB5">
      <w:pPr>
        <w:snapToGrid w:val="0"/>
        <w:spacing w:line="500" w:lineRule="exact"/>
        <w:ind w:firstLine="480" w:firstLineChars="200"/>
        <w:rPr>
          <w:rFonts w:hint="eastAsia" w:ascii="宋体" w:hAnsi="宋体"/>
          <w:color w:val="auto"/>
          <w:sz w:val="24"/>
        </w:rPr>
      </w:pPr>
      <w:r>
        <w:rPr>
          <w:rFonts w:hint="eastAsia" w:ascii="宋体" w:hAnsi="宋体"/>
          <w:color w:val="auto"/>
          <w:sz w:val="24"/>
        </w:rPr>
        <w:t>2.资产盘点。按照当年入账资产台账和账目记录，逐一对实物资产进行清查核对。清查盘点过程中，要核实资产的数量、存放地点、使用状况等信息，对于盘盈、盘亏、毁损的资产，详细记录情况，查明原因，并填写相应的清查盘点报告或报表，如果服务对象开展往年固定资产盘点应给予协助。</w:t>
      </w:r>
    </w:p>
    <w:p w14:paraId="0E7F97E4">
      <w:pPr>
        <w:snapToGrid w:val="0"/>
        <w:spacing w:line="500" w:lineRule="exact"/>
        <w:ind w:firstLine="480" w:firstLineChars="200"/>
        <w:rPr>
          <w:rFonts w:hint="eastAsia" w:ascii="宋体" w:hAnsi="宋体"/>
          <w:color w:val="auto"/>
          <w:sz w:val="24"/>
        </w:rPr>
      </w:pPr>
      <w:r>
        <w:rPr>
          <w:rFonts w:hint="eastAsia" w:ascii="宋体" w:hAnsi="宋体"/>
          <w:color w:val="auto"/>
          <w:sz w:val="24"/>
        </w:rPr>
        <w:t>3.处置执行。经批准报废的固定资产，按照国家有关规定，由服务对象采取公开拍卖、竞价转让、捐赠、拆解回收等合适的处置方式进行处理，确保资产处置过程合法合规、公开透明。服务对象负责资产处置的具体实施工作，记录处置过程及相关信息，如处置时间、方式、收入金额（如有）等，服务单位根据资产处置情况进行相应的账务处理，核销固定资产账目，对处置收入按照规定进行入账管理，上缴国库防止国有资产流失。</w:t>
      </w:r>
    </w:p>
    <w:p w14:paraId="7E598D1F">
      <w:pPr>
        <w:snapToGrid w:val="0"/>
        <w:spacing w:line="500" w:lineRule="exact"/>
        <w:ind w:firstLine="480" w:firstLineChars="200"/>
        <w:rPr>
          <w:rFonts w:hint="eastAsia" w:ascii="宋体" w:hAnsi="宋体"/>
          <w:color w:val="auto"/>
          <w:sz w:val="24"/>
        </w:rPr>
      </w:pPr>
      <w:r>
        <w:rPr>
          <w:rFonts w:hint="eastAsia" w:ascii="宋体" w:hAnsi="宋体"/>
          <w:color w:val="auto"/>
          <w:sz w:val="24"/>
        </w:rPr>
        <w:t>4.资产系统申报。根据财政部门通知要求编制资产年报及资产月报申报。</w:t>
      </w:r>
    </w:p>
    <w:p w14:paraId="226EF497">
      <w:pPr>
        <w:snapToGrid w:val="0"/>
        <w:spacing w:line="500" w:lineRule="exact"/>
        <w:ind w:firstLine="480" w:firstLineChars="200"/>
        <w:rPr>
          <w:rFonts w:hint="eastAsia" w:ascii="宋体" w:hAnsi="宋体"/>
          <w:color w:val="auto"/>
          <w:sz w:val="24"/>
        </w:rPr>
      </w:pPr>
      <w:r>
        <w:rPr>
          <w:rFonts w:hint="eastAsia" w:ascii="宋体" w:hAnsi="宋体"/>
          <w:color w:val="auto"/>
          <w:sz w:val="24"/>
        </w:rPr>
        <w:t>（三）工资发放管理。服务内容：1.根据工资发放要求及时为服务对象人员申报工资。2.及时做好各项工资晋升申报，做到不错发不漏发。要求：申报及时，不错发不漏发。</w:t>
      </w:r>
    </w:p>
    <w:p w14:paraId="3BA02EF8">
      <w:pPr>
        <w:snapToGrid w:val="0"/>
        <w:spacing w:line="500" w:lineRule="exact"/>
        <w:ind w:firstLine="480" w:firstLineChars="200"/>
        <w:rPr>
          <w:rFonts w:hint="eastAsia" w:ascii="宋体" w:hAnsi="宋体"/>
          <w:color w:val="auto"/>
          <w:sz w:val="24"/>
        </w:rPr>
      </w:pPr>
      <w:r>
        <w:rPr>
          <w:rFonts w:hint="eastAsia" w:ascii="宋体" w:hAnsi="宋体"/>
          <w:color w:val="auto"/>
          <w:sz w:val="24"/>
        </w:rPr>
        <w:t>（四）社保、公积金申报业务管理。五险一金、职业年金及在职（退休）公务员医疗补助等申报。服务内容：准确统计参保人员信息、核算缴费基数等内容，并向社保经办机构及住房公积金管理局按时提交申报数据，完成社保费用的缴纳及报账流程。要求：在核算过程中，要注意核对缴费基数是否符合当地规定的上下限要求，对于超出或低于上下限的情况，按照规定进行调整，确保缴费基数合规准确。</w:t>
      </w:r>
    </w:p>
    <w:p w14:paraId="3C66D988">
      <w:pPr>
        <w:snapToGrid w:val="0"/>
        <w:spacing w:line="500" w:lineRule="exact"/>
        <w:ind w:firstLine="480" w:firstLineChars="200"/>
        <w:rPr>
          <w:rFonts w:hint="eastAsia" w:ascii="宋体" w:hAnsi="宋体"/>
          <w:color w:val="auto"/>
          <w:sz w:val="24"/>
        </w:rPr>
      </w:pPr>
      <w:r>
        <w:rPr>
          <w:rFonts w:hint="eastAsia" w:ascii="宋体" w:hAnsi="宋体"/>
          <w:color w:val="auto"/>
          <w:sz w:val="24"/>
        </w:rPr>
        <w:t>（五）完善内控制度。指导健全服务单位内控制度，使其更好地发挥规范管理、防范风险、保障教育事业健康发展的作用。同时根据实际情况、具体规模、管理特点等情况，对内控制度内容进行进一步的细化和调整，使其更具针对性和可操作性。</w:t>
      </w:r>
    </w:p>
    <w:p w14:paraId="3BD90CBA">
      <w:pPr>
        <w:snapToGrid w:val="0"/>
        <w:spacing w:line="500" w:lineRule="exact"/>
        <w:ind w:firstLine="480" w:firstLineChars="200"/>
        <w:rPr>
          <w:rFonts w:hint="eastAsia" w:ascii="宋体" w:hAnsi="宋体"/>
          <w:color w:val="auto"/>
          <w:sz w:val="24"/>
        </w:rPr>
      </w:pPr>
      <w:r>
        <w:rPr>
          <w:rFonts w:hint="eastAsia" w:ascii="宋体" w:hAnsi="宋体"/>
          <w:color w:val="auto"/>
          <w:sz w:val="24"/>
        </w:rPr>
        <w:t>（六）预算编制。</w:t>
      </w:r>
    </w:p>
    <w:p w14:paraId="1A134B1A">
      <w:pPr>
        <w:snapToGrid w:val="0"/>
        <w:spacing w:line="500" w:lineRule="exact"/>
        <w:ind w:firstLine="480" w:firstLineChars="200"/>
        <w:rPr>
          <w:rFonts w:hint="eastAsia" w:ascii="宋体" w:hAnsi="宋体"/>
          <w:color w:val="auto"/>
          <w:sz w:val="24"/>
        </w:rPr>
      </w:pPr>
      <w:r>
        <w:rPr>
          <w:rFonts w:hint="eastAsia" w:ascii="宋体" w:hAnsi="宋体"/>
          <w:color w:val="auto"/>
          <w:sz w:val="24"/>
        </w:rPr>
        <w:t>根据财政部门文件要求进行年度预算编制。</w:t>
      </w:r>
    </w:p>
    <w:p w14:paraId="28B43787">
      <w:pPr>
        <w:snapToGrid w:val="0"/>
        <w:spacing w:line="500" w:lineRule="exact"/>
        <w:ind w:firstLine="480" w:firstLineChars="200"/>
        <w:rPr>
          <w:rFonts w:ascii="宋体" w:hAnsi="宋体"/>
          <w:color w:val="auto"/>
          <w:sz w:val="24"/>
        </w:rPr>
      </w:pPr>
      <w:r>
        <w:rPr>
          <w:rFonts w:hint="eastAsia" w:ascii="宋体" w:hAnsi="宋体"/>
          <w:color w:val="auto"/>
          <w:sz w:val="24"/>
        </w:rPr>
        <w:t>（七）其他财务相关工作。包含但不限于根据财政部门及上级教育部门下发文件要求或其他通知要求，开展的预算公开、决算公开、教育经费统计、绩效评价、财务数据统计、提取等相关财务工作。</w:t>
      </w:r>
    </w:p>
    <w:p w14:paraId="6CCF164D">
      <w:pPr>
        <w:spacing w:line="360" w:lineRule="auto"/>
        <w:rPr>
          <w:rFonts w:hint="eastAsia" w:ascii="宋体" w:hAnsi="宋体" w:eastAsia="宋体"/>
          <w:b/>
          <w:color w:val="auto"/>
          <w:sz w:val="24"/>
          <w:lang w:eastAsia="zh-CN"/>
        </w:rPr>
      </w:pPr>
      <w:r>
        <w:rPr>
          <w:rFonts w:hint="eastAsia" w:ascii="宋体" w:hAnsi="宋体"/>
          <w:b/>
          <w:color w:val="auto"/>
          <w:sz w:val="28"/>
          <w:szCs w:val="28"/>
        </w:rPr>
        <w:t>二、服务期限</w:t>
      </w:r>
      <w:r>
        <w:rPr>
          <w:rFonts w:hint="eastAsia" w:ascii="宋体" w:hAnsi="宋体"/>
          <w:b/>
          <w:color w:val="auto"/>
          <w:sz w:val="28"/>
          <w:szCs w:val="28"/>
          <w:lang w:eastAsia="zh-CN"/>
        </w:rPr>
        <w:t>及服务对象</w:t>
      </w:r>
    </w:p>
    <w:p w14:paraId="6FFB0C30">
      <w:pPr>
        <w:spacing w:line="360" w:lineRule="auto"/>
        <w:ind w:firstLine="480" w:firstLineChars="200"/>
        <w:rPr>
          <w:rFonts w:hint="eastAsia" w:ascii="宋体" w:hAnsi="宋体"/>
          <w:color w:val="auto"/>
          <w:sz w:val="24"/>
        </w:rPr>
      </w:pPr>
      <w:r>
        <w:rPr>
          <w:rFonts w:hint="eastAsia" w:ascii="宋体" w:hAnsi="宋体"/>
          <w:color w:val="auto"/>
          <w:sz w:val="24"/>
          <w:lang w:val="en-US" w:eastAsia="zh-CN"/>
        </w:rPr>
        <w:t>1.</w:t>
      </w:r>
      <w:r>
        <w:rPr>
          <w:rFonts w:hint="eastAsia" w:ascii="宋体" w:hAnsi="宋体"/>
          <w:color w:val="auto"/>
          <w:sz w:val="24"/>
        </w:rPr>
        <w:t>服务期限为：</w:t>
      </w:r>
      <w:r>
        <w:rPr>
          <w:rFonts w:hint="eastAsia" w:ascii="宋体" w:hAnsi="宋体"/>
          <w:color w:val="auto"/>
          <w:sz w:val="24"/>
          <w:u w:val="single"/>
        </w:rPr>
        <w:t xml:space="preserve">      </w:t>
      </w:r>
      <w:r>
        <w:rPr>
          <w:rFonts w:hint="eastAsia" w:ascii="宋体" w:hAnsi="宋体"/>
          <w:color w:val="auto"/>
          <w:sz w:val="24"/>
        </w:rPr>
        <w:t>年</w:t>
      </w:r>
      <w:r>
        <w:rPr>
          <w:rFonts w:hint="eastAsia" w:ascii="宋体" w:hAnsi="宋体"/>
          <w:color w:val="auto"/>
          <w:sz w:val="24"/>
          <w:u w:val="single"/>
        </w:rPr>
        <w:t xml:space="preserve">   </w:t>
      </w:r>
      <w:r>
        <w:rPr>
          <w:rFonts w:hint="eastAsia" w:ascii="宋体" w:hAnsi="宋体"/>
          <w:color w:val="auto"/>
          <w:sz w:val="24"/>
        </w:rPr>
        <w:t>月</w:t>
      </w:r>
      <w:r>
        <w:rPr>
          <w:rFonts w:hint="eastAsia" w:ascii="宋体" w:hAnsi="宋体"/>
          <w:color w:val="auto"/>
          <w:sz w:val="24"/>
          <w:u w:val="single"/>
        </w:rPr>
        <w:t xml:space="preserve">   </w:t>
      </w:r>
      <w:r>
        <w:rPr>
          <w:rFonts w:hint="eastAsia" w:ascii="宋体" w:hAnsi="宋体"/>
          <w:color w:val="auto"/>
          <w:sz w:val="24"/>
          <w:lang w:val="en-US" w:eastAsia="zh-CN"/>
        </w:rPr>
        <w:t>日</w:t>
      </w:r>
      <w:r>
        <w:rPr>
          <w:rFonts w:hint="eastAsia" w:ascii="宋体" w:hAnsi="宋体"/>
          <w:color w:val="auto"/>
          <w:sz w:val="24"/>
        </w:rPr>
        <w:t>至</w:t>
      </w:r>
      <w:r>
        <w:rPr>
          <w:rFonts w:hint="eastAsia" w:ascii="宋体" w:hAnsi="宋体"/>
          <w:color w:val="auto"/>
          <w:sz w:val="24"/>
          <w:u w:val="single"/>
        </w:rPr>
        <w:t xml:space="preserve">     </w:t>
      </w:r>
      <w:r>
        <w:rPr>
          <w:rFonts w:hint="eastAsia" w:ascii="宋体" w:hAnsi="宋体"/>
          <w:color w:val="auto"/>
          <w:sz w:val="24"/>
        </w:rPr>
        <w:t>年</w:t>
      </w:r>
      <w:r>
        <w:rPr>
          <w:rFonts w:hint="eastAsia" w:ascii="宋体" w:hAnsi="宋体"/>
          <w:color w:val="auto"/>
          <w:sz w:val="24"/>
          <w:u w:val="single"/>
        </w:rPr>
        <w:t xml:space="preserve">   </w:t>
      </w:r>
      <w:r>
        <w:rPr>
          <w:rFonts w:hint="eastAsia" w:ascii="宋体" w:hAnsi="宋体"/>
          <w:color w:val="auto"/>
          <w:sz w:val="24"/>
        </w:rPr>
        <w:t>月</w:t>
      </w:r>
      <w:r>
        <w:rPr>
          <w:rFonts w:hint="eastAsia" w:ascii="宋体" w:hAnsi="宋体"/>
          <w:color w:val="auto"/>
          <w:sz w:val="24"/>
          <w:u w:val="single"/>
        </w:rPr>
        <w:t xml:space="preserve">   </w:t>
      </w:r>
      <w:r>
        <w:rPr>
          <w:rFonts w:hint="eastAsia" w:ascii="宋体" w:hAnsi="宋体"/>
          <w:color w:val="auto"/>
          <w:sz w:val="24"/>
          <w:lang w:val="en-US" w:eastAsia="zh-CN"/>
        </w:rPr>
        <w:t>日</w:t>
      </w:r>
      <w:r>
        <w:rPr>
          <w:rFonts w:hint="eastAsia" w:ascii="宋体" w:hAnsi="宋体"/>
          <w:color w:val="auto"/>
          <w:sz w:val="24"/>
        </w:rPr>
        <w:t>，具体以甲方实际工作安排为准。</w:t>
      </w:r>
    </w:p>
    <w:p w14:paraId="3DECD280">
      <w:pPr>
        <w:pStyle w:val="2"/>
        <w:rPr>
          <w:rFonts w:hint="default" w:eastAsia="宋体"/>
          <w:lang w:val="en-US" w:eastAsia="zh-CN"/>
        </w:rPr>
      </w:pPr>
      <w:r>
        <w:rPr>
          <w:rFonts w:hint="eastAsia" w:ascii="宋体" w:hAnsi="宋体"/>
          <w:color w:val="auto"/>
          <w:sz w:val="24"/>
          <w:lang w:val="en-US" w:eastAsia="zh-CN"/>
        </w:rPr>
        <w:t>2.</w:t>
      </w:r>
      <w:r>
        <w:rPr>
          <w:rFonts w:hint="eastAsia" w:ascii="Segoe UI" w:hAnsi="Segoe UI" w:eastAsia="宋体" w:cs="Segoe UI"/>
          <w:i w:val="0"/>
          <w:iCs w:val="0"/>
          <w:caps w:val="0"/>
          <w:color w:val="1F2329"/>
          <w:spacing w:val="0"/>
          <w:sz w:val="28"/>
          <w:szCs w:val="28"/>
          <w:shd w:val="clear" w:color="auto" w:fill="FFFFFF"/>
          <w:lang w:eastAsia="zh-CN"/>
        </w:rPr>
        <w:t>教育系统（含教育局、研训中心及</w:t>
      </w:r>
      <w:r>
        <w:rPr>
          <w:rFonts w:hint="eastAsia" w:ascii="Segoe UI" w:hAnsi="Segoe UI" w:eastAsia="宋体" w:cs="Segoe UI"/>
          <w:i w:val="0"/>
          <w:iCs w:val="0"/>
          <w:caps w:val="0"/>
          <w:color w:val="1F2329"/>
          <w:spacing w:val="0"/>
          <w:sz w:val="28"/>
          <w:szCs w:val="28"/>
          <w:shd w:val="clear" w:color="auto" w:fill="FFFFFF"/>
          <w:lang w:val="en-US" w:eastAsia="zh-CN"/>
        </w:rPr>
        <w:t>28所中小学幼儿园、</w:t>
      </w:r>
      <w:r>
        <w:rPr>
          <w:rFonts w:hint="eastAsia" w:ascii="Segoe UI" w:hAnsi="Segoe UI" w:eastAsia="宋体" w:cs="Segoe UI"/>
          <w:i w:val="0"/>
          <w:iCs w:val="0"/>
          <w:caps w:val="0"/>
          <w:color w:val="1F2329"/>
          <w:spacing w:val="0"/>
          <w:sz w:val="28"/>
          <w:szCs w:val="28"/>
          <w:shd w:val="clear" w:color="auto" w:fill="FFFFFF"/>
          <w:lang w:eastAsia="zh-CN"/>
        </w:rPr>
        <w:t>新增学校）。</w:t>
      </w:r>
    </w:p>
    <w:p w14:paraId="77C93CBF">
      <w:pPr>
        <w:spacing w:line="360" w:lineRule="auto"/>
        <w:rPr>
          <w:rFonts w:ascii="宋体" w:hAnsi="宋体"/>
          <w:b/>
          <w:color w:val="auto"/>
          <w:sz w:val="24"/>
        </w:rPr>
      </w:pPr>
      <w:r>
        <w:rPr>
          <w:rFonts w:hint="eastAsia" w:ascii="宋体" w:hAnsi="宋体"/>
          <w:b/>
          <w:color w:val="auto"/>
          <w:sz w:val="28"/>
          <w:szCs w:val="28"/>
          <w:lang w:val="en-US" w:eastAsia="zh-CN"/>
        </w:rPr>
        <w:t>三</w:t>
      </w:r>
      <w:r>
        <w:rPr>
          <w:rFonts w:hint="eastAsia" w:ascii="宋体" w:hAnsi="宋体"/>
          <w:b/>
          <w:color w:val="auto"/>
          <w:sz w:val="28"/>
          <w:szCs w:val="28"/>
        </w:rPr>
        <w:t>、服务费及支付方式</w:t>
      </w:r>
    </w:p>
    <w:p w14:paraId="7D34C20D">
      <w:pPr>
        <w:snapToGrid w:val="0"/>
        <w:spacing w:line="500" w:lineRule="exact"/>
        <w:ind w:firstLine="480" w:firstLineChars="200"/>
        <w:rPr>
          <w:rFonts w:hint="eastAsia" w:ascii="宋体" w:hAnsi="宋体"/>
          <w:color w:val="auto"/>
          <w:sz w:val="24"/>
        </w:rPr>
      </w:pPr>
      <w:r>
        <w:rPr>
          <w:rFonts w:hint="eastAsia" w:ascii="宋体" w:hAnsi="宋体"/>
          <w:color w:val="auto"/>
          <w:sz w:val="24"/>
        </w:rPr>
        <w:t>1、合同含税金额为：人民币（大写）</w:t>
      </w:r>
      <w:r>
        <w:rPr>
          <w:rFonts w:hint="eastAsia" w:ascii="宋体" w:hAnsi="宋体"/>
          <w:color w:val="auto"/>
          <w:sz w:val="24"/>
          <w:u w:val="single"/>
        </w:rPr>
        <w:t xml:space="preserve">     </w:t>
      </w:r>
      <w:r>
        <w:rPr>
          <w:rFonts w:hint="eastAsia" w:ascii="宋体" w:hAnsi="宋体"/>
          <w:color w:val="auto"/>
          <w:sz w:val="24"/>
        </w:rPr>
        <w:t>（¥</w:t>
      </w:r>
      <w:r>
        <w:rPr>
          <w:rFonts w:hint="eastAsia" w:ascii="宋体" w:hAnsi="宋体"/>
          <w:color w:val="auto"/>
          <w:sz w:val="24"/>
          <w:u w:val="single"/>
        </w:rPr>
        <w:t xml:space="preserve">     </w:t>
      </w:r>
      <w:r>
        <w:rPr>
          <w:rFonts w:hint="eastAsia" w:ascii="宋体" w:hAnsi="宋体"/>
          <w:color w:val="auto"/>
          <w:sz w:val="24"/>
        </w:rPr>
        <w:t>元）。合同金额包含但不限于完成本项目的所有人工费、保险费、管理费、税金</w:t>
      </w:r>
      <w:r>
        <w:rPr>
          <w:rFonts w:hint="eastAsia" w:ascii="宋体" w:hAnsi="宋体"/>
          <w:color w:val="auto"/>
          <w:sz w:val="24"/>
          <w:lang w:eastAsia="zh-CN"/>
        </w:rPr>
        <w:t>及企业利润</w:t>
      </w:r>
      <w:r>
        <w:rPr>
          <w:rFonts w:hint="eastAsia" w:ascii="宋体" w:hAnsi="宋体"/>
          <w:color w:val="auto"/>
          <w:sz w:val="24"/>
        </w:rPr>
        <w:t>等各种费用及政策性文件规定、执行过程中所有风险、责任产生的各项费用。甲方支付合同总金额后，无须再向乙方或任何第三</w:t>
      </w:r>
      <w:r>
        <w:rPr>
          <w:rFonts w:hint="eastAsia" w:ascii="宋体" w:hAnsi="宋体"/>
          <w:color w:val="auto"/>
          <w:sz w:val="24"/>
          <w:lang w:eastAsia="zh-CN"/>
        </w:rPr>
        <w:t>方</w:t>
      </w:r>
      <w:r>
        <w:rPr>
          <w:rFonts w:hint="eastAsia" w:ascii="宋体" w:hAnsi="宋体"/>
          <w:color w:val="auto"/>
          <w:sz w:val="24"/>
        </w:rPr>
        <w:t>担负任何形式的义务，乙方也不得以任何理由要求甲方承担任何义务。</w:t>
      </w:r>
    </w:p>
    <w:p w14:paraId="3BB4EFA1">
      <w:pPr>
        <w:snapToGrid w:val="0"/>
        <w:spacing w:line="500" w:lineRule="exact"/>
        <w:ind w:firstLine="480" w:firstLineChars="200"/>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2、预付款：合同签订之日起十个工作日内，乙方向甲方提供合同总价款的30%的正规发票，在收到乙方发票后的30日内，甲方向乙方支付合同总金额的30%作为预付款，以便乙方进行服务团队组建等前期准备工作。</w:t>
      </w:r>
    </w:p>
    <w:p w14:paraId="615970FE">
      <w:pPr>
        <w:snapToGrid w:val="0"/>
        <w:spacing w:line="500" w:lineRule="exact"/>
        <w:ind w:firstLine="480" w:firstLineChars="200"/>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3、阶段性付款：甲方委托服务学校每月月初对乙方上月的服务质量进行考核评估（考核评估内容由甲乙双方根据服务内容协商制定），考核合格后支付相应阶段的服务费用（需先扣30%预付款）。确保供应商全面履行合同义务，保障服务质量。在付款前，乙方向甲方提供相应合同价款的正规发票及考勤表，在收到乙方发票后的30日内，甲方向乙方付款，如因不可抗力因素或财政部门工作安排造成延迟付款不视为违约。</w:t>
      </w:r>
    </w:p>
    <w:p w14:paraId="16AD93F4">
      <w:pPr>
        <w:spacing w:line="500" w:lineRule="exact"/>
        <w:ind w:firstLine="480" w:firstLineChars="200"/>
        <w:rPr>
          <w:rFonts w:ascii="宋体" w:hAnsi="宋体"/>
          <w:color w:val="auto"/>
          <w:sz w:val="24"/>
        </w:rPr>
      </w:pPr>
      <w:r>
        <w:rPr>
          <w:rFonts w:hint="eastAsia" w:ascii="宋体" w:hAnsi="宋体"/>
          <w:color w:val="auto"/>
          <w:sz w:val="24"/>
        </w:rPr>
        <w:t>4、支付方式：甲方根据乙方提供的有效发票，通过转账方式结算上月</w:t>
      </w:r>
      <w:r>
        <w:rPr>
          <w:rFonts w:hint="eastAsia" w:ascii="宋体" w:hAnsi="宋体"/>
          <w:color w:val="auto"/>
          <w:sz w:val="24"/>
          <w:lang w:val="en-US" w:eastAsia="zh-CN"/>
        </w:rPr>
        <w:t>服务费</w:t>
      </w:r>
      <w:r>
        <w:rPr>
          <w:rFonts w:hint="eastAsia" w:ascii="宋体" w:hAnsi="宋体"/>
          <w:color w:val="auto"/>
          <w:sz w:val="24"/>
        </w:rPr>
        <w:t>。</w:t>
      </w:r>
    </w:p>
    <w:p w14:paraId="770C888A">
      <w:pPr>
        <w:snapToGrid w:val="0"/>
        <w:spacing w:line="500" w:lineRule="exact"/>
        <w:ind w:firstLine="480" w:firstLineChars="200"/>
        <w:rPr>
          <w:rFonts w:ascii="宋体" w:hAnsi="宋体"/>
          <w:color w:val="auto"/>
          <w:sz w:val="24"/>
        </w:rPr>
      </w:pPr>
      <w:r>
        <w:rPr>
          <w:rFonts w:hint="eastAsia" w:ascii="宋体" w:hAnsi="宋体"/>
          <w:color w:val="auto"/>
          <w:sz w:val="24"/>
        </w:rPr>
        <w:t>5、乙方账户信息</w:t>
      </w:r>
    </w:p>
    <w:p w14:paraId="3A162958">
      <w:pPr>
        <w:snapToGrid w:val="0"/>
        <w:spacing w:line="500" w:lineRule="exact"/>
        <w:ind w:firstLine="465"/>
        <w:rPr>
          <w:rFonts w:ascii="宋体" w:hAnsi="宋体"/>
          <w:bCs/>
          <w:color w:val="auto"/>
          <w:sz w:val="24"/>
        </w:rPr>
      </w:pPr>
      <w:r>
        <w:rPr>
          <w:rFonts w:hint="eastAsia" w:ascii="宋体" w:hAnsi="宋体"/>
          <w:color w:val="auto"/>
          <w:sz w:val="24"/>
        </w:rPr>
        <w:t>开户银行：</w:t>
      </w:r>
    </w:p>
    <w:p w14:paraId="3B66CAE7">
      <w:pPr>
        <w:snapToGrid w:val="0"/>
        <w:spacing w:line="500" w:lineRule="exact"/>
        <w:ind w:firstLine="465"/>
        <w:rPr>
          <w:rFonts w:ascii="宋体" w:hAnsi="宋体"/>
          <w:bCs/>
          <w:color w:val="auto"/>
          <w:sz w:val="24"/>
        </w:rPr>
      </w:pPr>
      <w:r>
        <w:rPr>
          <w:rFonts w:hint="eastAsia" w:ascii="宋体" w:hAnsi="宋体"/>
          <w:bCs/>
          <w:color w:val="auto"/>
          <w:sz w:val="24"/>
        </w:rPr>
        <w:t>银行账户：</w:t>
      </w:r>
    </w:p>
    <w:p w14:paraId="175B7747">
      <w:pPr>
        <w:widowControl/>
        <w:snapToGrid w:val="0"/>
        <w:spacing w:line="500" w:lineRule="exact"/>
        <w:ind w:firstLine="465"/>
        <w:rPr>
          <w:rFonts w:ascii="宋体" w:hAnsi="宋体"/>
          <w:bCs/>
          <w:color w:val="auto"/>
          <w:sz w:val="24"/>
        </w:rPr>
      </w:pPr>
      <w:r>
        <w:rPr>
          <w:rFonts w:hint="eastAsia" w:ascii="宋体" w:hAnsi="宋体"/>
          <w:color w:val="auto"/>
          <w:sz w:val="24"/>
        </w:rPr>
        <w:t>账户名称：</w:t>
      </w:r>
    </w:p>
    <w:p w14:paraId="02E0F494">
      <w:pPr>
        <w:widowControl/>
        <w:snapToGrid w:val="0"/>
        <w:spacing w:line="500" w:lineRule="exact"/>
        <w:ind w:firstLine="465"/>
        <w:rPr>
          <w:rFonts w:ascii="宋体" w:hAnsi="宋体"/>
          <w:bCs/>
          <w:color w:val="auto"/>
          <w:sz w:val="24"/>
        </w:rPr>
      </w:pPr>
      <w:r>
        <w:rPr>
          <w:rFonts w:hint="eastAsia" w:ascii="宋体" w:hAnsi="宋体"/>
          <w:bCs/>
          <w:color w:val="auto"/>
          <w:sz w:val="24"/>
        </w:rPr>
        <w:t>统一社会信用代码：</w:t>
      </w:r>
    </w:p>
    <w:p w14:paraId="32BCCF37">
      <w:pPr>
        <w:snapToGrid w:val="0"/>
        <w:spacing w:before="156" w:beforeLines="50" w:line="360" w:lineRule="auto"/>
        <w:rPr>
          <w:rFonts w:ascii="宋体" w:hAnsi="宋体"/>
          <w:b/>
          <w:color w:val="auto"/>
          <w:sz w:val="28"/>
          <w:szCs w:val="28"/>
        </w:rPr>
      </w:pPr>
      <w:r>
        <w:rPr>
          <w:rFonts w:hint="eastAsia" w:ascii="宋体" w:hAnsi="宋体"/>
          <w:b/>
          <w:color w:val="auto"/>
          <w:sz w:val="28"/>
          <w:szCs w:val="28"/>
          <w:lang w:val="en-US" w:eastAsia="zh-CN"/>
        </w:rPr>
        <w:t>四</w:t>
      </w:r>
      <w:r>
        <w:rPr>
          <w:rFonts w:hint="eastAsia" w:ascii="宋体" w:hAnsi="宋体"/>
          <w:b/>
          <w:color w:val="auto"/>
          <w:sz w:val="28"/>
          <w:szCs w:val="28"/>
        </w:rPr>
        <w:t>、服务人员要求及管理</w:t>
      </w:r>
    </w:p>
    <w:p w14:paraId="26CBF25E">
      <w:pPr>
        <w:snapToGrid w:val="0"/>
        <w:spacing w:line="500" w:lineRule="exact"/>
        <w:ind w:firstLine="465"/>
        <w:rPr>
          <w:rFonts w:ascii="宋体" w:hAnsi="宋体" w:cs="Arial"/>
          <w:color w:val="auto"/>
          <w:sz w:val="24"/>
          <w:szCs w:val="21"/>
        </w:rPr>
      </w:pPr>
      <w:r>
        <w:rPr>
          <w:rFonts w:hint="eastAsia" w:ascii="宋体" w:hAnsi="宋体"/>
          <w:color w:val="auto"/>
          <w:sz w:val="24"/>
        </w:rPr>
        <w:t>1、</w:t>
      </w:r>
      <w:r>
        <w:rPr>
          <w:rFonts w:hint="eastAsia" w:ascii="宋体" w:hAnsi="宋体"/>
          <w:color w:val="auto"/>
          <w:sz w:val="24"/>
          <w:lang w:val="en-US" w:eastAsia="zh-CN"/>
        </w:rPr>
        <w:t>服务团队</w:t>
      </w:r>
      <w:r>
        <w:rPr>
          <w:rFonts w:hint="eastAsia" w:ascii="宋体" w:hAnsi="宋体"/>
          <w:color w:val="auto"/>
          <w:sz w:val="24"/>
        </w:rPr>
        <w:t>人员要求：</w:t>
      </w:r>
      <w:r>
        <w:rPr>
          <w:rFonts w:hint="eastAsia" w:ascii="宋体" w:hAnsi="宋体"/>
          <w:color w:val="auto"/>
          <w:sz w:val="24"/>
          <w:lang w:val="en-US" w:eastAsia="zh-CN"/>
        </w:rPr>
        <w:t>乙方须</w:t>
      </w:r>
      <w:r>
        <w:rPr>
          <w:rFonts w:hint="eastAsia" w:ascii="宋体" w:hAnsi="宋体"/>
          <w:color w:val="auto"/>
          <w:sz w:val="24"/>
        </w:rPr>
        <w:t>拥有一支专业的财务服务团队，其中至少有</w:t>
      </w:r>
      <w:r>
        <w:rPr>
          <w:rFonts w:hint="eastAsia" w:ascii="宋体" w:hAnsi="宋体"/>
          <w:color w:val="auto"/>
          <w:sz w:val="24"/>
          <w:lang w:val="en-US" w:eastAsia="zh-CN"/>
        </w:rPr>
        <w:t>1</w:t>
      </w:r>
      <w:r>
        <w:rPr>
          <w:rFonts w:hint="eastAsia" w:ascii="宋体" w:hAnsi="宋体"/>
          <w:color w:val="auto"/>
          <w:sz w:val="24"/>
        </w:rPr>
        <w:t>名具有中级及以上会计职称的人员，确保服务团队具备足够的专业能力来承担财务工作任务。能够有效应对本项目中的各类情况</w:t>
      </w:r>
      <w:r>
        <w:rPr>
          <w:rFonts w:hint="eastAsia"/>
          <w:color w:val="auto"/>
          <w:sz w:val="24"/>
          <w:szCs w:val="24"/>
          <w:highlight w:val="none"/>
          <w:lang w:val="en-US" w:eastAsia="zh-CN"/>
        </w:rPr>
        <w:t>。</w:t>
      </w:r>
    </w:p>
    <w:p w14:paraId="5F08FDF7">
      <w:pPr>
        <w:snapToGrid w:val="0"/>
        <w:spacing w:line="500" w:lineRule="exact"/>
        <w:ind w:firstLine="465"/>
        <w:rPr>
          <w:rFonts w:ascii="宋体" w:hAnsi="宋体"/>
          <w:color w:val="auto"/>
          <w:sz w:val="24"/>
        </w:rPr>
      </w:pPr>
      <w:r>
        <w:rPr>
          <w:rFonts w:hint="eastAsia" w:ascii="宋体" w:hAnsi="宋体"/>
          <w:color w:val="auto"/>
          <w:sz w:val="24"/>
          <w:lang w:val="en-US" w:eastAsia="zh-CN"/>
        </w:rPr>
        <w:t>2</w:t>
      </w:r>
      <w:r>
        <w:rPr>
          <w:rFonts w:hint="eastAsia" w:ascii="宋体" w:hAnsi="宋体"/>
          <w:color w:val="auto"/>
          <w:sz w:val="24"/>
        </w:rPr>
        <w:t>、服务人员在服务期间的工资、社保、保险等各项福利均由乙方承担。</w:t>
      </w:r>
    </w:p>
    <w:p w14:paraId="75AD2BF4">
      <w:pPr>
        <w:snapToGrid w:val="0"/>
        <w:spacing w:line="500" w:lineRule="exact"/>
        <w:ind w:firstLine="465"/>
        <w:rPr>
          <w:rFonts w:hint="eastAsia" w:ascii="宋体" w:hAnsi="宋体"/>
          <w:color w:val="auto"/>
          <w:sz w:val="24"/>
        </w:rPr>
      </w:pPr>
      <w:r>
        <w:rPr>
          <w:rFonts w:hint="eastAsia" w:ascii="宋体" w:hAnsi="宋体"/>
          <w:color w:val="auto"/>
          <w:sz w:val="24"/>
          <w:lang w:val="en-US" w:eastAsia="zh-CN"/>
        </w:rPr>
        <w:t>3</w:t>
      </w:r>
      <w:r>
        <w:rPr>
          <w:rFonts w:hint="eastAsia" w:ascii="宋体" w:hAnsi="宋体"/>
          <w:color w:val="auto"/>
          <w:sz w:val="24"/>
        </w:rPr>
        <w:t>、服务人员在服务期间发生任何经济纠纷、劳动纠纷、法律纠纷、安全事故、意外伤害、工伤、疾病等问题均由乙方负责处理和承担责任。</w:t>
      </w:r>
    </w:p>
    <w:p w14:paraId="4A668F3C">
      <w:pPr>
        <w:snapToGrid w:val="0"/>
        <w:spacing w:line="500" w:lineRule="exact"/>
        <w:ind w:firstLine="465"/>
        <w:rPr>
          <w:rFonts w:hint="eastAsia" w:ascii="宋体" w:hAnsi="宋体"/>
          <w:color w:val="auto"/>
          <w:sz w:val="24"/>
        </w:rPr>
      </w:pPr>
      <w:r>
        <w:rPr>
          <w:rFonts w:hint="eastAsia" w:ascii="宋体" w:hAnsi="宋体"/>
          <w:color w:val="auto"/>
          <w:sz w:val="24"/>
          <w:lang w:val="en-US" w:eastAsia="zh-CN"/>
        </w:rPr>
        <w:t>4</w:t>
      </w:r>
      <w:r>
        <w:rPr>
          <w:rFonts w:hint="eastAsia" w:ascii="宋体" w:hAnsi="宋体"/>
          <w:color w:val="auto"/>
          <w:sz w:val="24"/>
        </w:rPr>
        <w:t>、乙方应在工作正式开展前向甲方提供符合甲方要求的</w:t>
      </w:r>
      <w:r>
        <w:rPr>
          <w:rFonts w:hint="eastAsia" w:ascii="宋体" w:hAnsi="宋体"/>
          <w:color w:val="auto"/>
          <w:sz w:val="24"/>
          <w:lang w:val="en-US" w:eastAsia="zh-CN"/>
        </w:rPr>
        <w:t>服务</w:t>
      </w:r>
      <w:r>
        <w:rPr>
          <w:rFonts w:hint="eastAsia" w:ascii="宋体" w:hAnsi="宋体"/>
          <w:color w:val="auto"/>
          <w:sz w:val="24"/>
        </w:rPr>
        <w:t>工作人员名单，以及从业资格证书等内容的相关资料，并保持人员稳定及充足。</w:t>
      </w:r>
    </w:p>
    <w:p w14:paraId="599EE0A4">
      <w:pPr>
        <w:spacing w:line="440" w:lineRule="exact"/>
        <w:rPr>
          <w:rFonts w:ascii="仿宋" w:hAnsi="仿宋" w:eastAsia="仿宋" w:cs="仿宋"/>
          <w:b/>
          <w:bCs/>
          <w:color w:val="auto"/>
          <w:kern w:val="2"/>
          <w:sz w:val="28"/>
          <w:szCs w:val="28"/>
        </w:rPr>
      </w:pPr>
      <w:r>
        <w:rPr>
          <w:rFonts w:hint="eastAsia" w:ascii="仿宋" w:hAnsi="仿宋" w:eastAsia="仿宋" w:cs="仿宋"/>
          <w:b/>
          <w:bCs/>
          <w:color w:val="auto"/>
          <w:kern w:val="2"/>
          <w:sz w:val="28"/>
          <w:szCs w:val="28"/>
          <w:lang w:val="en-US" w:eastAsia="zh-CN"/>
        </w:rPr>
        <w:t>五</w:t>
      </w:r>
      <w:r>
        <w:rPr>
          <w:rFonts w:hint="eastAsia" w:ascii="仿宋" w:hAnsi="仿宋" w:eastAsia="仿宋" w:cs="仿宋"/>
          <w:b/>
          <w:bCs/>
          <w:color w:val="auto"/>
          <w:kern w:val="2"/>
          <w:sz w:val="28"/>
          <w:szCs w:val="28"/>
        </w:rPr>
        <w:t>、服务人员的管理</w:t>
      </w:r>
    </w:p>
    <w:p w14:paraId="0A579479">
      <w:pPr>
        <w:snapToGrid w:val="0"/>
        <w:spacing w:line="500" w:lineRule="exact"/>
        <w:ind w:firstLine="465"/>
        <w:rPr>
          <w:rFonts w:hint="eastAsia" w:ascii="宋体" w:hAnsi="宋体"/>
          <w:color w:val="auto"/>
          <w:sz w:val="24"/>
        </w:rPr>
      </w:pPr>
      <w:r>
        <w:rPr>
          <w:rFonts w:hint="eastAsia" w:ascii="仿宋" w:hAnsi="仿宋" w:eastAsia="仿宋" w:cs="仿宋"/>
          <w:color w:val="auto"/>
          <w:sz w:val="24"/>
          <w:szCs w:val="24"/>
        </w:rPr>
        <w:t>1、</w:t>
      </w:r>
      <w:r>
        <w:rPr>
          <w:rFonts w:hint="eastAsia" w:ascii="宋体" w:hAnsi="宋体"/>
          <w:color w:val="auto"/>
          <w:sz w:val="24"/>
        </w:rPr>
        <w:t>乙方需指定</w:t>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w:t>
      </w:r>
      <w:r>
        <w:rPr>
          <w:rFonts w:hint="eastAsia" w:ascii="宋体" w:hAnsi="宋体"/>
          <w:color w:val="auto"/>
          <w:sz w:val="24"/>
        </w:rPr>
        <w:t>为负责人，协助甲方做好服务人员管理和日常沟通协调等工作。服务人员因工作变动需要调整的，负责人应第一时间向甲方部门负责人报备，征得甲方负责人同意。</w:t>
      </w:r>
    </w:p>
    <w:p w14:paraId="5A989A87">
      <w:pPr>
        <w:snapToGrid w:val="0"/>
        <w:spacing w:line="500" w:lineRule="exact"/>
        <w:ind w:firstLine="465"/>
        <w:rPr>
          <w:rFonts w:hint="eastAsia" w:ascii="宋体" w:hAnsi="宋体"/>
          <w:color w:val="auto"/>
          <w:sz w:val="24"/>
        </w:rPr>
      </w:pPr>
      <w:r>
        <w:rPr>
          <w:rFonts w:hint="eastAsia" w:ascii="宋体" w:hAnsi="宋体"/>
          <w:color w:val="auto"/>
          <w:sz w:val="24"/>
        </w:rPr>
        <w:t>2、乙方服务人员严格遵守甲方的管理制度，在甲方指定的工作区域办公，未经允许严禁随意出入其他工作区域。</w:t>
      </w:r>
    </w:p>
    <w:p w14:paraId="0E292A2F">
      <w:pPr>
        <w:snapToGrid w:val="0"/>
        <w:spacing w:line="500" w:lineRule="exact"/>
        <w:ind w:firstLine="465"/>
        <w:rPr>
          <w:rFonts w:hint="eastAsia" w:ascii="宋体" w:hAnsi="宋体"/>
          <w:color w:val="auto"/>
          <w:sz w:val="24"/>
        </w:rPr>
      </w:pPr>
      <w:r>
        <w:rPr>
          <w:rFonts w:hint="eastAsia" w:ascii="宋体" w:hAnsi="宋体"/>
          <w:color w:val="auto"/>
          <w:sz w:val="24"/>
        </w:rPr>
        <w:t>3、乙方服务人员需提供无犯罪证明、项目安全保密承诺书。严禁服务人员在工作期间从事与任务无关的工作，严禁利用甲方的网络和设备从事与服务无关的工作。</w:t>
      </w:r>
    </w:p>
    <w:p w14:paraId="3ED26355">
      <w:pPr>
        <w:snapToGrid w:val="0"/>
        <w:spacing w:line="500" w:lineRule="exact"/>
        <w:ind w:firstLine="465"/>
        <w:rPr>
          <w:rFonts w:hint="eastAsia" w:ascii="宋体" w:hAnsi="宋体"/>
          <w:color w:val="auto"/>
          <w:sz w:val="24"/>
        </w:rPr>
      </w:pPr>
      <w:r>
        <w:rPr>
          <w:rFonts w:hint="eastAsia" w:ascii="宋体" w:hAnsi="宋体"/>
          <w:color w:val="auto"/>
          <w:sz w:val="24"/>
        </w:rPr>
        <w:t>4、乙方确因工作需要进入甲方涉密办公区域的，</w:t>
      </w:r>
      <w:r>
        <w:rPr>
          <w:rFonts w:hint="eastAsia" w:ascii="宋体" w:hAnsi="宋体"/>
          <w:color w:val="auto"/>
          <w:sz w:val="24"/>
          <w:lang w:eastAsia="zh-CN"/>
        </w:rPr>
        <w:t>应按照国家保密机关相关规定及法规执行，</w:t>
      </w:r>
      <w:r>
        <w:rPr>
          <w:rFonts w:hint="eastAsia" w:ascii="宋体" w:hAnsi="宋体"/>
          <w:color w:val="auto"/>
          <w:sz w:val="24"/>
        </w:rPr>
        <w:t>严禁携带手机、笔记本电脑、平板电脑、移动硬盘、U盘等具有通讯、拍照或存储功能的设备，以及具有蓝牙功能的穿戴设备。服务人员不得查阅涉密文件;应在甲方现场监督下使用涉密设备。</w:t>
      </w:r>
    </w:p>
    <w:p w14:paraId="7DC93A66">
      <w:pPr>
        <w:snapToGrid w:val="0"/>
        <w:spacing w:line="500" w:lineRule="exact"/>
        <w:ind w:firstLine="465"/>
        <w:rPr>
          <w:rFonts w:hint="eastAsia" w:ascii="宋体" w:hAnsi="宋体"/>
          <w:color w:val="auto"/>
          <w:sz w:val="24"/>
        </w:rPr>
      </w:pPr>
      <w:r>
        <w:rPr>
          <w:rFonts w:hint="eastAsia" w:ascii="宋体" w:hAnsi="宋体"/>
          <w:color w:val="auto"/>
          <w:sz w:val="24"/>
        </w:rPr>
        <w:t>5、乙方服务人员应严格执行甲方的考勤、请销假和个人重要情况报告制度。</w:t>
      </w:r>
    </w:p>
    <w:p w14:paraId="4B996F17">
      <w:pP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lang w:val="en-US" w:eastAsia="zh-CN"/>
        </w:rPr>
        <w:t>六</w:t>
      </w:r>
      <w:r>
        <w:rPr>
          <w:rFonts w:hint="eastAsia" w:ascii="仿宋" w:hAnsi="仿宋" w:eastAsia="仿宋" w:cs="仿宋"/>
          <w:b/>
          <w:bCs/>
          <w:color w:val="auto"/>
          <w:sz w:val="28"/>
          <w:szCs w:val="28"/>
          <w:highlight w:val="none"/>
        </w:rPr>
        <w:t>、双方权责</w:t>
      </w:r>
    </w:p>
    <w:p w14:paraId="646F078E">
      <w:pPr>
        <w:snapToGrid w:val="0"/>
        <w:spacing w:line="500" w:lineRule="exact"/>
        <w:ind w:firstLine="465"/>
        <w:rPr>
          <w:rFonts w:hint="eastAsia" w:ascii="宋体" w:hAnsi="宋体"/>
          <w:color w:val="auto"/>
          <w:sz w:val="24"/>
        </w:rPr>
      </w:pPr>
      <w:r>
        <w:rPr>
          <w:rFonts w:hint="eastAsia" w:ascii="宋体" w:hAnsi="宋体"/>
          <w:color w:val="auto"/>
          <w:sz w:val="24"/>
        </w:rPr>
        <w:t>1、甲方应及时向乙方提供最新的有关开展工作时必要的资料</w:t>
      </w:r>
      <w:r>
        <w:rPr>
          <w:rFonts w:hint="eastAsia" w:ascii="宋体" w:hAnsi="宋体"/>
          <w:color w:val="auto"/>
          <w:sz w:val="24"/>
          <w:lang w:eastAsia="zh-CN"/>
        </w:rPr>
        <w:t>及必要的办公场所及设备和必要的工作支持，</w:t>
      </w:r>
      <w:r>
        <w:rPr>
          <w:rFonts w:hint="eastAsia" w:ascii="宋体" w:hAnsi="宋体"/>
          <w:color w:val="auto"/>
          <w:sz w:val="24"/>
        </w:rPr>
        <w:t>支撑乙方履行本合同提供服务。</w:t>
      </w:r>
    </w:p>
    <w:p w14:paraId="7B2DC1C7">
      <w:pPr>
        <w:snapToGrid w:val="0"/>
        <w:spacing w:line="500" w:lineRule="exact"/>
        <w:ind w:firstLine="465"/>
        <w:rPr>
          <w:rFonts w:hint="eastAsia" w:ascii="宋体" w:hAnsi="宋体"/>
          <w:color w:val="auto"/>
          <w:sz w:val="24"/>
        </w:rPr>
      </w:pPr>
      <w:r>
        <w:rPr>
          <w:rFonts w:hint="eastAsia" w:ascii="宋体" w:hAnsi="宋体"/>
          <w:color w:val="auto"/>
          <w:sz w:val="24"/>
          <w:lang w:eastAsia="zh-CN"/>
        </w:rPr>
        <w:t>2</w:t>
      </w:r>
      <w:r>
        <w:rPr>
          <w:rFonts w:hint="eastAsia" w:ascii="宋体" w:hAnsi="宋体"/>
          <w:color w:val="auto"/>
          <w:sz w:val="24"/>
        </w:rPr>
        <w:t>、甲方有权</w:t>
      </w:r>
      <w:r>
        <w:rPr>
          <w:rFonts w:hint="eastAsia" w:ascii="宋体" w:hAnsi="宋体"/>
          <w:color w:val="auto"/>
          <w:sz w:val="24"/>
          <w:lang w:eastAsia="zh-CN"/>
        </w:rPr>
        <w:t>根据需求</w:t>
      </w:r>
      <w:r>
        <w:rPr>
          <w:rFonts w:hint="eastAsia" w:ascii="宋体" w:hAnsi="宋体"/>
          <w:color w:val="auto"/>
          <w:sz w:val="24"/>
        </w:rPr>
        <w:t>对乙方单月投入服务人员的数量进行调整</w:t>
      </w:r>
      <w:r>
        <w:rPr>
          <w:rFonts w:hint="eastAsia" w:ascii="宋体" w:hAnsi="宋体"/>
          <w:color w:val="auto"/>
          <w:sz w:val="24"/>
          <w:lang w:eastAsia="zh-CN"/>
        </w:rPr>
        <w:t>，调整应提前与乙方协商后进行</w:t>
      </w:r>
      <w:r>
        <w:rPr>
          <w:rFonts w:hint="eastAsia" w:ascii="宋体" w:hAnsi="宋体"/>
          <w:color w:val="auto"/>
          <w:sz w:val="24"/>
        </w:rPr>
        <w:t>。</w:t>
      </w:r>
    </w:p>
    <w:p w14:paraId="7B31868F">
      <w:pPr>
        <w:pStyle w:val="2"/>
        <w:rPr>
          <w:rFonts w:hint="eastAsia" w:ascii="宋体" w:hAnsi="宋体"/>
          <w:color w:val="auto"/>
          <w:sz w:val="24"/>
          <w:lang w:eastAsia="zh-CN"/>
        </w:rPr>
      </w:pPr>
      <w:r>
        <w:rPr>
          <w:rFonts w:hint="eastAsia" w:ascii="宋体" w:hAnsi="宋体"/>
          <w:color w:val="auto"/>
          <w:sz w:val="24"/>
          <w:lang w:val="en-US" w:eastAsia="zh-CN"/>
        </w:rPr>
        <w:t>3、</w:t>
      </w:r>
      <w:r>
        <w:rPr>
          <w:rFonts w:hint="eastAsia" w:ascii="宋体" w:hAnsi="宋体"/>
          <w:color w:val="auto"/>
          <w:sz w:val="24"/>
          <w:lang w:eastAsia="zh-CN"/>
        </w:rPr>
        <w:t>甲方应积极配合乙方协调解决在工作中遇到的困难和问题。</w:t>
      </w:r>
    </w:p>
    <w:p w14:paraId="22A12C47">
      <w:pPr>
        <w:pStyle w:val="2"/>
        <w:rPr>
          <w:rFonts w:hint="default" w:ascii="宋体" w:hAnsi="宋体"/>
          <w:color w:val="auto"/>
          <w:sz w:val="24"/>
          <w:lang w:val="en-US" w:eastAsia="zh-CN"/>
        </w:rPr>
      </w:pPr>
      <w:r>
        <w:rPr>
          <w:rFonts w:hint="eastAsia" w:ascii="宋体" w:hAnsi="宋体"/>
          <w:color w:val="auto"/>
          <w:sz w:val="24"/>
          <w:lang w:val="en-US" w:eastAsia="zh-CN"/>
        </w:rPr>
        <w:t>4、甲方及服务学校不得无故将合同约定外的工作安排给乙方，确因工作需要需额外增加工作内容的，需甲乙双方协商同意</w:t>
      </w:r>
    </w:p>
    <w:p w14:paraId="6D755F71">
      <w:pPr>
        <w:pStyle w:val="2"/>
        <w:rPr>
          <w:rFonts w:hint="eastAsia" w:ascii="宋体" w:hAnsi="宋体"/>
          <w:color w:val="auto"/>
          <w:sz w:val="24"/>
        </w:rPr>
      </w:pPr>
      <w:r>
        <w:rPr>
          <w:rFonts w:hint="eastAsia" w:ascii="宋体" w:hAnsi="宋体"/>
          <w:color w:val="auto"/>
          <w:sz w:val="24"/>
          <w:lang w:val="en-US" w:eastAsia="zh-CN"/>
        </w:rPr>
        <w:t>5</w:t>
      </w:r>
      <w:r>
        <w:rPr>
          <w:rFonts w:hint="eastAsia" w:ascii="宋体" w:hAnsi="宋体"/>
          <w:color w:val="auto"/>
          <w:sz w:val="24"/>
        </w:rPr>
        <w:t>、对于乙方</w:t>
      </w:r>
      <w:r>
        <w:rPr>
          <w:rFonts w:hint="eastAsia" w:ascii="宋体" w:hAnsi="宋体"/>
          <w:color w:val="auto"/>
          <w:sz w:val="24"/>
          <w:lang w:eastAsia="zh-CN"/>
        </w:rPr>
        <w:t>服务人员</w:t>
      </w:r>
      <w:r>
        <w:rPr>
          <w:rFonts w:hint="eastAsia" w:ascii="宋体" w:hAnsi="宋体"/>
          <w:color w:val="auto"/>
          <w:sz w:val="24"/>
        </w:rPr>
        <w:t>不能胜任工作、不服从甲方工作安排</w:t>
      </w:r>
      <w:r>
        <w:rPr>
          <w:rFonts w:hint="eastAsia" w:ascii="宋体" w:hAnsi="宋体"/>
          <w:color w:val="auto"/>
          <w:sz w:val="24"/>
          <w:lang w:eastAsia="zh-CN"/>
        </w:rPr>
        <w:t>或违规违纪行为</w:t>
      </w:r>
      <w:r>
        <w:rPr>
          <w:rFonts w:hint="eastAsia" w:ascii="宋体" w:hAnsi="宋体"/>
          <w:color w:val="auto"/>
          <w:sz w:val="24"/>
        </w:rPr>
        <w:t>，乙方应当按甲方要求更换适合的服务人员，造成重大损失的，乙方应采取补救措施</w:t>
      </w:r>
      <w:r>
        <w:rPr>
          <w:rFonts w:hint="eastAsia" w:ascii="宋体" w:hAnsi="宋体"/>
          <w:color w:val="auto"/>
          <w:sz w:val="24"/>
          <w:lang w:eastAsia="zh-CN"/>
        </w:rPr>
        <w:t>及</w:t>
      </w:r>
      <w:r>
        <w:rPr>
          <w:rFonts w:hint="eastAsia" w:ascii="宋体" w:hAnsi="宋体"/>
          <w:color w:val="auto"/>
          <w:sz w:val="24"/>
        </w:rPr>
        <w:t>赔偿损失。</w:t>
      </w:r>
    </w:p>
    <w:p w14:paraId="7E2A5E77">
      <w:pPr>
        <w:pStyle w:val="5"/>
        <w:ind w:firstLine="480" w:firstLineChars="200"/>
        <w:rPr>
          <w:rFonts w:hint="default" w:ascii="宋体" w:hAnsi="宋体" w:eastAsia="宋体" w:cs="Times New Roman"/>
          <w:color w:val="auto"/>
          <w:kern w:val="2"/>
          <w:sz w:val="24"/>
          <w:szCs w:val="24"/>
          <w:highlight w:val="magenta"/>
          <w:lang w:val="en-US" w:eastAsia="zh-CN" w:bidi="ar-SA"/>
        </w:rPr>
      </w:pPr>
      <w:r>
        <w:rPr>
          <w:rFonts w:hint="eastAsia" w:ascii="宋体" w:hAnsi="宋体" w:eastAsia="宋体" w:cs="Times New Roman"/>
          <w:color w:val="auto"/>
          <w:kern w:val="2"/>
          <w:sz w:val="24"/>
          <w:szCs w:val="24"/>
          <w:lang w:val="en-US" w:eastAsia="zh-CN" w:bidi="ar-SA"/>
        </w:rPr>
        <w:t>6、乙方服务人员应服从相关服务单位的要求</w:t>
      </w:r>
      <w:r>
        <w:rPr>
          <w:rFonts w:hint="eastAsia" w:ascii="宋体" w:hAnsi="宋体" w:eastAsia="宋体" w:cs="Times New Roman"/>
          <w:color w:val="auto"/>
          <w:kern w:val="2"/>
          <w:sz w:val="24"/>
          <w:szCs w:val="24"/>
          <w:highlight w:val="magenta"/>
          <w:lang w:val="en-US" w:eastAsia="zh-CN" w:bidi="ar-SA"/>
        </w:rPr>
        <w:t>及时确定服务工作要求及内容。</w:t>
      </w:r>
    </w:p>
    <w:p w14:paraId="71C027B3">
      <w:pPr>
        <w:snapToGrid w:val="0"/>
        <w:spacing w:line="500" w:lineRule="exact"/>
        <w:ind w:firstLine="465"/>
        <w:rPr>
          <w:rFonts w:hint="eastAsia" w:ascii="宋体" w:hAnsi="宋体" w:eastAsia="宋体"/>
          <w:color w:val="auto"/>
          <w:sz w:val="24"/>
          <w:lang w:eastAsia="zh-CN"/>
        </w:rPr>
      </w:pPr>
      <w:r>
        <w:rPr>
          <w:rFonts w:hint="eastAsia" w:ascii="宋体" w:hAnsi="宋体"/>
          <w:color w:val="auto"/>
          <w:sz w:val="24"/>
          <w:lang w:val="en-US" w:eastAsia="zh-CN"/>
        </w:rPr>
        <w:t>7</w:t>
      </w:r>
      <w:r>
        <w:rPr>
          <w:rFonts w:hint="eastAsia" w:ascii="宋体" w:hAnsi="宋体"/>
          <w:color w:val="auto"/>
          <w:sz w:val="24"/>
        </w:rPr>
        <w:t>、在执行过程中，如需更换</w:t>
      </w:r>
      <w:r>
        <w:rPr>
          <w:rFonts w:hint="eastAsia" w:ascii="宋体" w:hAnsi="宋体"/>
          <w:color w:val="auto"/>
          <w:sz w:val="24"/>
          <w:lang w:eastAsia="zh-CN"/>
        </w:rPr>
        <w:t>服务人员</w:t>
      </w:r>
      <w:r>
        <w:rPr>
          <w:rFonts w:hint="eastAsia" w:ascii="宋体" w:hAnsi="宋体"/>
          <w:color w:val="auto"/>
          <w:sz w:val="24"/>
        </w:rPr>
        <w:t>，乙方须提前10个工作日以书面通知甲方并征得甲方同意方可更换</w:t>
      </w:r>
      <w:r>
        <w:rPr>
          <w:rFonts w:hint="eastAsia" w:ascii="宋体" w:hAnsi="宋体"/>
          <w:color w:val="auto"/>
          <w:sz w:val="24"/>
          <w:lang w:eastAsia="zh-CN"/>
        </w:rPr>
        <w:t>，原则上保持人员相对稳定，不得频繁更换人员。</w:t>
      </w:r>
    </w:p>
    <w:p w14:paraId="1B2CC303">
      <w:pPr>
        <w:snapToGrid w:val="0"/>
        <w:spacing w:line="500" w:lineRule="exact"/>
        <w:ind w:firstLine="465"/>
        <w:rPr>
          <w:rFonts w:hint="eastAsia" w:ascii="宋体" w:hAnsi="宋体"/>
          <w:color w:val="auto"/>
          <w:sz w:val="24"/>
        </w:rPr>
      </w:pPr>
      <w:r>
        <w:rPr>
          <w:rFonts w:hint="eastAsia" w:ascii="宋体" w:hAnsi="宋体"/>
          <w:color w:val="auto"/>
          <w:sz w:val="24"/>
          <w:lang w:val="en-US" w:eastAsia="zh-CN"/>
        </w:rPr>
        <w:t>8</w:t>
      </w:r>
      <w:r>
        <w:rPr>
          <w:rFonts w:hint="eastAsia" w:ascii="宋体" w:hAnsi="宋体"/>
          <w:color w:val="auto"/>
          <w:sz w:val="24"/>
        </w:rPr>
        <w:t>、乙方不得将本合同转包或分包，不得派遣与乙方没有劳动关系的服务人员，否则甲方有权解除合同</w:t>
      </w:r>
      <w:r>
        <w:rPr>
          <w:rFonts w:hint="eastAsia" w:ascii="宋体" w:hAnsi="宋体"/>
          <w:color w:val="auto"/>
          <w:sz w:val="24"/>
          <w:lang w:eastAsia="zh-CN"/>
        </w:rPr>
        <w:t>，</w:t>
      </w:r>
      <w:r>
        <w:rPr>
          <w:rFonts w:hint="eastAsia" w:ascii="宋体" w:hAnsi="宋体"/>
          <w:color w:val="auto"/>
          <w:sz w:val="24"/>
          <w:lang w:val="en-US" w:eastAsia="zh-CN"/>
        </w:rPr>
        <w:t>并向乙方主张实际损失</w:t>
      </w:r>
      <w:r>
        <w:rPr>
          <w:rFonts w:hint="eastAsia" w:ascii="宋体" w:hAnsi="宋体"/>
          <w:color w:val="auto"/>
          <w:sz w:val="24"/>
          <w:lang w:eastAsia="zh-CN"/>
        </w:rPr>
        <w:t>和违约责任</w:t>
      </w:r>
      <w:r>
        <w:rPr>
          <w:rFonts w:hint="eastAsia" w:ascii="宋体" w:hAnsi="宋体"/>
          <w:color w:val="auto"/>
          <w:sz w:val="24"/>
        </w:rPr>
        <w:t>。</w:t>
      </w:r>
    </w:p>
    <w:p w14:paraId="577E0260">
      <w:pPr>
        <w:snapToGrid w:val="0"/>
        <w:spacing w:line="500" w:lineRule="exact"/>
        <w:ind w:firstLine="465"/>
        <w:rPr>
          <w:rFonts w:hint="eastAsia" w:ascii="宋体" w:hAnsi="宋体"/>
          <w:color w:val="auto"/>
          <w:sz w:val="24"/>
        </w:rPr>
      </w:pPr>
      <w:r>
        <w:rPr>
          <w:rFonts w:hint="eastAsia" w:ascii="宋体" w:hAnsi="宋体"/>
          <w:color w:val="auto"/>
          <w:sz w:val="24"/>
          <w:lang w:val="en-US" w:eastAsia="zh-CN"/>
        </w:rPr>
        <w:t>9</w:t>
      </w:r>
      <w:r>
        <w:rPr>
          <w:rFonts w:hint="eastAsia" w:ascii="宋体" w:hAnsi="宋体"/>
          <w:color w:val="auto"/>
          <w:sz w:val="24"/>
        </w:rPr>
        <w:t>、乙方应遵守国家安全生产法律法规，釆取必要措施保障安全作业，乙方应对</w:t>
      </w:r>
      <w:r>
        <w:rPr>
          <w:rFonts w:hint="eastAsia" w:ascii="宋体" w:hAnsi="宋体"/>
          <w:color w:val="auto"/>
          <w:sz w:val="24"/>
          <w:lang w:eastAsia="zh-CN"/>
        </w:rPr>
        <w:t>服务人员</w:t>
      </w:r>
      <w:r>
        <w:rPr>
          <w:rFonts w:hint="eastAsia" w:ascii="宋体" w:hAnsi="宋体"/>
          <w:color w:val="auto"/>
          <w:sz w:val="24"/>
        </w:rPr>
        <w:t>进行安全生产教育，并制定相应的安全生产及人员管理制度，乙方负责</w:t>
      </w:r>
      <w:r>
        <w:rPr>
          <w:rFonts w:hint="eastAsia" w:ascii="宋体" w:hAnsi="宋体"/>
          <w:color w:val="auto"/>
          <w:sz w:val="24"/>
          <w:lang w:eastAsia="zh-CN"/>
        </w:rPr>
        <w:t>服务人员</w:t>
      </w:r>
      <w:r>
        <w:rPr>
          <w:rFonts w:hint="eastAsia" w:ascii="宋体" w:hAnsi="宋体"/>
          <w:color w:val="auto"/>
          <w:sz w:val="24"/>
        </w:rPr>
        <w:t>的作业安全，在合同履行过程中发生的任何安全事故均由乙方承担赔偿责任。</w:t>
      </w:r>
    </w:p>
    <w:p w14:paraId="0AA48ED7">
      <w:pPr>
        <w:snapToGrid w:val="0"/>
        <w:spacing w:line="500" w:lineRule="exact"/>
        <w:ind w:firstLine="465"/>
        <w:rPr>
          <w:rFonts w:hint="eastAsia" w:ascii="宋体" w:hAnsi="宋体"/>
          <w:color w:val="auto"/>
          <w:sz w:val="24"/>
          <w:lang w:val="en-US" w:eastAsia="zh-CN"/>
        </w:rPr>
      </w:pPr>
      <w:r>
        <w:rPr>
          <w:rFonts w:hint="eastAsia" w:ascii="宋体" w:hAnsi="宋体"/>
          <w:color w:val="auto"/>
          <w:sz w:val="24"/>
          <w:lang w:val="en-US" w:eastAsia="zh-CN"/>
        </w:rPr>
        <w:t>10、乙方应遵守国家及有关安全保密法律法规，并签订</w:t>
      </w:r>
      <w:r>
        <w:rPr>
          <w:rFonts w:hint="eastAsia" w:ascii="宋体" w:hAnsi="宋体"/>
          <w:color w:val="auto"/>
          <w:sz w:val="24"/>
        </w:rPr>
        <w:t>项目安全保密协议书</w:t>
      </w:r>
      <w:r>
        <w:rPr>
          <w:rFonts w:hint="eastAsia" w:ascii="宋体" w:hAnsi="宋体"/>
          <w:color w:val="auto"/>
          <w:sz w:val="24"/>
          <w:lang w:eastAsia="zh-CN"/>
        </w:rPr>
        <w:t>。</w:t>
      </w:r>
    </w:p>
    <w:p w14:paraId="1601F35D">
      <w:pPr>
        <w:snapToGrid w:val="0"/>
        <w:spacing w:line="500" w:lineRule="exact"/>
        <w:ind w:firstLine="465"/>
        <w:rPr>
          <w:rFonts w:hint="eastAsia" w:ascii="宋体" w:hAnsi="宋体"/>
          <w:color w:val="auto"/>
          <w:sz w:val="24"/>
        </w:rPr>
      </w:pPr>
      <w:r>
        <w:rPr>
          <w:rFonts w:hint="eastAsia" w:ascii="宋体" w:hAnsi="宋体"/>
          <w:color w:val="auto"/>
          <w:sz w:val="24"/>
          <w:lang w:val="en-US" w:eastAsia="zh-CN"/>
        </w:rPr>
        <w:t>11、</w:t>
      </w:r>
      <w:r>
        <w:rPr>
          <w:rFonts w:hint="eastAsia" w:ascii="宋体" w:hAnsi="宋体"/>
          <w:color w:val="auto"/>
          <w:sz w:val="24"/>
        </w:rPr>
        <w:t>乙方应对本协议所涉及的信息</w:t>
      </w:r>
      <w:r>
        <w:rPr>
          <w:rFonts w:hint="eastAsia" w:ascii="宋体" w:hAnsi="宋体"/>
          <w:color w:val="auto"/>
          <w:sz w:val="24"/>
          <w:lang w:eastAsia="zh-CN"/>
        </w:rPr>
        <w:t>采取</w:t>
      </w:r>
      <w:r>
        <w:rPr>
          <w:rFonts w:hint="eastAsia" w:ascii="宋体" w:hAnsi="宋体"/>
          <w:color w:val="auto"/>
          <w:sz w:val="24"/>
        </w:rPr>
        <w:t>必要的保密措施，严禁向任意第三方扩散和泄露，对于乙方工作人员发生泄密问题或者存在泄密隐患的，乙方应第一时间采取必要措施防止保密信息扩散，同时向甲方报告，并尽最大可能消除影响。对于造成资料或成果泄密的乙方人员，甲方将追究其民事赔偿责任，情节严重构成犯罪的将移送有关部门依法追究刑事责任；同时一并追究乙方的民事赔偿责任和法律责任。</w:t>
      </w:r>
    </w:p>
    <w:p w14:paraId="1D6D557F">
      <w:pPr>
        <w:snapToGrid w:val="0"/>
        <w:spacing w:line="500" w:lineRule="exact"/>
        <w:ind w:firstLine="465"/>
        <w:rPr>
          <w:rFonts w:hint="eastAsia" w:ascii="宋体" w:hAnsi="宋体"/>
          <w:color w:val="auto"/>
          <w:sz w:val="24"/>
          <w:lang w:val="en-US" w:eastAsia="zh-CN"/>
        </w:rPr>
      </w:pPr>
      <w:r>
        <w:rPr>
          <w:rFonts w:hint="eastAsia" w:ascii="宋体" w:hAnsi="宋体"/>
          <w:color w:val="auto"/>
          <w:sz w:val="24"/>
          <w:lang w:val="en-US" w:eastAsia="zh-CN"/>
        </w:rPr>
        <w:t>12、乙方应自觉遵守</w:t>
      </w:r>
      <w:r>
        <w:rPr>
          <w:rFonts w:hint="eastAsia" w:ascii="宋体" w:hAnsi="宋体"/>
          <w:color w:val="auto"/>
          <w:sz w:val="24"/>
        </w:rPr>
        <w:t>国家有关法律法规和廉政</w:t>
      </w:r>
      <w:r>
        <w:rPr>
          <w:rFonts w:hint="eastAsia" w:ascii="宋体" w:hAnsi="宋体"/>
          <w:color w:val="auto"/>
          <w:sz w:val="24"/>
          <w:lang w:val="en-US" w:eastAsia="zh-CN"/>
        </w:rPr>
        <w:t>纪律，并签订廉政建设责任书。</w:t>
      </w:r>
    </w:p>
    <w:p w14:paraId="7AD7738D">
      <w:pP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lang w:val="en-US" w:eastAsia="zh-CN"/>
        </w:rPr>
        <w:t>七</w:t>
      </w:r>
      <w:r>
        <w:rPr>
          <w:rFonts w:hint="eastAsia" w:ascii="仿宋" w:hAnsi="仿宋" w:eastAsia="仿宋" w:cs="仿宋"/>
          <w:b/>
          <w:bCs/>
          <w:color w:val="auto"/>
          <w:sz w:val="28"/>
          <w:szCs w:val="28"/>
          <w:highlight w:val="none"/>
        </w:rPr>
        <w:t>、违约赔偿</w:t>
      </w:r>
    </w:p>
    <w:p w14:paraId="324F51D0">
      <w:pPr>
        <w:snapToGrid w:val="0"/>
        <w:spacing w:line="500" w:lineRule="exact"/>
        <w:ind w:firstLine="465"/>
        <w:rPr>
          <w:rFonts w:hint="eastAsia" w:ascii="宋体" w:hAnsi="宋体" w:eastAsia="宋体"/>
          <w:color w:val="auto"/>
          <w:sz w:val="24"/>
          <w:lang w:eastAsia="zh-CN"/>
        </w:rPr>
      </w:pPr>
      <w:r>
        <w:rPr>
          <w:rFonts w:hint="eastAsia" w:ascii="宋体" w:hAnsi="宋体"/>
          <w:color w:val="auto"/>
          <w:sz w:val="24"/>
        </w:rPr>
        <w:t>1、如果乙方不能按本合同约定提供服务，视为乙方违约，乙方须向甲方支付违约金。</w:t>
      </w:r>
      <w:r>
        <w:rPr>
          <w:rFonts w:hint="eastAsia" w:ascii="宋体" w:hAnsi="宋体"/>
          <w:color w:val="auto"/>
          <w:sz w:val="24"/>
          <w:lang w:eastAsia="zh-CN"/>
        </w:rPr>
        <w:t>违约一次</w:t>
      </w:r>
      <w:r>
        <w:rPr>
          <w:rFonts w:hint="eastAsia" w:ascii="宋体" w:hAnsi="宋体"/>
          <w:color w:val="auto"/>
          <w:sz w:val="24"/>
        </w:rPr>
        <w:t>按上一个月服务费用的3‰收取。</w:t>
      </w:r>
      <w:r>
        <w:rPr>
          <w:rFonts w:hint="eastAsia" w:ascii="宋体" w:hAnsi="宋体"/>
          <w:color w:val="auto"/>
          <w:sz w:val="24"/>
          <w:lang w:eastAsia="zh-CN"/>
        </w:rPr>
        <w:t>违约次数超过</w:t>
      </w:r>
      <w:r>
        <w:rPr>
          <w:rFonts w:hint="eastAsia" w:ascii="宋体" w:hAnsi="宋体"/>
          <w:color w:val="auto"/>
          <w:sz w:val="24"/>
          <w:lang w:val="en-US" w:eastAsia="zh-CN"/>
        </w:rPr>
        <w:t>3次，</w:t>
      </w:r>
      <w:r>
        <w:rPr>
          <w:rFonts w:hint="eastAsia" w:ascii="宋体" w:hAnsi="宋体"/>
          <w:color w:val="auto"/>
          <w:sz w:val="24"/>
        </w:rPr>
        <w:t>甲方有权解除本合同</w:t>
      </w:r>
      <w:r>
        <w:rPr>
          <w:rFonts w:hint="eastAsia" w:ascii="宋体" w:hAnsi="宋体"/>
          <w:color w:val="auto"/>
          <w:sz w:val="24"/>
          <w:lang w:eastAsia="zh-CN"/>
        </w:rPr>
        <w:t>，造成损失的需赔偿甲方的损失。</w:t>
      </w:r>
    </w:p>
    <w:p w14:paraId="3E928C99">
      <w:pPr>
        <w:snapToGrid w:val="0"/>
        <w:spacing w:line="500" w:lineRule="exact"/>
        <w:ind w:firstLine="465"/>
        <w:rPr>
          <w:rFonts w:hint="eastAsia" w:ascii="宋体" w:hAnsi="宋体"/>
          <w:color w:val="auto"/>
          <w:sz w:val="24"/>
        </w:rPr>
      </w:pPr>
      <w:r>
        <w:rPr>
          <w:rFonts w:hint="eastAsia" w:ascii="宋体" w:hAnsi="宋体"/>
          <w:color w:val="auto"/>
          <w:sz w:val="24"/>
        </w:rPr>
        <w:t>2、甲方根据本合同约定提出更换</w:t>
      </w:r>
      <w:r>
        <w:rPr>
          <w:rFonts w:hint="eastAsia" w:ascii="宋体" w:hAnsi="宋体"/>
          <w:color w:val="auto"/>
          <w:sz w:val="24"/>
          <w:lang w:val="en-US" w:eastAsia="zh-CN"/>
        </w:rPr>
        <w:t>服务</w:t>
      </w:r>
      <w:r>
        <w:rPr>
          <w:rFonts w:hint="eastAsia" w:ascii="宋体" w:hAnsi="宋体"/>
          <w:color w:val="auto"/>
          <w:sz w:val="24"/>
          <w:lang w:eastAsia="zh-CN"/>
        </w:rPr>
        <w:t>人员</w:t>
      </w:r>
      <w:r>
        <w:rPr>
          <w:rFonts w:hint="eastAsia" w:ascii="宋体" w:hAnsi="宋体"/>
          <w:color w:val="auto"/>
          <w:sz w:val="24"/>
        </w:rPr>
        <w:t>的，乙方超过</w:t>
      </w:r>
      <w:r>
        <w:rPr>
          <w:rFonts w:hint="eastAsia" w:ascii="宋体" w:hAnsi="宋体"/>
          <w:color w:val="auto"/>
          <w:sz w:val="24"/>
          <w:lang w:val="en-US" w:eastAsia="zh-CN"/>
        </w:rPr>
        <w:t>10</w:t>
      </w:r>
      <w:r>
        <w:rPr>
          <w:rFonts w:hint="eastAsia" w:ascii="宋体" w:hAnsi="宋体"/>
          <w:color w:val="auto"/>
          <w:sz w:val="24"/>
        </w:rPr>
        <w:t>个工作日未完成</w:t>
      </w:r>
      <w:r>
        <w:rPr>
          <w:rFonts w:hint="eastAsia" w:ascii="宋体" w:hAnsi="宋体"/>
          <w:color w:val="auto"/>
          <w:sz w:val="24"/>
          <w:lang w:val="en-US" w:eastAsia="zh-CN"/>
        </w:rPr>
        <w:t>服务</w:t>
      </w:r>
      <w:r>
        <w:rPr>
          <w:rFonts w:hint="eastAsia" w:ascii="宋体" w:hAnsi="宋体"/>
          <w:color w:val="auto"/>
          <w:sz w:val="24"/>
          <w:lang w:eastAsia="zh-CN"/>
        </w:rPr>
        <w:t>人员</w:t>
      </w:r>
      <w:r>
        <w:rPr>
          <w:rFonts w:hint="eastAsia" w:ascii="宋体" w:hAnsi="宋体"/>
          <w:color w:val="auto"/>
          <w:sz w:val="24"/>
        </w:rPr>
        <w:t>更换，甲方有权单方解除合同，造成甲方经济损失的需承担全部赔偿责任，同时承担合同金额3％的违约责任。</w:t>
      </w:r>
    </w:p>
    <w:p w14:paraId="3E2E6322">
      <w:pPr>
        <w:pStyle w:val="2"/>
        <w:rPr>
          <w:rFonts w:hint="eastAsia" w:eastAsia="宋体"/>
          <w:color w:val="auto"/>
          <w:lang w:val="en-US" w:eastAsia="zh-CN"/>
        </w:rPr>
      </w:pPr>
      <w:r>
        <w:rPr>
          <w:rFonts w:hint="eastAsia" w:ascii="宋体" w:hAnsi="宋体"/>
          <w:color w:val="auto"/>
          <w:sz w:val="24"/>
          <w:lang w:val="en-US" w:eastAsia="zh-CN"/>
        </w:rPr>
        <w:t>3、乙方在履约期间，因不规范经营或违法经营被有关部门调查或处罚，甲方有权解除合同。</w:t>
      </w:r>
    </w:p>
    <w:p w14:paraId="15EFEF45">
      <w:pPr>
        <w:snapToGrid w:val="0"/>
        <w:spacing w:line="500" w:lineRule="exact"/>
        <w:ind w:firstLine="465"/>
        <w:rPr>
          <w:rFonts w:hint="eastAsia" w:ascii="宋体" w:hAnsi="宋体"/>
          <w:color w:val="auto"/>
          <w:sz w:val="24"/>
        </w:rPr>
      </w:pPr>
      <w:r>
        <w:rPr>
          <w:rFonts w:hint="eastAsia" w:ascii="宋体" w:hAnsi="宋体"/>
          <w:color w:val="auto"/>
          <w:sz w:val="24"/>
          <w:lang w:val="en-US" w:eastAsia="zh-CN"/>
        </w:rPr>
        <w:t>4</w:t>
      </w:r>
      <w:r>
        <w:rPr>
          <w:rFonts w:hint="eastAsia" w:ascii="宋体" w:hAnsi="宋体"/>
          <w:color w:val="auto"/>
          <w:sz w:val="24"/>
        </w:rPr>
        <w:t>、乙方服务人员作业成果不符合甲方要求，甲方有权要求乙方进行整改，乙方未能按期按要求整改的，甲方有权按延误天数，</w:t>
      </w:r>
      <w:r>
        <w:rPr>
          <w:rFonts w:hint="eastAsia" w:ascii="宋体" w:hAnsi="宋体"/>
          <w:color w:val="auto"/>
          <w:sz w:val="24"/>
        </w:rPr>
        <w:t>每日</w:t>
      </w:r>
      <w:r>
        <w:rPr>
          <w:rFonts w:hint="eastAsia" w:ascii="宋体" w:hAnsi="宋体"/>
          <w:color w:val="auto"/>
          <w:sz w:val="24"/>
        </w:rPr>
        <w:t>以</w:t>
      </w:r>
      <w:r>
        <w:rPr>
          <w:rFonts w:hint="eastAsia" w:ascii="宋体" w:hAnsi="宋体"/>
          <w:color w:val="auto"/>
          <w:sz w:val="24"/>
          <w:lang w:eastAsia="zh-CN"/>
        </w:rPr>
        <w:t>已履行合同</w:t>
      </w:r>
      <w:r>
        <w:rPr>
          <w:rFonts w:hint="eastAsia" w:ascii="宋体" w:hAnsi="宋体"/>
          <w:color w:val="auto"/>
          <w:sz w:val="24"/>
        </w:rPr>
        <w:t>金额的3‰计算违约金，如超过限期十个工作日乙方仍未能完成整改的，甲方可另行安排人员进行整改，相应的整改费、损失费等由乙方承担，且甲方有权解除合同，并要求乙方按</w:t>
      </w:r>
      <w:r>
        <w:rPr>
          <w:rFonts w:hint="eastAsia" w:ascii="宋体" w:hAnsi="宋体"/>
          <w:color w:val="auto"/>
          <w:sz w:val="24"/>
          <w:lang w:eastAsia="zh-CN"/>
        </w:rPr>
        <w:t>已履行合同</w:t>
      </w:r>
      <w:r>
        <w:rPr>
          <w:rFonts w:hint="eastAsia" w:ascii="宋体" w:hAnsi="宋体"/>
          <w:color w:val="auto"/>
          <w:sz w:val="24"/>
        </w:rPr>
        <w:t>金额的30%支付违约金。</w:t>
      </w:r>
    </w:p>
    <w:p w14:paraId="5675578B">
      <w:pPr>
        <w:snapToGrid w:val="0"/>
        <w:spacing w:line="500" w:lineRule="exact"/>
        <w:ind w:firstLine="465"/>
        <w:rPr>
          <w:rFonts w:hint="eastAsia" w:ascii="宋体" w:hAnsi="宋体"/>
          <w:color w:val="auto"/>
          <w:sz w:val="24"/>
        </w:rPr>
      </w:pPr>
      <w:r>
        <w:rPr>
          <w:rFonts w:hint="eastAsia" w:ascii="宋体" w:hAnsi="宋体"/>
          <w:color w:val="auto"/>
          <w:sz w:val="24"/>
          <w:lang w:val="en-US" w:eastAsia="zh-CN"/>
        </w:rPr>
        <w:t>5</w:t>
      </w:r>
      <w:r>
        <w:rPr>
          <w:rFonts w:hint="eastAsia" w:ascii="宋体" w:hAnsi="宋体"/>
          <w:color w:val="auto"/>
          <w:sz w:val="24"/>
        </w:rPr>
        <w:t>、如乙方违反本合同中约定的保密责任、管理制度等上述全部条款，造成甲方经济损失的需承担赔偿责任，并按合同金额30％承担违约责任。</w:t>
      </w:r>
    </w:p>
    <w:p w14:paraId="037434A6">
      <w:pPr>
        <w:snapToGrid w:val="0"/>
        <w:spacing w:line="500" w:lineRule="exact"/>
        <w:ind w:firstLine="465"/>
        <w:rPr>
          <w:rFonts w:hint="eastAsia" w:ascii="宋体" w:hAnsi="宋体"/>
          <w:color w:val="auto"/>
          <w:sz w:val="24"/>
          <w:lang w:val="en-US" w:eastAsia="zh-CN"/>
        </w:rPr>
      </w:pPr>
      <w:r>
        <w:rPr>
          <w:rFonts w:hint="eastAsia" w:ascii="宋体" w:hAnsi="宋体"/>
          <w:color w:val="auto"/>
          <w:sz w:val="24"/>
          <w:lang w:val="en-US" w:eastAsia="zh-CN"/>
        </w:rPr>
        <w:t>6</w:t>
      </w:r>
      <w:r>
        <w:rPr>
          <w:rFonts w:hint="eastAsia" w:ascii="宋体" w:hAnsi="宋体"/>
          <w:color w:val="auto"/>
          <w:sz w:val="24"/>
        </w:rPr>
        <w:t>、如果双方中任何一方由于战争、严重火灾、水灾、台风和地震</w:t>
      </w:r>
      <w:r>
        <w:rPr>
          <w:rFonts w:hint="eastAsia" w:ascii="宋体" w:hAnsi="宋体"/>
          <w:color w:val="auto"/>
          <w:sz w:val="24"/>
          <w:lang w:eastAsia="zh-CN"/>
        </w:rPr>
        <w:t>以及其他</w:t>
      </w:r>
      <w:r>
        <w:rPr>
          <w:rFonts w:hint="eastAsia" w:ascii="宋体" w:hAnsi="宋体"/>
          <w:color w:val="auto"/>
          <w:sz w:val="24"/>
        </w:rPr>
        <w:t>经双方同意属于不可抗力的事故，致使合同履行受阻时，履行合同的期限应予以延长,延长的期限应相当于事故所影响的时间。</w:t>
      </w:r>
    </w:p>
    <w:p w14:paraId="26FE5119">
      <w:pP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lang w:val="en-US" w:eastAsia="zh-CN"/>
        </w:rPr>
        <w:t>八</w:t>
      </w:r>
      <w:r>
        <w:rPr>
          <w:rFonts w:hint="eastAsia" w:ascii="仿宋" w:hAnsi="仿宋" w:eastAsia="仿宋" w:cs="仿宋"/>
          <w:b/>
          <w:bCs/>
          <w:color w:val="auto"/>
          <w:sz w:val="28"/>
          <w:szCs w:val="28"/>
          <w:highlight w:val="none"/>
        </w:rPr>
        <w:t>、合同纠纷处理</w:t>
      </w:r>
    </w:p>
    <w:p w14:paraId="28EF8F78">
      <w:pPr>
        <w:adjustRightInd w:val="0"/>
        <w:snapToGrid w:val="0"/>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本合同履行过程中发生纠纷，应协商解决，协商不成，可向甲方所在地人民法院提起诉讼解决。</w:t>
      </w:r>
    </w:p>
    <w:p w14:paraId="7F21D2AE">
      <w:pP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lang w:val="en-US" w:eastAsia="zh-CN"/>
        </w:rPr>
        <w:t>九</w:t>
      </w:r>
      <w:r>
        <w:rPr>
          <w:rFonts w:hint="eastAsia" w:ascii="仿宋" w:hAnsi="仿宋" w:eastAsia="仿宋" w:cs="仿宋"/>
          <w:b/>
          <w:bCs/>
          <w:color w:val="auto"/>
          <w:sz w:val="28"/>
          <w:szCs w:val="28"/>
          <w:highlight w:val="none"/>
        </w:rPr>
        <w:t>、合同生效</w:t>
      </w:r>
    </w:p>
    <w:p w14:paraId="5136FD40">
      <w:pPr>
        <w:adjustRightInd w:val="0"/>
        <w:snapToGrid w:val="0"/>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本合同一式</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份，甲方执</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份、乙方执</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份，由甲乙双方签字盖章后生效。</w:t>
      </w:r>
    </w:p>
    <w:p w14:paraId="2F834857">
      <w:pPr>
        <w:rPr>
          <w:rFonts w:hint="eastAsia" w:ascii="仿宋" w:hAnsi="仿宋" w:eastAsia="仿宋" w:cs="仿宋"/>
          <w:color w:val="auto"/>
          <w:sz w:val="24"/>
          <w:szCs w:val="24"/>
          <w:highlight w:val="none"/>
        </w:rPr>
      </w:pPr>
      <w:r>
        <w:rPr>
          <w:rFonts w:hint="eastAsia" w:ascii="仿宋" w:hAnsi="仿宋" w:eastAsia="仿宋" w:cs="仿宋"/>
          <w:b/>
          <w:bCs/>
          <w:color w:val="auto"/>
          <w:sz w:val="28"/>
          <w:szCs w:val="28"/>
          <w:highlight w:val="none"/>
          <w:lang w:val="en-US" w:eastAsia="zh-CN"/>
        </w:rPr>
        <w:t>十</w:t>
      </w:r>
      <w:r>
        <w:rPr>
          <w:rFonts w:hint="eastAsia" w:ascii="仿宋" w:hAnsi="仿宋" w:eastAsia="仿宋" w:cs="仿宋"/>
          <w:b/>
          <w:bCs/>
          <w:color w:val="auto"/>
          <w:sz w:val="28"/>
          <w:szCs w:val="28"/>
          <w:highlight w:val="none"/>
        </w:rPr>
        <w:t>、其他</w:t>
      </w:r>
    </w:p>
    <w:p w14:paraId="1053DC8D">
      <w:pPr>
        <w:adjustRightInd w:val="0"/>
        <w:snapToGrid w:val="0"/>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1、服务人员在工作期间，所有关系到行政管理、技术管理、经济核算、保密制度、劳动纪律等一系列管理工作均由乙方负责。</w:t>
      </w:r>
    </w:p>
    <w:p w14:paraId="758A2476">
      <w:pPr>
        <w:adjustRightInd w:val="0"/>
        <w:snapToGrid w:val="0"/>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任何与本合同相关但未在本合同中明确规定的事项，将由双方另行友好协商解决。对本合同做出的任何修改和补充应为书面形式，由双方签字盖章后成为本合同不可分割的部分。本合同与其补充合同或补充协议冲突时，以补充合同或补充协议为准。</w:t>
      </w:r>
    </w:p>
    <w:p w14:paraId="2E41DC61">
      <w:pPr>
        <w:adjustRightInd w:val="0"/>
        <w:snapToGrid w:val="0"/>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3、本合同的任何内容不应被视为或解释为双方之间具有合资、合伙、代理关系。</w:t>
      </w:r>
    </w:p>
    <w:p w14:paraId="26717A56">
      <w:pPr>
        <w:adjustRightInd w:val="0"/>
        <w:snapToGrid w:val="0"/>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4、甲乙双方因履行本合同或与本合同有关的一切通知都必须按照本合同中的地址，以书面信函形式或双方确认的传真或类似的通讯方式进行。</w:t>
      </w:r>
    </w:p>
    <w:p w14:paraId="10E2ADF3">
      <w:pPr>
        <w:rPr>
          <w:rFonts w:hint="eastAsia" w:ascii="仿宋" w:hAnsi="仿宋" w:eastAsia="仿宋" w:cs="仿宋"/>
          <w:color w:val="auto"/>
          <w:sz w:val="24"/>
          <w:szCs w:val="24"/>
          <w:highlight w:val="none"/>
        </w:rPr>
      </w:pPr>
    </w:p>
    <w:p w14:paraId="6DD9E0DA">
      <w:pPr>
        <w:snapToGrid w:val="0"/>
        <w:spacing w:before="19" w:line="500" w:lineRule="exact"/>
        <w:ind w:firstLine="482" w:firstLineChars="200"/>
        <w:rPr>
          <w:rFonts w:ascii="宋体" w:hAnsi="宋体" w:cs="Arial"/>
          <w:b/>
          <w:bCs/>
          <w:color w:val="auto"/>
          <w:sz w:val="24"/>
          <w:szCs w:val="21"/>
        </w:rPr>
      </w:pPr>
    </w:p>
    <w:p w14:paraId="070551F1">
      <w:pPr>
        <w:spacing w:line="480" w:lineRule="auto"/>
        <w:ind w:left="7228" w:hanging="7228" w:hangingChars="3000"/>
        <w:jc w:val="left"/>
        <w:rPr>
          <w:rFonts w:ascii="宋体" w:hAnsi="宋体" w:cs="Arial"/>
          <w:b/>
          <w:bCs/>
          <w:color w:val="auto"/>
          <w:sz w:val="24"/>
          <w:szCs w:val="21"/>
        </w:rPr>
      </w:pPr>
      <w:r>
        <w:rPr>
          <w:rFonts w:hint="eastAsia" w:ascii="宋体" w:hAnsi="宋体" w:cs="Arial"/>
          <w:b/>
          <w:bCs/>
          <w:color w:val="auto"/>
          <w:sz w:val="24"/>
          <w:szCs w:val="21"/>
        </w:rPr>
        <w:t>甲方：</w:t>
      </w:r>
      <w:r>
        <w:rPr>
          <w:rFonts w:hint="eastAsia" w:ascii="宋体" w:hAnsi="宋体" w:cs="Arial"/>
          <w:b/>
          <w:bCs/>
          <w:color w:val="auto"/>
          <w:sz w:val="24"/>
          <w:szCs w:val="21"/>
          <w:lang w:eastAsia="zh-CN"/>
        </w:rPr>
        <w:t>保亭黎族苗族自治县教育局</w:t>
      </w:r>
      <w:r>
        <w:rPr>
          <w:rFonts w:hint="eastAsia" w:ascii="宋体" w:hAnsi="宋体" w:cs="Arial"/>
          <w:b/>
          <w:bCs/>
          <w:color w:val="auto"/>
          <w:sz w:val="24"/>
          <w:szCs w:val="21"/>
        </w:rPr>
        <w:t xml:space="preserve"> （盖章）  </w:t>
      </w:r>
    </w:p>
    <w:p w14:paraId="7016A320">
      <w:pPr>
        <w:snapToGrid w:val="0"/>
        <w:spacing w:before="19" w:line="480" w:lineRule="auto"/>
        <w:jc w:val="left"/>
        <w:rPr>
          <w:rFonts w:ascii="宋体" w:hAnsi="宋体"/>
          <w:b/>
          <w:bCs/>
          <w:color w:val="auto"/>
          <w:sz w:val="24"/>
          <w:u w:val="single"/>
        </w:rPr>
      </w:pPr>
      <w:r>
        <w:rPr>
          <w:rFonts w:hint="eastAsia" w:ascii="宋体" w:hAnsi="宋体"/>
          <w:b/>
          <w:bCs/>
          <w:color w:val="auto"/>
          <w:sz w:val="24"/>
        </w:rPr>
        <w:t>地址：</w:t>
      </w:r>
      <w:r>
        <w:rPr>
          <w:rFonts w:hint="eastAsia" w:ascii="宋体" w:hAnsi="宋体" w:cs="Arial"/>
          <w:b/>
          <w:bCs/>
          <w:color w:val="auto"/>
          <w:sz w:val="24"/>
          <w:szCs w:val="21"/>
          <w:lang w:val="en-US" w:eastAsia="zh-CN"/>
        </w:rPr>
        <w:t>海南省保亭县保城镇新兴东路</w:t>
      </w:r>
      <w:r>
        <w:rPr>
          <w:rFonts w:hint="eastAsia" w:ascii="宋体" w:hAnsi="宋体"/>
          <w:b/>
          <w:bCs/>
          <w:color w:val="auto"/>
          <w:sz w:val="24"/>
        </w:rPr>
        <w:t xml:space="preserve">  </w:t>
      </w:r>
    </w:p>
    <w:p w14:paraId="64E74990">
      <w:pPr>
        <w:snapToGrid w:val="0"/>
        <w:spacing w:before="19" w:line="480" w:lineRule="auto"/>
        <w:rPr>
          <w:rFonts w:ascii="宋体" w:hAnsi="宋体"/>
          <w:b/>
          <w:bCs/>
          <w:color w:val="auto"/>
          <w:sz w:val="24"/>
        </w:rPr>
      </w:pPr>
      <w:r>
        <w:rPr>
          <w:rFonts w:hint="eastAsia" w:ascii="宋体" w:hAnsi="宋体"/>
          <w:b/>
          <w:bCs/>
          <w:color w:val="auto"/>
          <w:sz w:val="24"/>
        </w:rPr>
        <w:t>法定（或授权）代表人：</w:t>
      </w:r>
    </w:p>
    <w:p w14:paraId="3FBCEB52">
      <w:pPr>
        <w:spacing w:line="480" w:lineRule="auto"/>
        <w:rPr>
          <w:rFonts w:ascii="宋体" w:hAnsi="宋体"/>
          <w:b/>
          <w:bCs/>
          <w:color w:val="auto"/>
          <w:sz w:val="24"/>
        </w:rPr>
      </w:pPr>
      <w:r>
        <w:rPr>
          <w:rFonts w:hint="eastAsia" w:ascii="宋体" w:hAnsi="宋体"/>
          <w:b/>
          <w:bCs/>
          <w:color w:val="auto"/>
          <w:sz w:val="24"/>
        </w:rPr>
        <w:t xml:space="preserve">        年   月    日</w:t>
      </w:r>
    </w:p>
    <w:p w14:paraId="379C2045">
      <w:pPr>
        <w:spacing w:line="480" w:lineRule="auto"/>
        <w:ind w:left="7200" w:hanging="7200" w:hangingChars="3000"/>
        <w:jc w:val="left"/>
        <w:rPr>
          <w:rFonts w:ascii="宋体" w:hAnsi="宋体" w:cs="Arial"/>
          <w:color w:val="auto"/>
          <w:sz w:val="24"/>
          <w:szCs w:val="21"/>
        </w:rPr>
      </w:pPr>
    </w:p>
    <w:p w14:paraId="688D9A95">
      <w:pPr>
        <w:spacing w:line="480" w:lineRule="auto"/>
        <w:ind w:left="7228" w:hanging="7228" w:hangingChars="3000"/>
        <w:jc w:val="left"/>
        <w:rPr>
          <w:rFonts w:ascii="宋体" w:hAnsi="宋体" w:cs="Arial"/>
          <w:b/>
          <w:bCs/>
          <w:color w:val="auto"/>
          <w:sz w:val="24"/>
          <w:szCs w:val="21"/>
        </w:rPr>
      </w:pPr>
    </w:p>
    <w:p w14:paraId="0A8F64F3">
      <w:pPr>
        <w:spacing w:line="480" w:lineRule="auto"/>
        <w:ind w:left="7228" w:hanging="7228" w:hangingChars="3000"/>
        <w:jc w:val="left"/>
        <w:rPr>
          <w:rFonts w:ascii="宋体" w:hAnsi="宋体" w:cs="Arial"/>
          <w:b/>
          <w:bCs/>
          <w:color w:val="auto"/>
          <w:sz w:val="24"/>
          <w:szCs w:val="21"/>
        </w:rPr>
      </w:pPr>
      <w:r>
        <w:rPr>
          <w:rFonts w:hint="eastAsia" w:ascii="宋体" w:hAnsi="宋体" w:cs="Arial"/>
          <w:b/>
          <w:bCs/>
          <w:color w:val="auto"/>
          <w:sz w:val="24"/>
          <w:szCs w:val="21"/>
        </w:rPr>
        <w:t>乙方：                             （盖章）</w:t>
      </w:r>
    </w:p>
    <w:p w14:paraId="6867F188">
      <w:pPr>
        <w:spacing w:line="480" w:lineRule="auto"/>
        <w:rPr>
          <w:rFonts w:ascii="宋体" w:hAnsi="宋体" w:cs="Arial"/>
          <w:b/>
          <w:bCs/>
          <w:color w:val="auto"/>
          <w:sz w:val="24"/>
          <w:szCs w:val="21"/>
        </w:rPr>
      </w:pPr>
      <w:r>
        <w:rPr>
          <w:rFonts w:hint="eastAsia" w:ascii="宋体" w:hAnsi="宋体"/>
          <w:b/>
          <w:bCs/>
          <w:color w:val="auto"/>
          <w:sz w:val="24"/>
        </w:rPr>
        <w:t>地址：</w:t>
      </w:r>
    </w:p>
    <w:p w14:paraId="0F67F05E">
      <w:pPr>
        <w:spacing w:line="480" w:lineRule="auto"/>
        <w:rPr>
          <w:rFonts w:ascii="宋体" w:hAnsi="宋体"/>
          <w:b/>
          <w:bCs/>
          <w:color w:val="auto"/>
          <w:sz w:val="24"/>
        </w:rPr>
      </w:pPr>
      <w:r>
        <w:rPr>
          <w:rFonts w:hint="eastAsia" w:ascii="宋体" w:hAnsi="宋体"/>
          <w:b/>
          <w:bCs/>
          <w:color w:val="auto"/>
          <w:sz w:val="24"/>
        </w:rPr>
        <w:t xml:space="preserve">法定（或授权）代表人：                   </w:t>
      </w:r>
    </w:p>
    <w:p w14:paraId="6560CBED">
      <w:pPr>
        <w:spacing w:line="480" w:lineRule="auto"/>
        <w:rPr>
          <w:rFonts w:ascii="宋体" w:hAnsi="宋体"/>
          <w:b/>
          <w:bCs/>
          <w:color w:val="auto"/>
          <w:sz w:val="24"/>
        </w:rPr>
      </w:pPr>
      <w:r>
        <w:rPr>
          <w:rFonts w:hint="eastAsia" w:ascii="宋体" w:hAnsi="宋体"/>
          <w:b/>
          <w:bCs/>
          <w:color w:val="auto"/>
          <w:sz w:val="24"/>
        </w:rPr>
        <w:t xml:space="preserve">        年   月    日</w:t>
      </w:r>
    </w:p>
    <w:p w14:paraId="0FE3670C"/>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Segoe UI">
    <w:panose1 w:val="020B0502040204020203"/>
    <w:charset w:val="00"/>
    <w:family w:val="auto"/>
    <w:pitch w:val="default"/>
    <w:sig w:usb0="E4002EFF" w:usb1="C000E47F"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footnotePr>
    <w:pos w:val="beneathText"/>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2F7965"/>
    <w:rsid w:val="0F672DA8"/>
    <w:rsid w:val="21A053DD"/>
    <w:rsid w:val="2EF45A2F"/>
    <w:rsid w:val="3BD66994"/>
    <w:rsid w:val="412E3161"/>
    <w:rsid w:val="47FB62AE"/>
    <w:rsid w:val="490E06CC"/>
    <w:rsid w:val="56A2165C"/>
    <w:rsid w:val="6F0D1806"/>
    <w:rsid w:val="73D1452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iPriority w:val="0"/>
  </w:style>
  <w:style w:type="table" w:default="1" w:styleId="7">
    <w:name w:val="Normal Table"/>
    <w:semiHidden/>
    <w:qFormat/>
    <w:uiPriority w:val="0"/>
    <w:tblPr>
      <w:tblStyle w:val="7"/>
      <w:tblCellMar>
        <w:top w:w="0" w:type="dxa"/>
        <w:left w:w="108" w:type="dxa"/>
        <w:bottom w:w="0" w:type="dxa"/>
        <w:right w:w="108" w:type="dxa"/>
      </w:tblCellMar>
    </w:tblPr>
  </w:style>
  <w:style w:type="paragraph" w:styleId="2">
    <w:name w:val="Body Text First Indent 2"/>
    <w:basedOn w:val="3"/>
    <w:next w:val="5"/>
    <w:qFormat/>
    <w:uiPriority w:val="99"/>
    <w:pPr>
      <w:ind w:firstLine="420"/>
    </w:pPr>
    <w:rPr>
      <w:rFonts w:ascii="Calibri" w:hAnsi="Calibri"/>
      <w:sz w:val="21"/>
      <w:szCs w:val="22"/>
    </w:rPr>
  </w:style>
  <w:style w:type="paragraph" w:styleId="3">
    <w:name w:val="Body Text Indent"/>
    <w:basedOn w:val="1"/>
    <w:next w:val="4"/>
    <w:qFormat/>
    <w:uiPriority w:val="99"/>
    <w:pPr>
      <w:spacing w:line="460" w:lineRule="exact"/>
      <w:ind w:firstLine="480"/>
    </w:pPr>
    <w:rPr>
      <w:rFonts w:ascii="宋体" w:hAnsi="宋体"/>
    </w:rPr>
  </w:style>
  <w:style w:type="paragraph" w:styleId="4">
    <w:name w:val="envelope return"/>
    <w:basedOn w:val="1"/>
    <w:qFormat/>
    <w:uiPriority w:val="0"/>
    <w:pPr>
      <w:widowControl/>
      <w:spacing w:after="200"/>
      <w:jc w:val="left"/>
    </w:pPr>
    <w:rPr>
      <w:rFonts w:ascii="Arial" w:hAnsi="Arial" w:eastAsia="微软雅黑"/>
      <w:kern w:val="0"/>
      <w:sz w:val="22"/>
      <w:szCs w:val="22"/>
    </w:rPr>
  </w:style>
  <w:style w:type="paragraph" w:styleId="5">
    <w:name w:val="Body Text"/>
    <w:basedOn w:val="1"/>
    <w:next w:val="1"/>
    <w:qFormat/>
    <w:uiPriority w:val="0"/>
  </w:style>
  <w:style w:type="paragraph" w:styleId="6">
    <w:name w:val="footnote text"/>
    <w:basedOn w:val="1"/>
    <w:qFormat/>
    <w:uiPriority w:val="0"/>
    <w:pPr>
      <w:snapToGrid w:val="0"/>
      <w:jc w:val="left"/>
    </w:pPr>
    <w:rPr>
      <w:sz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2522</Words>
  <Characters>2533</Characters>
  <Lines>0</Lines>
  <Paragraphs>0</Paragraphs>
  <TotalTime>43</TotalTime>
  <ScaleCrop>false</ScaleCrop>
  <LinksUpToDate>false</LinksUpToDate>
  <CharactersWithSpaces>2628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2025-02-06T07:55:02Z</dcterms:created>
  <dc:creator>adm</dc:creator>
  <cp:lastModifiedBy>小星</cp:lastModifiedBy>
  <cp:lastPrinted>2025-02-13T07:06:42Z</cp:lastPrinted>
  <dcterms:modified xsi:type="dcterms:W3CDTF">2025-04-06T15:22:24Z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eyJoZGlkIjoiMjdiMTNlMWFhNGYwZTcxZGJmZDdjZTU4Y2I2MWRiYjgiLCJ1c2VySWQiOiIyMjYxNzk2NzkifQ==</vt:lpwstr>
  </property>
  <property fmtid="{D5CDD505-2E9C-101B-9397-08002B2CF9AE}" pid="4" name="ICV">
    <vt:lpwstr>7019ECADCC784520A6FB42D7F11530D3_13</vt:lpwstr>
  </property>
</Properties>
</file>