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陵水黎族自治县中小学（幼儿园）2025-2026学年度学生平安保险、校方责任险及无过失责任险项目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HNZY2025-101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陵水黎族自治县教育局</w:t>
      </w:r>
      <w:r>
        <w:rPr>
          <w:rFonts w:ascii="仿宋_GB2312" w:hAnsi="仿宋_GB2312" w:cs="仿宋_GB2312" w:eastAsia="仿宋_GB2312"/>
        </w:rPr>
        <w:t xml:space="preserve"> 委托， </w:t>
      </w:r>
      <w:r>
        <w:rPr>
          <w:rFonts w:ascii="仿宋_GB2312" w:hAnsi="仿宋_GB2312" w:cs="仿宋_GB2312" w:eastAsia="仿宋_GB2312"/>
        </w:rPr>
        <w:t>海南政源招标代理有限公司</w:t>
      </w:r>
      <w:r>
        <w:rPr>
          <w:rFonts w:ascii="仿宋_GB2312" w:hAnsi="仿宋_GB2312" w:cs="仿宋_GB2312" w:eastAsia="仿宋_GB2312"/>
        </w:rPr>
        <w:t xml:space="preserve"> 对 </w:t>
      </w:r>
      <w:r>
        <w:rPr>
          <w:rFonts w:ascii="仿宋_GB2312" w:hAnsi="仿宋_GB2312" w:cs="仿宋_GB2312" w:eastAsia="仿宋_GB2312"/>
        </w:rPr>
        <w:t>陵水黎族自治县中小学（幼儿园）2025-2026学年度学生平安保险、校方责任险及无过失责任险项目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HNZY2025-101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陵水黎族自治县中小学（幼儿园）2025-2026学年度学生平安保险、校方责任险及无过失责任险项目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4,180,000.00元</w:t>
      </w:r>
      <w:r>
        <w:rPr>
          <w:rFonts w:ascii="仿宋_GB2312" w:hAnsi="仿宋_GB2312" w:cs="仿宋_GB2312" w:eastAsia="仿宋_GB2312"/>
        </w:rPr>
        <w:t>肆佰壹拾捌万元整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2025年学年度至2026年学年度止（即2025年9月1日0时起至2026年8月31日24时止）</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1、参加政府采购活动前三年内（成立不足三年的从成立之日起算），在经营活动中没有环保类行政处罚记录：提供承诺函加盖公章：提供承诺函加盖公章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2、单位负责人为同一人或者存在直接控股、管理关系的不同投标人，不得参加同一合同项下的政府采购活动：提供承诺函加盖公章：提供承诺函加盖公章</w:t>
      </w:r>
    </w:p>
    <w:p>
      <w:pPr>
        <w:pStyle w:val="null3"/>
        <w:jc w:val="left"/>
      </w:pPr>
      <w:r>
        <w:rPr>
          <w:rFonts w:ascii="仿宋_GB2312" w:hAnsi="仿宋_GB2312" w:cs="仿宋_GB2312" w:eastAsia="仿宋_GB2312"/>
        </w:rPr>
        <w:t>3、投标人具有中国保险监督管理委员会属地监管局颁发的《经营保险业务许可证》或《保险许可证》：提供许可证复印件加盖公章：提供许可证复印件加盖公章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全国公共资源交易平台（海南省）（https://ggzy.hainan.gov.cn/ggzy/）。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热线一：4001691288；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陵水县椰林镇新丰路39号教育局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0898-83311150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海南省海口市美兰区国兴大道11号国瑞大厦C座东塔1204房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0898-65343462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采购包1：4,180,000.00元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说明：合同签订之日起5个工作日内，乙方向甲方提交合同金额的5%作为合同履约保证金。 缴纳方式：银行转账或保函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代理服务费收费标准：招标代理服务费参照《海南省物价局关于降低部分招标代理服务收费标准的通知》(琼价费管[2011]225号)文件和海南省相关现行收费标准按7.5折向中标供应商收取。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评标委员会成员共5名，从评标专家库管理及抽取系统随机抽取，其中，采购人代表1人，随机抽取其他专家评委4人，组成5人评标委员会。2.本项目采购标的对应的中小企业划分标准：租赁和商务服务业。具体根据工信部联企业〔2011〕300号《中小企业划型标准规定》确定划分标准。 3.根据《关于在相关自由贸易试验区和自由贸易港开展推动解决政府采购异常低价问题试点工作的通知》，政府采购评审中出现下列情形之一的，评审委员会应当启动异常低价投标（响应）审查程序：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联系人：罗工</w:t>
      </w:r>
    </w:p>
    <w:p>
      <w:pPr>
        <w:pStyle w:val="null3"/>
        <w:jc w:val="left"/>
      </w:pPr>
      <w:r>
        <w:rPr>
          <w:rFonts w:ascii="仿宋_GB2312" w:hAnsi="仿宋_GB2312" w:cs="仿宋_GB2312" w:eastAsia="仿宋_GB2312"/>
        </w:rPr>
        <w:t>联系电话：0898-65343462</w:t>
      </w:r>
    </w:p>
    <w:p>
      <w:pPr>
        <w:pStyle w:val="null3"/>
        <w:jc w:val="left"/>
      </w:pPr>
      <w:r>
        <w:rPr>
          <w:rFonts w:ascii="仿宋_GB2312" w:hAnsi="仿宋_GB2312" w:cs="仿宋_GB2312" w:eastAsia="仿宋_GB2312"/>
        </w:rPr>
        <w:t>地址：海南省海口市美兰区国兴大道11号国瑞大厦C座东塔1204房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当前，校园伤害事故呈现出多样性、复杂性，学校教育中面临的学生意外伤害风险对学校教育教学的影响日趋严重，学校安全管理工作的任务十分艰巨。保险是市场经济条件下进行风险管理和控制的基本手段，充分利用保险工具处理学校发生的安全责任事故，有利于防范和妥善化解各类校园安全事故责任风险，解除学校、家长的后顾之忧，有利于推动学校实施素质教育，有利于维护学校正常教育教学秩序，有利于保障广大在校学生的权益，避免或减少经济纠纷，减轻学校办学负担，维护校园和谐稳定，促进青少年健康成长。现陵水黎族自治县共有在校学生</w:t>
      </w:r>
      <w:r>
        <w:rPr>
          <w:rFonts w:ascii="仿宋_GB2312" w:hAnsi="仿宋_GB2312" w:cs="仿宋_GB2312" w:eastAsia="仿宋_GB2312"/>
          <w:sz w:val="20"/>
        </w:rPr>
        <w:t>7万多人，陵水黎族自治县教育局就教育部推行的校方责任险文件，采购陵水黎族自治县中小学（幼儿园）2025-2026学年度学生平安保险、校方责任险及无过失责任险项目。</w:t>
      </w:r>
    </w:p>
    <w:p>
      <w:pPr>
        <w:pStyle w:val="null3"/>
        <w:spacing w:before="150" w:after="150"/>
        <w:ind w:firstLine="400"/>
        <w:jc w:val="both"/>
      </w:pPr>
      <w:r>
        <w:rPr>
          <w:rFonts w:ascii="仿宋_GB2312" w:hAnsi="仿宋_GB2312" w:cs="仿宋_GB2312" w:eastAsia="仿宋_GB2312"/>
          <w:sz w:val="20"/>
        </w:rPr>
        <w:t>1、项目名称：陵水黎族自治县中小学（幼儿园）2025-2026学年度学生平安保险、校方责任险及无过失责任险项目</w:t>
      </w:r>
    </w:p>
    <w:p>
      <w:pPr>
        <w:pStyle w:val="null3"/>
        <w:ind w:firstLine="400"/>
        <w:jc w:val="both"/>
      </w:pPr>
      <w:r>
        <w:rPr>
          <w:rFonts w:ascii="仿宋_GB2312" w:hAnsi="仿宋_GB2312" w:cs="仿宋_GB2312" w:eastAsia="仿宋_GB2312"/>
          <w:sz w:val="20"/>
        </w:rPr>
        <w:t>2、采购预算：</w:t>
      </w:r>
      <w:r>
        <w:rPr>
          <w:rFonts w:ascii="仿宋_GB2312" w:hAnsi="仿宋_GB2312" w:cs="仿宋_GB2312" w:eastAsia="仿宋_GB2312"/>
          <w:sz w:val="20"/>
          <w:u w:val="single"/>
        </w:rPr>
        <w:t>人民币</w:t>
      </w:r>
      <w:r>
        <w:rPr>
          <w:rFonts w:ascii="仿宋_GB2312" w:hAnsi="仿宋_GB2312" w:cs="仿宋_GB2312" w:eastAsia="仿宋_GB2312"/>
          <w:sz w:val="20"/>
          <w:u w:val="single"/>
        </w:rPr>
        <w:t>肆佰壹拾捌万元整</w:t>
      </w:r>
      <w:r>
        <w:rPr>
          <w:rFonts w:ascii="仿宋_GB2312" w:hAnsi="仿宋_GB2312" w:cs="仿宋_GB2312" w:eastAsia="仿宋_GB2312"/>
          <w:sz w:val="20"/>
        </w:rPr>
        <w:t>（</w:t>
      </w:r>
      <w:r>
        <w:rPr>
          <w:rFonts w:ascii="仿宋_GB2312" w:hAnsi="仿宋_GB2312" w:cs="仿宋_GB2312" w:eastAsia="仿宋_GB2312"/>
          <w:sz w:val="20"/>
          <w:u w:val="single"/>
        </w:rPr>
        <w:t>¥</w:t>
      </w:r>
      <w:r>
        <w:rPr>
          <w:rFonts w:ascii="仿宋_GB2312" w:hAnsi="仿宋_GB2312" w:cs="仿宋_GB2312" w:eastAsia="仿宋_GB2312"/>
          <w:sz w:val="20"/>
          <w:u w:val="single"/>
        </w:rPr>
        <w:t>4180000</w:t>
      </w:r>
      <w:r>
        <w:rPr>
          <w:rFonts w:ascii="仿宋_GB2312" w:hAnsi="仿宋_GB2312" w:cs="仿宋_GB2312" w:eastAsia="仿宋_GB2312"/>
          <w:sz w:val="20"/>
          <w:u w:val="single"/>
        </w:rPr>
        <w:t>.00</w:t>
      </w:r>
      <w:r>
        <w:rPr>
          <w:rFonts w:ascii="仿宋_GB2312" w:hAnsi="仿宋_GB2312" w:cs="仿宋_GB2312" w:eastAsia="仿宋_GB2312"/>
          <w:sz w:val="20"/>
        </w:rPr>
        <w:t>）；</w:t>
      </w:r>
      <w:r>
        <w:rPr>
          <w:rFonts w:ascii="仿宋_GB2312" w:hAnsi="仿宋_GB2312" w:cs="仿宋_GB2312" w:eastAsia="仿宋_GB2312"/>
          <w:sz w:val="20"/>
          <w:b/>
        </w:rPr>
        <w:t>注：本项目为固定金额</w:t>
      </w:r>
      <w:r>
        <w:rPr>
          <w:rFonts w:ascii="仿宋_GB2312" w:hAnsi="仿宋_GB2312" w:cs="仿宋_GB2312" w:eastAsia="仿宋_GB2312"/>
          <w:sz w:val="20"/>
          <w:b/>
        </w:rPr>
        <w:t>报价</w:t>
      </w:r>
      <w:r>
        <w:rPr>
          <w:rFonts w:ascii="仿宋_GB2312" w:hAnsi="仿宋_GB2312" w:cs="仿宋_GB2312" w:eastAsia="仿宋_GB2312"/>
          <w:sz w:val="20"/>
          <w:b/>
        </w:rPr>
        <w:t>，报价高于或低于此报价均为无效报价。</w:t>
      </w:r>
    </w:p>
    <w:p>
      <w:pPr>
        <w:pStyle w:val="null3"/>
        <w:ind w:firstLine="402"/>
        <w:jc w:val="both"/>
      </w:pPr>
      <w:r>
        <w:rPr>
          <w:rFonts w:ascii="仿宋_GB2312" w:hAnsi="仿宋_GB2312" w:cs="仿宋_GB2312" w:eastAsia="仿宋_GB2312"/>
          <w:sz w:val="20"/>
          <w:b/>
        </w:rPr>
        <w:t>采购内容如下：</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585"/>
        <w:gridCol w:w="1889"/>
        <w:gridCol w:w="952"/>
        <w:gridCol w:w="747"/>
        <w:gridCol w:w="1084"/>
        <w:gridCol w:w="1201"/>
        <w:gridCol w:w="1787"/>
      </w:tblGrid>
      <w:tr>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单价（元）</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总价（元）</w:t>
            </w:r>
          </w:p>
        </w:tc>
        <w:tc>
          <w:tcPr>
            <w:tcW w:type="dxa" w:w="1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学年度中小学（幼儿园）校方责任险及无过失责任险</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75000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750000</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含公、民办学校、幼儿园</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学年度中小学（幼儿园）学生平安险</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r>
              <w:rPr>
                <w:rFonts w:ascii="仿宋_GB2312" w:hAnsi="仿宋_GB2312" w:cs="仿宋_GB2312" w:eastAsia="仿宋_GB2312"/>
                <w:sz w:val="20"/>
              </w:rPr>
              <w:t>6</w:t>
            </w:r>
            <w:r>
              <w:rPr>
                <w:rFonts w:ascii="仿宋_GB2312" w:hAnsi="仿宋_GB2312" w:cs="仿宋_GB2312" w:eastAsia="仿宋_GB2312"/>
                <w:sz w:val="20"/>
              </w:rPr>
              <w:t>00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r>
              <w:rPr>
                <w:rFonts w:ascii="仿宋_GB2312" w:hAnsi="仿宋_GB2312" w:cs="仿宋_GB2312" w:eastAsia="仿宋_GB2312"/>
                <w:sz w:val="20"/>
              </w:rPr>
              <w:t>3</w:t>
            </w:r>
            <w:r>
              <w:rPr>
                <w:rFonts w:ascii="仿宋_GB2312" w:hAnsi="仿宋_GB2312" w:cs="仿宋_GB2312" w:eastAsia="仿宋_GB2312"/>
                <w:sz w:val="20"/>
              </w:rPr>
              <w:t>0000</w:t>
            </w:r>
          </w:p>
        </w:tc>
        <w:tc>
          <w:tcPr>
            <w:tcW w:type="dxa" w:w="1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含公办学校、幼儿园</w:t>
            </w:r>
          </w:p>
        </w:tc>
      </w:tr>
    </w:tbl>
    <w:p>
      <w:pPr>
        <w:pStyle w:val="null3"/>
        <w:ind w:firstLine="400"/>
        <w:jc w:val="both"/>
      </w:pPr>
      <w:r>
        <w:rPr>
          <w:rFonts w:ascii="仿宋_GB2312" w:hAnsi="仿宋_GB2312" w:cs="仿宋_GB2312" w:eastAsia="仿宋_GB2312"/>
          <w:sz w:val="20"/>
        </w:rPr>
        <w:t>3、项目实施地点：采购人指定地点</w:t>
      </w:r>
    </w:p>
    <w:p>
      <w:pPr>
        <w:pStyle w:val="null3"/>
        <w:ind w:firstLine="400"/>
        <w:jc w:val="both"/>
      </w:pPr>
      <w:r>
        <w:rPr>
          <w:rFonts w:ascii="仿宋_GB2312" w:hAnsi="仿宋_GB2312" w:cs="仿宋_GB2312" w:eastAsia="仿宋_GB2312"/>
          <w:sz w:val="20"/>
        </w:rPr>
        <w:t>4、承保期限（服务期限）：202</w:t>
      </w:r>
      <w:r>
        <w:rPr>
          <w:rFonts w:ascii="仿宋_GB2312" w:hAnsi="仿宋_GB2312" w:cs="仿宋_GB2312" w:eastAsia="仿宋_GB2312"/>
          <w:sz w:val="20"/>
        </w:rPr>
        <w:t>5年</w:t>
      </w:r>
      <w:r>
        <w:rPr>
          <w:rFonts w:ascii="仿宋_GB2312" w:hAnsi="仿宋_GB2312" w:cs="仿宋_GB2312" w:eastAsia="仿宋_GB2312"/>
          <w:sz w:val="20"/>
        </w:rPr>
        <w:t>学年度至</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年学年度止（即</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9月1日0时起至202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8月31日24时止）</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4,180,000.00</w:t>
      </w:r>
    </w:p>
    <w:p>
      <w:pPr>
        <w:pStyle w:val="null3"/>
        <w:jc w:val="left"/>
      </w:pPr>
      <w:r>
        <w:rPr>
          <w:rFonts w:ascii="仿宋_GB2312" w:hAnsi="仿宋_GB2312" w:cs="仿宋_GB2312" w:eastAsia="仿宋_GB2312"/>
        </w:rPr>
        <w:t>采购包最高限价（元）: 4,180,000.00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C18049900-其他保险服务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C18049900-其他保险服务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标的名称：C18049900-其他保险服务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1、中小学（幼儿园）</w:t>
            </w:r>
            <w:r>
              <w:rPr>
                <w:rFonts w:ascii="仿宋_GB2312" w:hAnsi="仿宋_GB2312" w:cs="仿宋_GB2312" w:eastAsia="仿宋_GB2312"/>
                <w:sz w:val="20"/>
              </w:rPr>
              <w:t>校方责任保险</w:t>
            </w:r>
            <w:r>
              <w:rPr>
                <w:rFonts w:ascii="仿宋_GB2312" w:hAnsi="仿宋_GB2312" w:cs="仿宋_GB2312" w:eastAsia="仿宋_GB2312"/>
                <w:sz w:val="20"/>
                <w:b/>
              </w:rPr>
              <w:t>要求</w:t>
            </w:r>
          </w:p>
          <w:p>
            <w:pPr>
              <w:pStyle w:val="null3"/>
              <w:ind w:firstLine="400"/>
              <w:jc w:val="left"/>
            </w:pPr>
            <w:r>
              <w:rPr>
                <w:rFonts w:ascii="仿宋_GB2312" w:hAnsi="仿宋_GB2312" w:cs="仿宋_GB2312" w:eastAsia="仿宋_GB2312"/>
                <w:sz w:val="20"/>
              </w:rPr>
              <w:t>1.1保险金额（限额）：</w:t>
            </w:r>
          </w:p>
          <w:p>
            <w:pPr>
              <w:pStyle w:val="null3"/>
              <w:ind w:firstLine="400"/>
              <w:jc w:val="left"/>
            </w:pPr>
            <w:r>
              <w:rPr>
                <w:rFonts w:ascii="仿宋_GB2312" w:hAnsi="仿宋_GB2312" w:cs="仿宋_GB2312" w:eastAsia="仿宋_GB2312"/>
                <w:sz w:val="20"/>
              </w:rPr>
              <w:t>每人每年人身伤害赔偿限额人民币</w:t>
            </w:r>
            <w:r>
              <w:rPr>
                <w:rFonts w:ascii="仿宋_GB2312" w:hAnsi="仿宋_GB2312" w:cs="仿宋_GB2312" w:eastAsia="仿宋_GB2312"/>
                <w:sz w:val="20"/>
              </w:rPr>
              <w:t>40万元；</w:t>
            </w:r>
          </w:p>
          <w:p>
            <w:pPr>
              <w:pStyle w:val="null3"/>
              <w:ind w:firstLine="400"/>
              <w:jc w:val="left"/>
            </w:pPr>
            <w:r>
              <w:rPr>
                <w:rFonts w:ascii="仿宋_GB2312" w:hAnsi="仿宋_GB2312" w:cs="仿宋_GB2312" w:eastAsia="仿宋_GB2312"/>
                <w:sz w:val="20"/>
              </w:rPr>
              <w:t>每人每年财产损失赔偿限额人民币</w:t>
            </w:r>
            <w:r>
              <w:rPr>
                <w:rFonts w:ascii="仿宋_GB2312" w:hAnsi="仿宋_GB2312" w:cs="仿宋_GB2312" w:eastAsia="仿宋_GB2312"/>
                <w:sz w:val="20"/>
              </w:rPr>
              <w:t>2200元；</w:t>
            </w:r>
          </w:p>
          <w:p>
            <w:pPr>
              <w:pStyle w:val="null3"/>
              <w:ind w:firstLine="400"/>
              <w:jc w:val="left"/>
            </w:pPr>
            <w:r>
              <w:rPr>
                <w:rFonts w:ascii="仿宋_GB2312" w:hAnsi="仿宋_GB2312" w:cs="仿宋_GB2312" w:eastAsia="仿宋_GB2312"/>
                <w:sz w:val="20"/>
              </w:rPr>
              <w:t>每人每年财产损失免赔额人民币</w:t>
            </w:r>
            <w:r>
              <w:rPr>
                <w:rFonts w:ascii="仿宋_GB2312" w:hAnsi="仿宋_GB2312" w:cs="仿宋_GB2312" w:eastAsia="仿宋_GB2312"/>
                <w:sz w:val="20"/>
              </w:rPr>
              <w:t>300元；</w:t>
            </w:r>
          </w:p>
          <w:p>
            <w:pPr>
              <w:pStyle w:val="null3"/>
              <w:ind w:firstLine="400"/>
              <w:jc w:val="left"/>
            </w:pPr>
            <w:r>
              <w:rPr>
                <w:rFonts w:ascii="仿宋_GB2312" w:hAnsi="仿宋_GB2312" w:cs="仿宋_GB2312" w:eastAsia="仿宋_GB2312"/>
                <w:sz w:val="20"/>
              </w:rPr>
              <w:t>每所学校每次事故赔偿限额人民币</w:t>
            </w:r>
            <w:r>
              <w:rPr>
                <w:rFonts w:ascii="仿宋_GB2312" w:hAnsi="仿宋_GB2312" w:cs="仿宋_GB2312" w:eastAsia="仿宋_GB2312"/>
                <w:sz w:val="20"/>
              </w:rPr>
              <w:t>500万元。</w:t>
            </w:r>
          </w:p>
          <w:p>
            <w:pPr>
              <w:pStyle w:val="null3"/>
              <w:ind w:firstLine="400"/>
              <w:jc w:val="left"/>
            </w:pPr>
            <w:r>
              <w:rPr>
                <w:rFonts w:ascii="仿宋_GB2312" w:hAnsi="仿宋_GB2312" w:cs="仿宋_GB2312" w:eastAsia="仿宋_GB2312"/>
                <w:sz w:val="20"/>
              </w:rPr>
              <w:t>免赔额：除每人每年财产损失免赔额人民币</w:t>
            </w:r>
            <w:r>
              <w:rPr>
                <w:rFonts w:ascii="仿宋_GB2312" w:hAnsi="仿宋_GB2312" w:cs="仿宋_GB2312" w:eastAsia="仿宋_GB2312"/>
                <w:sz w:val="20"/>
              </w:rPr>
              <w:t>300元外无其它免赔额。</w:t>
            </w:r>
          </w:p>
          <w:p>
            <w:pPr>
              <w:pStyle w:val="null3"/>
              <w:ind w:firstLine="400"/>
              <w:jc w:val="left"/>
            </w:pPr>
            <w:r>
              <w:rPr>
                <w:rFonts w:ascii="仿宋_GB2312" w:hAnsi="仿宋_GB2312" w:cs="仿宋_GB2312" w:eastAsia="仿宋_GB2312"/>
                <w:sz w:val="20"/>
              </w:rPr>
              <w:t>1.2保险期限：202</w:t>
            </w:r>
            <w:r>
              <w:rPr>
                <w:rFonts w:ascii="仿宋_GB2312" w:hAnsi="仿宋_GB2312" w:cs="仿宋_GB2312" w:eastAsia="仿宋_GB2312"/>
                <w:sz w:val="20"/>
              </w:rPr>
              <w:t>5年</w:t>
            </w:r>
            <w:r>
              <w:rPr>
                <w:rFonts w:ascii="仿宋_GB2312" w:hAnsi="仿宋_GB2312" w:cs="仿宋_GB2312" w:eastAsia="仿宋_GB2312"/>
                <w:sz w:val="20"/>
              </w:rPr>
              <w:t>学年度至</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年学年度止（即</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9月1日0时起至202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8月31日24时止）。</w:t>
            </w:r>
          </w:p>
          <w:p>
            <w:pPr>
              <w:pStyle w:val="null3"/>
              <w:ind w:firstLine="400"/>
              <w:jc w:val="left"/>
            </w:pPr>
            <w:r>
              <w:rPr>
                <w:rFonts w:ascii="仿宋_GB2312" w:hAnsi="仿宋_GB2312" w:cs="仿宋_GB2312" w:eastAsia="仿宋_GB2312"/>
                <w:sz w:val="20"/>
              </w:rPr>
              <w:t>1.3保险责任：</w:t>
            </w:r>
          </w:p>
          <w:p>
            <w:pPr>
              <w:pStyle w:val="null3"/>
              <w:ind w:firstLine="400"/>
              <w:jc w:val="left"/>
            </w:pPr>
            <w:r>
              <w:rPr>
                <w:rFonts w:ascii="仿宋_GB2312" w:hAnsi="仿宋_GB2312" w:cs="仿宋_GB2312" w:eastAsia="仿宋_GB2312"/>
                <w:sz w:val="20"/>
              </w:rPr>
              <w:t>1.3.1在保险期间内，在中华人民共和国境内（港澳台地区除外），在被保险人的在校活动中或由被保险人统一组织或安排的活动过程中，因被保险人疏忽或过失发生下列情况导致学生的人身伤亡，依法应由被保险人承担的经济赔偿责任，保险人按照本保险合同的约定负责赔偿：</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1）被保险人的校舍、场地、其他公共设施，以及提供给学生使用的学具、教育教学和生活设施、设备不符合国家规定的标准，或者有明显不安全因素；</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2）被保险人的安全保卫、消防、设施设备管理等安全管理制度有疏漏，或者管理混乱，存在安全隐患，而未及时采取措施；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3）被保险人向学生提供的药品、食品、饮用水以及玩具、文具或者其他物品不符合国家、行业和被保险人所在地市的卫生、安全标准；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4）被保险人组织学生参加教育教学活动或者校外活动，未按规定对学生进行必要的安全教育，并未在可预见的范围内采取必要的安全措施；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5）被保险人的教师或者其他工作人员患有不适宜担任教学工作的疾病，但被保险人未采取必要措施；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6）被保险人违反有关规定，组织或者安排未成年学生从事不宜未成年人参加的劳动、体育运动或者其他活动；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7）学生有特异体质或特定疾病，不宜参加某种教学活动，被保险人知道或者应当知道，但未予以必要注意；</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8）学生在校期间突发疾病或者受到伤害，被保险人发现，但未根据实际情况及时采取相应措施，导致不良后果加重；</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9）教师或者其他工作人员在负有组织、管理未成年学生的职责期间，发现学生行为具有危险性，但未进行必要的管理、告诫或者制止；</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10）教师或者其他工作人员侮辱、殴打、体罚或者变相体罚学生；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11）教师或者其他工作人员擅离工作岗位，不履行职责，或者虽在工作岗位但未履行职责，或者违反工作要求、操作规程或职业道德；</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12）对未成年学生擅自离校等与学生人身安全直接相关的信息，被保险人发现或者知道，但未及时告知未成年学生的监护人，导致未成年学生因脱离监护人的保护而发生伤害；</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13）被保险人知道或者应当知道学生患有传染性疾病，未采取必要的隔离防范措施导致其他学生感染；</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14）被保险人有未依法履行职责的其他情形。</w:t>
            </w:r>
          </w:p>
          <w:p>
            <w:pPr>
              <w:pStyle w:val="null3"/>
              <w:ind w:firstLine="400"/>
              <w:jc w:val="left"/>
            </w:pPr>
            <w:r>
              <w:rPr>
                <w:rFonts w:ascii="仿宋_GB2312" w:hAnsi="仿宋_GB2312" w:cs="仿宋_GB2312" w:eastAsia="仿宋_GB2312"/>
                <w:sz w:val="20"/>
              </w:rPr>
              <w:t>1.3.2在保险期间内，在中华人民共和国境内（港澳台地区除外），发生下列情形导致被保险人的学生遭受人身伤亡，尽管被保险人已经履行了相应职责、行为并无不当，但法院或仲裁机构仍判决或裁决被保险人需对受伤害学生给予经济补偿时，保险人按照本保险合同约定也负责赔偿：</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1）学生在代表被保险人参加各项比赛，或者在参加被保险人统一组织的体育竞赛活动中发生意外事故；</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2）火灾、爆炸、煤气中毒所造成的意外事故；</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3）高空物体坠落所造成的意外事故；</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4）学生拥挤所造成的意外事故。</w:t>
            </w:r>
          </w:p>
          <w:p>
            <w:pPr>
              <w:pStyle w:val="null3"/>
              <w:ind w:firstLine="400"/>
              <w:jc w:val="left"/>
            </w:pPr>
            <w:r>
              <w:rPr>
                <w:rFonts w:ascii="仿宋_GB2312" w:hAnsi="仿宋_GB2312" w:cs="仿宋_GB2312" w:eastAsia="仿宋_GB2312"/>
                <w:sz w:val="20"/>
              </w:rPr>
              <w:t>1.3.3保险人的学生发生人身伤亡事故后，被保险人因此而被提起仲裁或者诉讼的，对应由被保险人支付的仲裁或诉讼费用以及其它必要的、合理的费用（以下简称“法律费用”），经保险人事先书面同意，保险人按照本保险合同约定也负责赔偿。</w:t>
            </w:r>
          </w:p>
          <w:p>
            <w:pPr>
              <w:pStyle w:val="null3"/>
              <w:ind w:firstLine="402"/>
              <w:jc w:val="left"/>
            </w:pPr>
            <w:r>
              <w:rPr>
                <w:rFonts w:ascii="仿宋_GB2312" w:hAnsi="仿宋_GB2312" w:cs="仿宋_GB2312" w:eastAsia="仿宋_GB2312"/>
                <w:sz w:val="20"/>
                <w:b/>
              </w:rPr>
              <w:t>2、中小学（幼儿园）校方无过失责任保险要求</w:t>
            </w:r>
          </w:p>
          <w:p>
            <w:pPr>
              <w:pStyle w:val="null3"/>
              <w:ind w:firstLine="400"/>
              <w:jc w:val="left"/>
            </w:pPr>
            <w:r>
              <w:rPr>
                <w:rFonts w:ascii="仿宋_GB2312" w:hAnsi="仿宋_GB2312" w:cs="仿宋_GB2312" w:eastAsia="仿宋_GB2312"/>
                <w:sz w:val="20"/>
              </w:rPr>
              <w:t>2.1保险金额（限额）</w:t>
            </w:r>
          </w:p>
          <w:p>
            <w:pPr>
              <w:pStyle w:val="null3"/>
              <w:ind w:firstLine="400"/>
              <w:jc w:val="left"/>
            </w:pPr>
            <w:r>
              <w:rPr>
                <w:rFonts w:ascii="仿宋_GB2312" w:hAnsi="仿宋_GB2312" w:cs="仿宋_GB2312" w:eastAsia="仿宋_GB2312"/>
                <w:sz w:val="20"/>
              </w:rPr>
              <w:t>2.1.1、每人每年人身伤害赔偿限额人民币12万元，每所学校每次事故赔偿限额人民币150万元，每所学校每年累计赔偿限额人民币300万元。</w:t>
            </w:r>
          </w:p>
          <w:p>
            <w:pPr>
              <w:pStyle w:val="null3"/>
              <w:ind w:firstLine="400"/>
              <w:jc w:val="left"/>
            </w:pPr>
            <w:r>
              <w:rPr>
                <w:rFonts w:ascii="仿宋_GB2312" w:hAnsi="仿宋_GB2312" w:cs="仿宋_GB2312" w:eastAsia="仿宋_GB2312"/>
                <w:sz w:val="20"/>
              </w:rPr>
              <w:t>2.1.2、校方无过失责任保险保险标准</w:t>
            </w:r>
          </w:p>
          <w:tbl>
            <w:tblPr>
              <w:tblBorders>
                <w:top w:val="none" w:color="000000" w:sz="4"/>
                <w:left w:val="none" w:color="000000" w:sz="4"/>
                <w:bottom w:val="none" w:color="000000" w:sz="4"/>
                <w:right w:val="none" w:color="000000" w:sz="4"/>
                <w:insideH w:val="none"/>
                <w:insideV w:val="none"/>
              </w:tblBorders>
            </w:tblPr>
            <w:tblGrid>
              <w:gridCol w:w="493"/>
              <w:gridCol w:w="314"/>
              <w:gridCol w:w="387"/>
              <w:gridCol w:w="420"/>
              <w:gridCol w:w="420"/>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年保费</w:t>
                  </w:r>
                </w:p>
                <w:p>
                  <w:pPr>
                    <w:pStyle w:val="null3"/>
                    <w:jc w:val="center"/>
                  </w:pPr>
                  <w:r>
                    <w:rPr>
                      <w:rFonts w:ascii="仿宋_GB2312" w:hAnsi="仿宋_GB2312" w:cs="仿宋_GB2312" w:eastAsia="仿宋_GB2312"/>
                      <w:sz w:val="20"/>
                    </w:rPr>
                    <w:t>（元</w:t>
                  </w:r>
                  <w:r>
                    <w:rPr>
                      <w:rFonts w:ascii="仿宋_GB2312" w:hAnsi="仿宋_GB2312" w:cs="仿宋_GB2312" w:eastAsia="仿宋_GB2312"/>
                      <w:sz w:val="20"/>
                    </w:rPr>
                    <w:t>/人）</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每生每年赔偿限额（万元）</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每校每次事故责任限额（万元）</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每校每年累计责任限额（万元）</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交通、溺水意外身故保险金（万元）</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校方无过失责任保险</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交通、溺水意外身故特别约定条款</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bl>
          <w:p>
            <w:pPr>
              <w:pStyle w:val="null3"/>
              <w:jc w:val="left"/>
            </w:pPr>
            <w:r>
              <w:rPr>
                <w:rFonts w:ascii="仿宋_GB2312" w:hAnsi="仿宋_GB2312" w:cs="仿宋_GB2312" w:eastAsia="仿宋_GB2312"/>
                <w:sz w:val="20"/>
              </w:rPr>
              <w:t>2.2保险期限：与校方责任保险一致，自202</w:t>
            </w:r>
            <w:r>
              <w:rPr>
                <w:rFonts w:ascii="仿宋_GB2312" w:hAnsi="仿宋_GB2312" w:cs="仿宋_GB2312" w:eastAsia="仿宋_GB2312"/>
                <w:sz w:val="20"/>
              </w:rPr>
              <w:t>5年</w:t>
            </w:r>
            <w:r>
              <w:rPr>
                <w:rFonts w:ascii="仿宋_GB2312" w:hAnsi="仿宋_GB2312" w:cs="仿宋_GB2312" w:eastAsia="仿宋_GB2312"/>
                <w:sz w:val="20"/>
              </w:rPr>
              <w:t>学年度至</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年学年度止（即</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9月1日0时起至202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8月31日24时止）。</w:t>
            </w:r>
          </w:p>
          <w:p>
            <w:pPr>
              <w:pStyle w:val="null3"/>
              <w:ind w:firstLine="400"/>
              <w:jc w:val="left"/>
            </w:pPr>
            <w:r>
              <w:rPr>
                <w:rFonts w:ascii="仿宋_GB2312" w:hAnsi="仿宋_GB2312" w:cs="仿宋_GB2312" w:eastAsia="仿宋_GB2312"/>
                <w:sz w:val="20"/>
              </w:rPr>
              <w:t>2.3保险责任</w:t>
            </w:r>
          </w:p>
          <w:p>
            <w:pPr>
              <w:pStyle w:val="null3"/>
              <w:ind w:firstLine="400"/>
              <w:jc w:val="left"/>
            </w:pPr>
            <w:r>
              <w:rPr>
                <w:rFonts w:ascii="仿宋_GB2312" w:hAnsi="仿宋_GB2312" w:cs="仿宋_GB2312" w:eastAsia="仿宋_GB2312"/>
                <w:sz w:val="20"/>
              </w:rPr>
              <w:t>2.3.1在本保险单列明的保险期限及承保区域范围内，因自然灾害、学生自身原因、学生体质差异、校外人员侵害而导致被保险人的在校学生发生人身损害，被保险人已履行相应职责，行为并无不当，但是依照中华人民共和国法律（不含港澳台地区法律）仍需对受伤害学生承担经济赔偿责任时，保险人按照本保险合同的约定负责赔偿。</w:t>
            </w:r>
          </w:p>
          <w:p>
            <w:pPr>
              <w:pStyle w:val="null3"/>
              <w:ind w:firstLine="400"/>
              <w:jc w:val="left"/>
            </w:pPr>
            <w:r>
              <w:rPr>
                <w:rFonts w:ascii="仿宋_GB2312" w:hAnsi="仿宋_GB2312" w:cs="仿宋_GB2312" w:eastAsia="仿宋_GB2312"/>
                <w:sz w:val="20"/>
              </w:rPr>
              <w:t>承保区域范围：主险保险单列明的被保险人在其校（园）内或由其统一组织并带领下的校（园）外活动的区城范围（限中华人民共和国境内，港澳台地区除外）。</w:t>
            </w:r>
          </w:p>
          <w:p>
            <w:pPr>
              <w:pStyle w:val="null3"/>
              <w:ind w:firstLine="400"/>
              <w:jc w:val="left"/>
            </w:pPr>
            <w:r>
              <w:rPr>
                <w:rFonts w:ascii="仿宋_GB2312" w:hAnsi="仿宋_GB2312" w:cs="仿宋_GB2312" w:eastAsia="仿宋_GB2312"/>
                <w:sz w:val="20"/>
              </w:rPr>
              <w:t>自然灾害：指气象部门发布的暴风、暴雨、崖崩、雷击、洪水、龙卷风、飑线、台风（热带风暴）、海啸、泥石流、突发性滑坡、冰覆灾害。</w:t>
            </w:r>
          </w:p>
          <w:p>
            <w:pPr>
              <w:pStyle w:val="null3"/>
              <w:ind w:firstLine="400"/>
              <w:jc w:val="left"/>
            </w:pPr>
            <w:r>
              <w:rPr>
                <w:rFonts w:ascii="仿宋_GB2312" w:hAnsi="仿宋_GB2312" w:cs="仿宋_GB2312" w:eastAsia="仿宋_GB2312"/>
                <w:sz w:val="20"/>
              </w:rPr>
              <w:t>暴风：根据气象部门制定的风力级表规定，暴风是指风速在</w:t>
            </w:r>
            <w:r>
              <w:rPr>
                <w:rFonts w:ascii="仿宋_GB2312" w:hAnsi="仿宋_GB2312" w:cs="仿宋_GB2312" w:eastAsia="仿宋_GB2312"/>
                <w:sz w:val="20"/>
              </w:rPr>
              <w:t>28.3米/秒以上，即相当于风力等级表中的11级以上的风力。</w:t>
            </w:r>
          </w:p>
          <w:p>
            <w:pPr>
              <w:pStyle w:val="null3"/>
              <w:ind w:firstLine="400"/>
              <w:jc w:val="left"/>
            </w:pPr>
            <w:r>
              <w:rPr>
                <w:rFonts w:ascii="仿宋_GB2312" w:hAnsi="仿宋_GB2312" w:cs="仿宋_GB2312" w:eastAsia="仿宋_GB2312"/>
                <w:sz w:val="20"/>
              </w:rPr>
              <w:t>暴雨：是指每小时降雨量达到</w:t>
            </w:r>
            <w:r>
              <w:rPr>
                <w:rFonts w:ascii="仿宋_GB2312" w:hAnsi="仿宋_GB2312" w:cs="仿宋_GB2312" w:eastAsia="仿宋_GB2312"/>
                <w:sz w:val="20"/>
              </w:rPr>
              <w:t>16毫米以上，或连续12小时降雨量达到30毫米以上，或连续24小时降雨量达到50毫米以上。</w:t>
            </w:r>
          </w:p>
          <w:p>
            <w:pPr>
              <w:pStyle w:val="null3"/>
              <w:ind w:firstLine="400"/>
              <w:jc w:val="left"/>
            </w:pPr>
            <w:r>
              <w:rPr>
                <w:rFonts w:ascii="仿宋_GB2312" w:hAnsi="仿宋_GB2312" w:cs="仿宋_GB2312" w:eastAsia="仿宋_GB2312"/>
                <w:sz w:val="20"/>
              </w:rPr>
              <w:t>学生自身原因：学生由于疏忽大意或过失行为造成自身的人身损害后果。</w:t>
            </w:r>
          </w:p>
          <w:p>
            <w:pPr>
              <w:pStyle w:val="null3"/>
              <w:ind w:firstLine="400"/>
              <w:jc w:val="left"/>
            </w:pPr>
            <w:r>
              <w:rPr>
                <w:rFonts w:ascii="仿宋_GB2312" w:hAnsi="仿宋_GB2312" w:cs="仿宋_GB2312" w:eastAsia="仿宋_GB2312"/>
                <w:sz w:val="20"/>
              </w:rPr>
              <w:t>学生体质特异：学生由先天遗传和后天获得所形成的，在形态结构、功能活动方面所固有的、相对稳定的个体特征上的不同。</w:t>
            </w:r>
          </w:p>
          <w:p>
            <w:pPr>
              <w:pStyle w:val="null3"/>
              <w:ind w:firstLine="400"/>
              <w:jc w:val="left"/>
            </w:pPr>
            <w:r>
              <w:rPr>
                <w:rFonts w:ascii="仿宋_GB2312" w:hAnsi="仿宋_GB2312" w:cs="仿宋_GB2312" w:eastAsia="仿宋_GB2312"/>
                <w:sz w:val="20"/>
              </w:rPr>
              <w:t>校外人员侵害：是指学校教职员工及在校学生以外的人员在本保险单列明的承保区域范围内对学生的侵权行为。</w:t>
            </w:r>
          </w:p>
          <w:p>
            <w:pPr>
              <w:pStyle w:val="null3"/>
              <w:ind w:firstLine="400"/>
              <w:jc w:val="left"/>
            </w:pPr>
            <w:r>
              <w:rPr>
                <w:rFonts w:ascii="仿宋_GB2312" w:hAnsi="仿宋_GB2312" w:cs="仿宋_GB2312" w:eastAsia="仿宋_GB2312"/>
                <w:sz w:val="20"/>
              </w:rPr>
              <w:t>人身损害：是指指死亡、肢体残疾、组织器官功能障碍及其他影响人身健康的损伤。</w:t>
            </w:r>
          </w:p>
          <w:p>
            <w:pPr>
              <w:pStyle w:val="null3"/>
              <w:ind w:firstLine="400"/>
              <w:jc w:val="left"/>
            </w:pPr>
            <w:r>
              <w:rPr>
                <w:rFonts w:ascii="仿宋_GB2312" w:hAnsi="仿宋_GB2312" w:cs="仿宋_GB2312" w:eastAsia="仿宋_GB2312"/>
                <w:sz w:val="20"/>
              </w:rPr>
              <w:t>2.4其他：</w:t>
            </w:r>
          </w:p>
          <w:p>
            <w:pPr>
              <w:pStyle w:val="null3"/>
              <w:ind w:firstLine="400"/>
              <w:jc w:val="left"/>
            </w:pPr>
            <w:r>
              <w:rPr>
                <w:rFonts w:ascii="仿宋_GB2312" w:hAnsi="仿宋_GB2312" w:cs="仿宋_GB2312" w:eastAsia="仿宋_GB2312"/>
                <w:sz w:val="20"/>
              </w:rPr>
              <w:t>按照海南省教育厅、海南省财政厅、中国保监会海南监管局关于进一步调整完善校方责任保险制度的通知</w:t>
            </w:r>
            <w:r>
              <w:rPr>
                <w:rFonts w:ascii="仿宋_GB2312" w:hAnsi="仿宋_GB2312" w:cs="仿宋_GB2312" w:eastAsia="仿宋_GB2312"/>
                <w:sz w:val="20"/>
              </w:rPr>
              <w:t>(琼教勤助【2018】5号)要求执行。</w:t>
            </w:r>
          </w:p>
          <w:p>
            <w:pPr>
              <w:pStyle w:val="null3"/>
              <w:ind w:firstLine="402"/>
              <w:jc w:val="left"/>
            </w:pPr>
            <w:r>
              <w:rPr>
                <w:rFonts w:ascii="仿宋_GB2312" w:hAnsi="仿宋_GB2312" w:cs="仿宋_GB2312" w:eastAsia="仿宋_GB2312"/>
                <w:sz w:val="20"/>
                <w:b/>
              </w:rPr>
              <w:t>3、学生平安保险要求</w:t>
            </w:r>
          </w:p>
          <w:p>
            <w:pPr>
              <w:pStyle w:val="null3"/>
              <w:ind w:firstLine="400"/>
              <w:jc w:val="left"/>
            </w:pPr>
            <w:r>
              <w:rPr>
                <w:rFonts w:ascii="仿宋_GB2312" w:hAnsi="仿宋_GB2312" w:cs="仿宋_GB2312" w:eastAsia="仿宋_GB2312"/>
                <w:sz w:val="20"/>
              </w:rPr>
              <w:t>3.1保险责任：</w:t>
            </w:r>
          </w:p>
          <w:p>
            <w:pPr>
              <w:pStyle w:val="null3"/>
              <w:ind w:firstLine="400"/>
              <w:jc w:val="left"/>
            </w:pPr>
            <w:r>
              <w:rPr>
                <w:rFonts w:ascii="仿宋_GB2312" w:hAnsi="仿宋_GB2312" w:cs="仿宋_GB2312" w:eastAsia="仿宋_GB2312"/>
                <w:sz w:val="20"/>
              </w:rPr>
              <w:t>(1)意外身故保险金：被保险人因意外事故身故，按保险金额给付身故保险金。</w:t>
            </w:r>
          </w:p>
          <w:p>
            <w:pPr>
              <w:pStyle w:val="null3"/>
              <w:ind w:firstLine="400"/>
              <w:jc w:val="left"/>
            </w:pPr>
            <w:r>
              <w:rPr>
                <w:rFonts w:ascii="仿宋_GB2312" w:hAnsi="仿宋_GB2312" w:cs="仿宋_GB2312" w:eastAsia="仿宋_GB2312"/>
                <w:sz w:val="20"/>
              </w:rPr>
              <w:t>(2)疾病身故保险金：被保险人因疾病身故，按保险金额给付身故保险金。</w:t>
            </w:r>
          </w:p>
          <w:p>
            <w:pPr>
              <w:pStyle w:val="null3"/>
              <w:ind w:firstLine="400"/>
              <w:jc w:val="left"/>
            </w:pPr>
            <w:r>
              <w:rPr>
                <w:rFonts w:ascii="仿宋_GB2312" w:hAnsi="仿宋_GB2312" w:cs="仿宋_GB2312" w:eastAsia="仿宋_GB2312"/>
                <w:sz w:val="20"/>
              </w:rPr>
              <w:t>(3)意外伤害残疾保险金：被保险人因遭受意外事故，并自事故发生之日起180日内因该事故造成《人身保险伤残评定标准》所列伤残项目的，依照该标准规定的评定原则对伤残项目进行评定。按评定结果所对应该标准规定的给付比例乘以保险金额给付意外伤残保险金。如治疗仍未结束的，按事故发生之日起第180日的身体情况进行伤残鉴定，并据此给付意外伤残保险金。</w:t>
            </w:r>
          </w:p>
          <w:p>
            <w:pPr>
              <w:pStyle w:val="null3"/>
              <w:ind w:firstLine="400"/>
              <w:jc w:val="left"/>
            </w:pPr>
            <w:r>
              <w:rPr>
                <w:rFonts w:ascii="仿宋_GB2312" w:hAnsi="仿宋_GB2312" w:cs="仿宋_GB2312" w:eastAsia="仿宋_GB2312"/>
                <w:sz w:val="20"/>
              </w:rPr>
              <w:t>(4)重大疾病保险金：被保险人经医院确诊初次发生重大疾病的，按其保险金额给付重大疾病保险金。</w:t>
            </w:r>
          </w:p>
          <w:p>
            <w:pPr>
              <w:pStyle w:val="null3"/>
              <w:ind w:firstLine="400"/>
              <w:jc w:val="left"/>
            </w:pPr>
            <w:r>
              <w:rPr>
                <w:rFonts w:ascii="仿宋_GB2312" w:hAnsi="仿宋_GB2312" w:cs="仿宋_GB2312" w:eastAsia="仿宋_GB2312"/>
                <w:sz w:val="20"/>
              </w:rPr>
              <w:t>(5)意外住院、疾病住院保险金：被保险人因疾病或意外事故经医院确诊必须住院治疗的，累计给付日数最多为90天。</w:t>
            </w:r>
          </w:p>
          <w:p>
            <w:pPr>
              <w:pStyle w:val="null3"/>
              <w:ind w:firstLine="400"/>
              <w:jc w:val="both"/>
            </w:pPr>
            <w:r>
              <w:rPr>
                <w:rFonts w:ascii="仿宋_GB2312" w:hAnsi="仿宋_GB2312" w:cs="仿宋_GB2312" w:eastAsia="仿宋_GB2312"/>
                <w:sz w:val="20"/>
              </w:rPr>
              <w:t>3.2学生平安保险须有以下保险方案：</w:t>
            </w:r>
          </w:p>
          <w:tbl>
            <w:tblPr>
              <w:tblBorders>
                <w:top w:val="none" w:color="000000" w:sz="4"/>
                <w:left w:val="none" w:color="000000" w:sz="4"/>
                <w:bottom w:val="none" w:color="000000" w:sz="4"/>
                <w:right w:val="none" w:color="000000" w:sz="4"/>
                <w:insideH w:val="none"/>
                <w:insideV w:val="none"/>
              </w:tblBorders>
            </w:tblPr>
            <w:tblGrid>
              <w:gridCol w:w="569"/>
              <w:gridCol w:w="441"/>
              <w:gridCol w:w="441"/>
              <w:gridCol w:w="441"/>
              <w:gridCol w:w="642"/>
            </w:tblGrid>
            <w:tr>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保障项目</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保险金额</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每次事故免赔额</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给付比例</w:t>
                  </w:r>
                  <w:r>
                    <w:rPr>
                      <w:rFonts w:ascii="仿宋_GB2312" w:hAnsi="仿宋_GB2312" w:cs="仿宋_GB2312" w:eastAsia="仿宋_GB2312"/>
                      <w:sz w:val="20"/>
                      <w:b/>
                    </w:rPr>
                    <w:t>(%)</w:t>
                  </w:r>
                </w:p>
              </w:tc>
              <w:tc>
                <w:tcPr>
                  <w:tcW w:type="dxa" w:w="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等待期</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意外身故</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疾病身故</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90天</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意外伤害残疾</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意外伤害门、急诊</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意外住院、疾病住院</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见特别约定</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疾病住院</w:t>
                  </w:r>
                  <w:r>
                    <w:rPr>
                      <w:rFonts w:ascii="仿宋_GB2312" w:hAnsi="仿宋_GB2312" w:cs="仿宋_GB2312" w:eastAsia="仿宋_GB2312"/>
                      <w:sz w:val="20"/>
                    </w:rPr>
                    <w:t>90天</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重大疾病</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不适用</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30天</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保险费</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人民币：伍拾元整</w:t>
                  </w:r>
                  <w:r>
                    <w:rPr>
                      <w:rFonts w:ascii="仿宋_GB2312" w:hAnsi="仿宋_GB2312" w:cs="仿宋_GB2312" w:eastAsia="仿宋_GB2312"/>
                      <w:sz w:val="20"/>
                    </w:rPr>
                    <w:t>(￥50.00元)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保险期限</w:t>
                  </w:r>
                </w:p>
              </w:tc>
              <w:tc>
                <w:tcPr>
                  <w:tcW w:type="dxa" w:w="10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r>
                    <w:rPr>
                      <w:rFonts w:ascii="仿宋_GB2312" w:hAnsi="仿宋_GB2312" w:cs="仿宋_GB2312" w:eastAsia="仿宋_GB2312"/>
                      <w:sz w:val="20"/>
                    </w:rPr>
                    <w:t>5年</w:t>
                  </w:r>
                  <w:r>
                    <w:rPr>
                      <w:rFonts w:ascii="仿宋_GB2312" w:hAnsi="仿宋_GB2312" w:cs="仿宋_GB2312" w:eastAsia="仿宋_GB2312"/>
                      <w:sz w:val="20"/>
                    </w:rPr>
                    <w:t>学年度至</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年学年度止（即</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9月1日0时起至202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8月31日24时止）</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特别约定</w:t>
                  </w:r>
                </w:p>
              </w:tc>
              <w:tc>
                <w:tcPr>
                  <w:tcW w:type="dxa" w:w="19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意外住院、疾病住院医疗赔付比例：被保险人已从社会基本医疗保险或任何第三方（包括任何商业医疗保险）获得相关医疗费用补偿的，保险人按符合海南省政府颁布的基本医疗保险报销范围的医疗费用扣除已获得补偿后的余额的</w:t>
                  </w:r>
                  <w:r>
                    <w:rPr>
                      <w:rFonts w:ascii="仿宋_GB2312" w:hAnsi="仿宋_GB2312" w:cs="仿宋_GB2312" w:eastAsia="仿宋_GB2312"/>
                      <w:sz w:val="20"/>
                    </w:rPr>
                    <w:t>90%在保险金额范围内赔付；被保险人未从社会基本医疗保险或任何第三方（包括任何商业医疗保险）获得相关医疗费用补偿的，保险人按符合海南省政府颁布的基本医疗保险报销范围的医疗费用的70%在保险金额范围内赔付。</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2"/>
              <w:jc w:val="left"/>
            </w:pPr>
            <w:r>
              <w:rPr>
                <w:rFonts w:ascii="仿宋_GB2312" w:hAnsi="仿宋_GB2312" w:cs="仿宋_GB2312" w:eastAsia="仿宋_GB2312"/>
                <w:sz w:val="20"/>
                <w:b/>
              </w:rPr>
              <w:t>1、投保手续</w:t>
            </w:r>
          </w:p>
          <w:p>
            <w:pPr>
              <w:pStyle w:val="null3"/>
              <w:ind w:firstLine="400"/>
              <w:jc w:val="left"/>
            </w:pPr>
            <w:r>
              <w:rPr>
                <w:rFonts w:ascii="仿宋_GB2312" w:hAnsi="仿宋_GB2312" w:cs="仿宋_GB2312" w:eastAsia="仿宋_GB2312"/>
                <w:sz w:val="20"/>
              </w:rPr>
              <w:t>投保人应按照规定流程向县教育局指定的保险人驻当地分支机构办理投保手续。保险人应指定其驻陵水黎族自治县分支机构作为全县校方责任保险、学生平安保险的专门承保机构，对全县投保对象实行集中承保及核算。</w:t>
            </w:r>
          </w:p>
          <w:p>
            <w:pPr>
              <w:pStyle w:val="null3"/>
              <w:ind w:firstLine="402"/>
              <w:jc w:val="left"/>
            </w:pPr>
            <w:r>
              <w:rPr>
                <w:rFonts w:ascii="仿宋_GB2312" w:hAnsi="仿宋_GB2312" w:cs="仿宋_GB2312" w:eastAsia="仿宋_GB2312"/>
                <w:sz w:val="20"/>
                <w:b/>
              </w:rPr>
              <w:t>2、保险服务及宣传</w:t>
            </w:r>
          </w:p>
          <w:p>
            <w:pPr>
              <w:pStyle w:val="null3"/>
              <w:ind w:firstLine="400"/>
              <w:jc w:val="left"/>
            </w:pPr>
            <w:r>
              <w:rPr>
                <w:rFonts w:ascii="仿宋_GB2312" w:hAnsi="仿宋_GB2312" w:cs="仿宋_GB2312" w:eastAsia="仿宋_GB2312"/>
                <w:sz w:val="20"/>
              </w:rPr>
              <w:t>2.1、保险人应协助各级教育管理部门做好各类学校的投保工作。各级教育行政部门、保险人共同做好对保险对象的宣传和培训工作，应提供索赔简易操作手册，发放给每名被保险人，方便被保险人根据手册指引尽快办理手续、获得赔付。</w:t>
            </w:r>
          </w:p>
          <w:p>
            <w:pPr>
              <w:pStyle w:val="null3"/>
              <w:ind w:firstLine="400"/>
              <w:jc w:val="left"/>
            </w:pPr>
            <w:r>
              <w:rPr>
                <w:rFonts w:ascii="仿宋_GB2312" w:hAnsi="仿宋_GB2312" w:cs="仿宋_GB2312" w:eastAsia="仿宋_GB2312"/>
                <w:sz w:val="20"/>
              </w:rPr>
              <w:t>2.2、保险人在投保人有注册学生人员变动、名称或地址变更、合并、注销、分立、设立分校等事宜时，做好上述事项的保全服务工作，并在接到学校批改申请材料的3个工作日内出具批单。对于学校注册学生变动不超过5%的，保险公司不再额外收取或退还保险费。</w:t>
            </w:r>
          </w:p>
          <w:p>
            <w:pPr>
              <w:pStyle w:val="null3"/>
              <w:ind w:firstLine="402"/>
              <w:jc w:val="left"/>
            </w:pPr>
            <w:r>
              <w:rPr>
                <w:rFonts w:ascii="仿宋_GB2312" w:hAnsi="仿宋_GB2312" w:cs="仿宋_GB2312" w:eastAsia="仿宋_GB2312"/>
                <w:sz w:val="20"/>
                <w:b/>
              </w:rPr>
              <w:t>3、统一的报案理赔服务</w:t>
            </w:r>
          </w:p>
          <w:p>
            <w:pPr>
              <w:pStyle w:val="null3"/>
              <w:ind w:firstLine="400"/>
              <w:jc w:val="left"/>
            </w:pPr>
            <w:r>
              <w:rPr>
                <w:rFonts w:ascii="仿宋_GB2312" w:hAnsi="仿宋_GB2312" w:cs="仿宋_GB2312" w:eastAsia="仿宋_GB2312"/>
                <w:sz w:val="20"/>
              </w:rPr>
              <w:t>3.1、事故的报案：投保人对发生的责任事故，应在24小时内向风险管理顾问和保险人驻当地分支机构报案。对于发生涉及一人或多人学生死亡的责任事故案件，出险学校应在得知事故后立即报案，并同时向当地教育主管部门、政府报告。</w:t>
            </w:r>
          </w:p>
          <w:p>
            <w:pPr>
              <w:pStyle w:val="null3"/>
              <w:ind w:firstLine="400"/>
              <w:jc w:val="left"/>
            </w:pPr>
            <w:r>
              <w:rPr>
                <w:rFonts w:ascii="仿宋_GB2312" w:hAnsi="仿宋_GB2312" w:cs="仿宋_GB2312" w:eastAsia="仿宋_GB2312"/>
                <w:sz w:val="20"/>
              </w:rPr>
              <w:t>3.2、保险人服务职责：应设立报案咨询服务电话，并对学校报案进行登记备案。服务人员在接到客户报案后应立即主动与报案人电话联系，视具体情况确定是否赶赴事故现场，对需赶赴现场的，服务人员应在城区15分钟、城郊30分钟内到场；对无需赶赴现场的，服务人员应在电话中协助被保险人处理相关问题，并指导其完成有关索赔事宜。</w:t>
            </w:r>
          </w:p>
          <w:p>
            <w:pPr>
              <w:pStyle w:val="null3"/>
              <w:ind w:firstLine="400"/>
              <w:jc w:val="left"/>
            </w:pPr>
            <w:r>
              <w:rPr>
                <w:rFonts w:ascii="仿宋_GB2312" w:hAnsi="仿宋_GB2312" w:cs="仿宋_GB2312" w:eastAsia="仿宋_GB2312"/>
                <w:sz w:val="20"/>
              </w:rPr>
              <w:t>3.3、保险人及所属分支机构应成立专门的理赔服务机构，开展理赔服务工作：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1）由有经验的专业理赔人员负责理赔服务工作，并配备相应的办公设备及查勘车辆；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2）设立热线电话，负责受理保险的事故报案、咨询、疑难解答和投诉处理，对于事故报案和客户投诉，保险公司应在3个工作日内作出明确答复；</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对收到的索赔材料进行审核，并在3个工作日内向投保人反馈是否立案以及是否需要补充提供证明材料，对决定拒赔或者不予立案的，出具正式的书面意见。对索赔材料齐全的案件，在立案后的5个工作日内开具赔款通知书；对重大疑难案件应在立案后不超过22个工作日内结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4）保险人对司法部门依法裁决或与投保人、发生伤害事故的学生及监护人三方达成赔偿或者给付协议，5000元以下的案件2个工作日内赔付结案，超过5000元以上金额的，应在达成协议之日起7个工作日内赔付；</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5）对被保险人异地出险的，制定异地理赔服务机制。</w:t>
            </w:r>
          </w:p>
          <w:p>
            <w:pPr>
              <w:pStyle w:val="null3"/>
              <w:ind w:firstLine="402"/>
              <w:jc w:val="left"/>
            </w:pPr>
            <w:r>
              <w:rPr>
                <w:rFonts w:ascii="仿宋_GB2312" w:hAnsi="仿宋_GB2312" w:cs="仿宋_GB2312" w:eastAsia="仿宋_GB2312"/>
                <w:sz w:val="20"/>
                <w:b/>
              </w:rPr>
              <w:t>4、成立保险纠纷协调处理委员会，建立快速案件纠纷处理机制</w:t>
            </w:r>
          </w:p>
          <w:p>
            <w:pPr>
              <w:pStyle w:val="null3"/>
              <w:ind w:firstLine="400"/>
              <w:jc w:val="left"/>
            </w:pPr>
            <w:r>
              <w:rPr>
                <w:rFonts w:ascii="仿宋_GB2312" w:hAnsi="仿宋_GB2312" w:cs="仿宋_GB2312" w:eastAsia="仿宋_GB2312"/>
                <w:sz w:val="20"/>
              </w:rPr>
              <w:t>4.1、保险人应尽可能简化理赔申报程序，缩短理赔结案时间，理赔手续由被保险人在专职理赔人员的指引下直接向保险公司申报办理，投保方不出具相关证明。</w:t>
            </w:r>
          </w:p>
          <w:p>
            <w:pPr>
              <w:pStyle w:val="null3"/>
              <w:ind w:firstLine="400"/>
              <w:jc w:val="left"/>
            </w:pPr>
            <w:r>
              <w:rPr>
                <w:rFonts w:ascii="仿宋_GB2312" w:hAnsi="仿宋_GB2312" w:cs="仿宋_GB2312" w:eastAsia="仿宋_GB2312"/>
                <w:sz w:val="20"/>
              </w:rPr>
              <w:t>4.2、目的：为有效防止和化解校方责任事故对校方和社会的影响，及时有效地协调各方快速处理各类校方责任案件，有效解决保险理赔纠纷，保证和恢复校方正常的教育教学秩序。</w:t>
            </w:r>
          </w:p>
          <w:p>
            <w:pPr>
              <w:pStyle w:val="null3"/>
              <w:jc w:val="both"/>
            </w:pPr>
            <w:r>
              <w:rPr>
                <w:rFonts w:ascii="仿宋_GB2312" w:hAnsi="仿宋_GB2312" w:cs="仿宋_GB2312" w:eastAsia="仿宋_GB2312"/>
                <w:sz w:val="20"/>
              </w:rPr>
              <w:t xml:space="preserve">   4.3、对提交保险纠纷协调处理委员会调解协调处理的案件，保险人、投保人对协调结果应给予认同。如经过协商仍未达成一致意见的，学校或学生及监护人可以向当地仲裁机构申请仲裁或向当地人民法院提起诉讼。</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1、投标报价内包含完成本项目所有保险产品、服务所需的一切费用、全额含税发票及合同实施过程中的不可预见费用等。</w:t>
      </w:r>
    </w:p>
    <w:p>
      <w:pPr>
        <w:pStyle w:val="null3"/>
        <w:ind w:firstLine="400"/>
        <w:jc w:val="left"/>
      </w:pPr>
      <w:r>
        <w:rPr>
          <w:rFonts w:ascii="仿宋_GB2312" w:hAnsi="仿宋_GB2312" w:cs="仿宋_GB2312" w:eastAsia="仿宋_GB2312"/>
          <w:sz w:val="20"/>
        </w:rPr>
        <w:t>2、投标人必须响应招标文件中提出的全部技术要求。如果对其中某些条款不响应时，应在投标文件中逐条列出。</w:t>
      </w:r>
    </w:p>
    <w:p>
      <w:pPr>
        <w:pStyle w:val="null3"/>
        <w:ind w:firstLine="402"/>
        <w:jc w:val="left"/>
      </w:pPr>
      <w:r>
        <w:rPr>
          <w:rFonts w:ascii="仿宋_GB2312" w:hAnsi="仿宋_GB2312" w:cs="仿宋_GB2312" w:eastAsia="仿宋_GB2312"/>
          <w:sz w:val="20"/>
          <w:b/>
        </w:rPr>
        <w:t>3、投标报价与预算价格一致，投标报价低于或高于采购预算，视为废标。投标报价需报出每一类单项险种的保额（如果报出的保额低于保险方案中的保额的作废标处理）。</w:t>
      </w:r>
    </w:p>
    <w:p>
      <w:pPr>
        <w:pStyle w:val="null3"/>
        <w:ind w:firstLine="400"/>
        <w:jc w:val="left"/>
      </w:pPr>
      <w:r>
        <w:rPr>
          <w:rFonts w:ascii="仿宋_GB2312" w:hAnsi="仿宋_GB2312" w:cs="仿宋_GB2312" w:eastAsia="仿宋_GB2312"/>
          <w:sz w:val="20"/>
        </w:rPr>
        <w:t>4、付款方式：以中标单位在中国银保监会备案的现行保险条款为准。</w:t>
      </w:r>
    </w:p>
    <w:p>
      <w:pPr>
        <w:pStyle w:val="null3"/>
        <w:ind w:firstLine="400"/>
        <w:jc w:val="left"/>
      </w:pPr>
      <w:r>
        <w:rPr>
          <w:rFonts w:ascii="仿宋_GB2312" w:hAnsi="仿宋_GB2312" w:cs="仿宋_GB2312" w:eastAsia="仿宋_GB2312"/>
          <w:sz w:val="20"/>
        </w:rPr>
        <w:t>5、凡涉及招标文件的补充说明和修改，均以采购代理机构在海南省政府采购网发布的公告为准。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参加政府采购活动前三年内（成立不足三年的从成立之日起算），在经营活动中没有环保类行政处罚记录：提供承诺函加盖公章</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单位负责人为同一人或者存在直接控股、管理关系的不同投标人，不得参加同一合同项下的政府采购活动：提供承诺函加盖公章</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投标人具有中国保险监督管理委员会属地监管局颁发的《经营保险业务许可证》或《保险许可证》：提供许可证复印件加盖公章</w:t>
            </w:r>
          </w:p>
        </w:tc>
        <w:tc>
          <w:tcPr>
            <w:tcW w:type="dxa" w:w="3322"/>
          </w:tcPr>
          <w:p>
            <w:pPr>
              <w:pStyle w:val="null3"/>
              <w:jc w:val="left"/>
            </w:pPr>
            <w:r>
              <w:rPr>
                <w:rFonts w:ascii="仿宋_GB2312" w:hAnsi="仿宋_GB2312" w:cs="仿宋_GB2312" w:eastAsia="仿宋_GB2312"/>
              </w:rPr>
              <w:t>提供许可证复印件加盖公章</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商务部分50.00分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供应商应按照采购人的要求提供科学、合理、具体、全 面的项目实施方案（包括但不限于： 项目组织计划、服务内容、承保方案、保险责任、产品条款等） 。评审委员会对方案进行综合评分： 1、方案科学、合理、具体、全面，对本项目的适用性强，内容详细、具体，可执行性强，总体编写质量高得10分； 2、方案基本科学、合理、具体、全面，对本项目的适用性较强，内容基本全面，可执行性良好，总体编写质量较好7分； 3、方案内容基本齐全，适用性和可执行性一般，总体编写质量一般得4分； 4、未提供项目实施方案者不得分。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理赔服务方案</w:t>
            </w:r>
          </w:p>
        </w:tc>
        <w:tc>
          <w:tcPr>
            <w:tcW w:type="dxa" w:w="2492"/>
          </w:tcPr>
          <w:p>
            <w:pPr>
              <w:pStyle w:val="null3"/>
              <w:jc w:val="both"/>
            </w:pPr>
            <w:r>
              <w:rPr>
                <w:rFonts w:ascii="仿宋_GB2312" w:hAnsi="仿宋_GB2312" w:cs="仿宋_GB2312" w:eastAsia="仿宋_GB2312"/>
              </w:rPr>
              <w:t>供应商应按照采购人的要求提供科学、合理、具体、全面的理赔服务实施方案。评审委员会对方案的编写质量进行评分： 1、方案科学、合理、具体、全面，对本项目的适用性强，内容详细、具体，可执行性强，总体编写质量高得10分； 2、方案基本科学、合理、具体、全面，对本项目的适用性较强，内容基本全面，可执行性良好，总体编写质量较好得7分； 3、方案内容基本齐全，适用性和可执行性一般，总体编写质量一般得4分； 4、未提供理赔服务方案者不得分。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投诉处理方案</w:t>
            </w:r>
          </w:p>
        </w:tc>
        <w:tc>
          <w:tcPr>
            <w:tcW w:type="dxa" w:w="2492"/>
          </w:tcPr>
          <w:p>
            <w:pPr>
              <w:pStyle w:val="null3"/>
              <w:jc w:val="both"/>
            </w:pPr>
            <w:r>
              <w:rPr>
                <w:rFonts w:ascii="仿宋_GB2312" w:hAnsi="仿宋_GB2312" w:cs="仿宋_GB2312" w:eastAsia="仿宋_GB2312"/>
              </w:rPr>
              <w:t>供应商须提供应对投诉的处理办法和措施。评审委员会对方案的编写质量进行评分： 1、方案科学、合理、具 体、全面，对本项目的适用性强，内容详细、具体，可执行性强，总体编写质量高得10分； 2、方案基本科学、合理、具体、全面，对本项目的适用性较强，内容基本全面，可执行性良好，总体编写质量较好得7分； 3、方案内容基本齐全，适用性和可执行性一般，总体编写质量一般得4分； 4、未提供投诉处理方案者不得分。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增值服务</w:t>
            </w:r>
          </w:p>
        </w:tc>
        <w:tc>
          <w:tcPr>
            <w:tcW w:type="dxa" w:w="2492"/>
          </w:tcPr>
          <w:p>
            <w:pPr>
              <w:pStyle w:val="null3"/>
              <w:jc w:val="both"/>
            </w:pPr>
            <w:r>
              <w:rPr>
                <w:rFonts w:ascii="仿宋_GB2312" w:hAnsi="仿宋_GB2312" w:cs="仿宋_GB2312" w:eastAsia="仿宋_GB2312"/>
              </w:rPr>
              <w:t>供应商承诺在满足采购人要求的正常服务的同时额外提供增值特色服务（如：风险减量、安全宣导等），每增加一条增值特色服务的得2分，本项满分10 分。（提供承诺函加盖公章，格式自拟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供应商自2022年01月01日以来，承保过类似保险项目，每提供一个得2分，满分10分。 证明材料：提供保单抄件或合作协议复印件加盖公章作为证明材料，无证明材料不得分（日期以保单或保险合同/ 协议签订的时间为准）。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综合偿付能力</w:t>
            </w:r>
          </w:p>
        </w:tc>
        <w:tc>
          <w:tcPr>
            <w:tcW w:type="dxa" w:w="2492"/>
          </w:tcPr>
          <w:p>
            <w:pPr>
              <w:pStyle w:val="null3"/>
              <w:jc w:val="both"/>
            </w:pPr>
            <w:r>
              <w:rPr>
                <w:rFonts w:ascii="仿宋_GB2312" w:hAnsi="仿宋_GB2312" w:cs="仿宋_GB2312" w:eastAsia="仿宋_GB2312"/>
              </w:rPr>
              <w:t>供应商或其所属总公司2024年第四季度综合偿付能力充足率： 1、高于200%(不含)的得10分； 2、在170%(不含)~200%(含)的得6分； 3、140%(不含)~170%(含)的得3分； 4、低于140%(含)的得1分。 注： 需提供官网数据（网址截图）或提供投标供应商所属总公司2024年第四季度的偿付能力审计报告复印件,并加盖公章。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消费投诉</w:t>
            </w:r>
          </w:p>
        </w:tc>
        <w:tc>
          <w:tcPr>
            <w:tcW w:type="dxa" w:w="2492"/>
          </w:tcPr>
          <w:p>
            <w:pPr>
              <w:pStyle w:val="null3"/>
              <w:jc w:val="both"/>
            </w:pPr>
            <w:r>
              <w:rPr>
                <w:rFonts w:ascii="仿宋_GB2312" w:hAnsi="仿宋_GB2312" w:cs="仿宋_GB2312" w:eastAsia="仿宋_GB2312"/>
              </w:rPr>
              <w:t>以中国银保监会消费者权益保护局关于2024年第四季度保险消费投诉情况的通报的数据，供应商所属总公司万张保单投诉量的数值进行打分： 1、0.01(不含)以下，得10分; 2、0.01（含）-0.05(不含)，得5分; 3、0.05（含）-0.1(不含)，得3分; 4、0.1（含）及以上，得1分。 注:需提供2024年第四季度保险消费投诉情况的通报附件截图并加盖供应商公章,不提供材料者不得分。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行政处罚</w:t>
            </w:r>
          </w:p>
        </w:tc>
        <w:tc>
          <w:tcPr>
            <w:tcW w:type="dxa" w:w="2492"/>
          </w:tcPr>
          <w:p>
            <w:pPr>
              <w:pStyle w:val="null3"/>
              <w:jc w:val="both"/>
            </w:pPr>
            <w:r>
              <w:rPr>
                <w:rFonts w:ascii="仿宋_GB2312" w:hAnsi="仿宋_GB2312" w:cs="仿宋_GB2312" w:eastAsia="仿宋_GB2312"/>
              </w:rPr>
              <w:t>供应商及其分支机构2024年度至今受国家金融监督管理总局（含原中国银行保险监督管理委员会）行政处罚，每处罚一次扣2分，扣满8分为止。 证明材料：需提供国家金融监督管理总局及原中国银行保险监督管理委员会行政处罚决定书截图，没有记录的供应商提供承诺函并加盖公章，未提供或提供不正确的不得分。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风险综合评级</w:t>
            </w:r>
          </w:p>
        </w:tc>
        <w:tc>
          <w:tcPr>
            <w:tcW w:type="dxa" w:w="2492"/>
          </w:tcPr>
          <w:p>
            <w:pPr>
              <w:pStyle w:val="null3"/>
              <w:jc w:val="both"/>
            </w:pPr>
            <w:r>
              <w:rPr>
                <w:rFonts w:ascii="仿宋_GB2312" w:hAnsi="仿宋_GB2312" w:cs="仿宋_GB2312" w:eastAsia="仿宋_GB2312"/>
              </w:rPr>
              <w:t>根据监管部门在国家金融监督管理总局偿二代监管信息系统中披露的供应商总公司2024年4个季度风险综合评级结果进行评分，每个季度评分等级为： 1、A 类得3分； 2、B 类得 1分； 3、C 类及以下得 0 分； 本项得分为四个季度得分之和。 注：提供国家金融监督管理总局偿二代监管信息系统中披露的供应商总公司2024年4个季度风险综合评级结果关键页截图，加盖供应商公章（不提供或提供的材料不符合要求的不得分）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（1）C18049900-其他保险服务响应报价低于全部通过符合性审查供应商响应报价平均值50%的，即C18049900-其他保险服务响应报价&lt;全部通过符合性审查供应商响应报价平均值×50%。 （2）C18049900-其他保险服务响应报价低于通过符合性审查且报价次低供应商响应报价50%的，即C18049900-其他保险服务响应报价&lt;通过符合性审查且报价次低供应商响应报价×50%。 （3）C18049900-其他保险服务响应报价低于最高限价45%的，即C18049900-其他保险服务响应报价&lt;最高限价×45%。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陵水黎族自治县中小学（幼儿园）2025-2026学年度学生平安保险、校方责任险及无过失责任险项目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陵水黎族自治县中小学（幼儿园）2025-2026学年度学生平安保险、校方责任险及无过失责任险项目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C18049900-其他保险服务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4180000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