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D614DC">
      <w:pPr>
        <w:spacing w:line="360" w:lineRule="auto"/>
        <w:jc w:val="center"/>
        <w:rPr>
          <w:rFonts w:ascii="宋体" w:hAnsi="宋体" w:cs="宋体"/>
          <w:b/>
          <w:sz w:val="32"/>
          <w:szCs w:val="32"/>
        </w:rPr>
      </w:pPr>
      <w:r>
        <w:rPr>
          <w:rFonts w:hint="eastAsia" w:ascii="宋体" w:hAnsi="宋体" w:cs="宋体"/>
          <w:b/>
          <w:sz w:val="32"/>
          <w:szCs w:val="32"/>
        </w:rPr>
        <w:t>采购合同（仅供参考）</w:t>
      </w:r>
    </w:p>
    <w:p w14:paraId="098C0F39">
      <w:pPr>
        <w:spacing w:line="360" w:lineRule="auto"/>
        <w:rPr>
          <w:rFonts w:ascii="宋体" w:hAnsi="宋体" w:cs="宋体"/>
          <w:b/>
          <w:bCs/>
          <w:sz w:val="28"/>
          <w:szCs w:val="28"/>
        </w:rPr>
      </w:pPr>
    </w:p>
    <w:p w14:paraId="7064DCB5">
      <w:pPr>
        <w:spacing w:line="360" w:lineRule="auto"/>
        <w:rPr>
          <w:rFonts w:ascii="宋体" w:hAnsi="宋体" w:cs="宋体"/>
          <w:b/>
          <w:bCs/>
          <w:sz w:val="28"/>
          <w:szCs w:val="28"/>
        </w:rPr>
      </w:pPr>
    </w:p>
    <w:p w14:paraId="36A516BD">
      <w:pPr>
        <w:spacing w:line="360" w:lineRule="auto"/>
        <w:rPr>
          <w:rFonts w:ascii="宋体" w:hAnsi="宋体" w:cs="宋体"/>
          <w:b/>
          <w:bCs/>
          <w:sz w:val="28"/>
          <w:szCs w:val="28"/>
        </w:rPr>
      </w:pPr>
    </w:p>
    <w:p w14:paraId="73F558C8">
      <w:pPr>
        <w:spacing w:line="360" w:lineRule="auto"/>
        <w:rPr>
          <w:rFonts w:ascii="宋体" w:hAnsi="宋体" w:cs="宋体"/>
          <w:b/>
          <w:bCs/>
          <w:sz w:val="28"/>
          <w:szCs w:val="28"/>
        </w:rPr>
      </w:pPr>
    </w:p>
    <w:p w14:paraId="3907AC20">
      <w:pPr>
        <w:spacing w:line="360" w:lineRule="auto"/>
        <w:rPr>
          <w:rFonts w:ascii="宋体" w:hAnsi="宋体" w:cs="宋体"/>
          <w:b/>
          <w:bCs/>
          <w:sz w:val="28"/>
          <w:szCs w:val="28"/>
        </w:rPr>
      </w:pPr>
    </w:p>
    <w:p w14:paraId="0EEC8BA6">
      <w:pPr>
        <w:spacing w:line="360" w:lineRule="auto"/>
        <w:rPr>
          <w:rFonts w:ascii="宋体" w:hAnsi="宋体" w:cs="宋体"/>
          <w:b/>
          <w:bCs/>
          <w:sz w:val="28"/>
          <w:szCs w:val="28"/>
        </w:rPr>
      </w:pPr>
    </w:p>
    <w:p w14:paraId="15363479">
      <w:pPr>
        <w:spacing w:line="360" w:lineRule="auto"/>
        <w:rPr>
          <w:rFonts w:ascii="宋体" w:hAnsi="宋体" w:cs="宋体"/>
          <w:b/>
          <w:bCs/>
          <w:sz w:val="28"/>
          <w:szCs w:val="28"/>
        </w:rPr>
      </w:pPr>
    </w:p>
    <w:p w14:paraId="53FB3862">
      <w:pPr>
        <w:spacing w:line="360" w:lineRule="auto"/>
        <w:rPr>
          <w:rFonts w:hint="default" w:ascii="宋体" w:hAnsi="宋体" w:eastAsia="宋体" w:cs="宋体"/>
          <w:b/>
          <w:sz w:val="28"/>
          <w:szCs w:val="28"/>
          <w:lang w:val="en-US" w:eastAsia="zh-CN"/>
        </w:rPr>
      </w:pPr>
      <w:r>
        <w:rPr>
          <w:rFonts w:hint="eastAsia" w:ascii="宋体" w:hAnsi="宋体" w:cs="宋体"/>
          <w:b/>
          <w:bCs/>
          <w:sz w:val="28"/>
          <w:szCs w:val="28"/>
        </w:rPr>
        <w:t>项目编号：</w:t>
      </w:r>
      <w:r>
        <w:rPr>
          <w:rFonts w:hint="eastAsia" w:ascii="宋体" w:hAnsi="宋体" w:cs="宋体"/>
          <w:b/>
          <w:bCs/>
          <w:sz w:val="28"/>
          <w:szCs w:val="28"/>
          <w:u w:val="single"/>
        </w:rPr>
        <w:t xml:space="preserve">     </w:t>
      </w:r>
      <w:r>
        <w:rPr>
          <w:rFonts w:hint="eastAsia" w:ascii="宋体" w:hAnsi="宋体" w:cs="宋体"/>
          <w:b/>
          <w:bCs/>
          <w:sz w:val="28"/>
          <w:szCs w:val="28"/>
          <w:u w:val="single"/>
          <w:lang w:val="en-US" w:eastAsia="zh-CN"/>
        </w:rPr>
        <w:t xml:space="preserve">  </w:t>
      </w:r>
    </w:p>
    <w:p w14:paraId="0E72021A">
      <w:pPr>
        <w:spacing w:line="360" w:lineRule="auto"/>
        <w:ind w:left="4216" w:hanging="4216" w:hangingChars="1500"/>
        <w:outlineLvl w:val="0"/>
        <w:rPr>
          <w:rFonts w:hint="default" w:ascii="宋体" w:hAnsi="宋体" w:eastAsia="宋体" w:cs="宋体"/>
          <w:b/>
          <w:bCs/>
          <w:sz w:val="28"/>
          <w:szCs w:val="28"/>
          <w:u w:val="single"/>
          <w:lang w:val="en-US" w:eastAsia="zh-CN"/>
        </w:rPr>
      </w:pPr>
      <w:bookmarkStart w:id="0" w:name="_Toc23009"/>
      <w:bookmarkStart w:id="1" w:name="_Toc7256"/>
      <w:bookmarkStart w:id="2" w:name="_Toc28047"/>
      <w:r>
        <w:rPr>
          <w:rFonts w:hint="eastAsia" w:ascii="宋体" w:hAnsi="宋体" w:cs="宋体"/>
          <w:b/>
          <w:bCs/>
          <w:sz w:val="28"/>
          <w:szCs w:val="28"/>
        </w:rPr>
        <w:t>项目名称：</w:t>
      </w:r>
      <w:bookmarkEnd w:id="0"/>
      <w:bookmarkEnd w:id="1"/>
      <w:bookmarkEnd w:id="2"/>
      <w:r>
        <w:rPr>
          <w:rFonts w:hint="eastAsia" w:ascii="宋体" w:hAnsi="宋体" w:cs="宋体"/>
          <w:b/>
          <w:bCs/>
          <w:sz w:val="28"/>
          <w:szCs w:val="28"/>
          <w:u w:val="single"/>
          <w:lang w:val="en-US" w:eastAsia="zh-CN"/>
        </w:rPr>
        <w:t xml:space="preserve">      </w:t>
      </w:r>
    </w:p>
    <w:p w14:paraId="50377AE0">
      <w:pPr>
        <w:spacing w:line="360" w:lineRule="auto"/>
        <w:outlineLvl w:val="0"/>
        <w:rPr>
          <w:rFonts w:ascii="宋体" w:hAnsi="宋体" w:cs="宋体"/>
          <w:b/>
          <w:bCs/>
          <w:sz w:val="28"/>
          <w:szCs w:val="28"/>
          <w:u w:val="single"/>
        </w:rPr>
      </w:pPr>
      <w:bookmarkStart w:id="3" w:name="_Toc2013"/>
      <w:bookmarkStart w:id="4" w:name="_Toc19172"/>
      <w:bookmarkStart w:id="5" w:name="_Toc31709"/>
      <w:r>
        <w:rPr>
          <w:rFonts w:hint="eastAsia" w:ascii="宋体" w:hAnsi="宋体" w:cs="宋体"/>
          <w:b/>
          <w:bCs/>
          <w:sz w:val="28"/>
          <w:szCs w:val="28"/>
        </w:rPr>
        <w:t>合同编号</w:t>
      </w:r>
      <w:r>
        <w:rPr>
          <w:rFonts w:hint="eastAsia" w:ascii="宋体" w:hAnsi="宋体" w:cs="宋体"/>
          <w:sz w:val="28"/>
          <w:szCs w:val="28"/>
        </w:rPr>
        <w:t>：</w:t>
      </w:r>
      <w:bookmarkEnd w:id="3"/>
      <w:bookmarkEnd w:id="4"/>
      <w:bookmarkEnd w:id="5"/>
    </w:p>
    <w:p w14:paraId="117A22FB">
      <w:pPr>
        <w:spacing w:line="360" w:lineRule="auto"/>
        <w:ind w:firstLine="1653" w:firstLineChars="588"/>
        <w:rPr>
          <w:rFonts w:hint="default" w:ascii="宋体" w:hAnsi="宋体" w:eastAsia="宋体" w:cs="宋体"/>
          <w:b/>
          <w:bCs/>
          <w:sz w:val="28"/>
          <w:szCs w:val="28"/>
          <w:u w:val="single"/>
          <w:lang w:val="en-US" w:eastAsia="zh-CN"/>
        </w:rPr>
      </w:pPr>
      <w:r>
        <w:rPr>
          <w:rFonts w:hint="eastAsia" w:ascii="宋体" w:hAnsi="宋体" w:cs="宋体"/>
          <w:b/>
          <w:bCs/>
          <w:sz w:val="28"/>
          <w:szCs w:val="28"/>
        </w:rPr>
        <w:t xml:space="preserve">    甲方：</w:t>
      </w:r>
      <w:r>
        <w:rPr>
          <w:rFonts w:hint="eastAsia" w:ascii="宋体" w:hAnsi="宋体" w:cs="宋体"/>
          <w:b/>
          <w:bCs/>
          <w:sz w:val="28"/>
          <w:szCs w:val="28"/>
          <w:u w:val="single"/>
          <w:lang w:val="en-US" w:eastAsia="zh-CN"/>
        </w:rPr>
        <w:t xml:space="preserve">            </w:t>
      </w:r>
    </w:p>
    <w:p w14:paraId="76FFB5FF">
      <w:pPr>
        <w:spacing w:line="360" w:lineRule="auto"/>
        <w:ind w:firstLine="1653" w:firstLineChars="588"/>
        <w:rPr>
          <w:rFonts w:ascii="宋体" w:hAnsi="宋体" w:cs="宋体"/>
          <w:b/>
          <w:bCs/>
          <w:sz w:val="28"/>
          <w:szCs w:val="28"/>
          <w:u w:val="single"/>
        </w:rPr>
      </w:pPr>
      <w:r>
        <w:rPr>
          <w:rFonts w:hint="eastAsia" w:ascii="宋体" w:hAnsi="宋体" w:cs="宋体"/>
          <w:b/>
          <w:bCs/>
          <w:sz w:val="28"/>
          <w:szCs w:val="28"/>
        </w:rPr>
        <w:t xml:space="preserve">    乙方：</w:t>
      </w:r>
      <w:r>
        <w:rPr>
          <w:rFonts w:hint="eastAsia" w:ascii="宋体" w:hAnsi="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cs="宋体"/>
          <w:b/>
          <w:bCs/>
          <w:sz w:val="28"/>
          <w:szCs w:val="28"/>
          <w:u w:val="single"/>
        </w:rPr>
        <w:t xml:space="preserve"> </w:t>
      </w:r>
    </w:p>
    <w:p w14:paraId="0A7AED74">
      <w:pPr>
        <w:spacing w:line="360" w:lineRule="auto"/>
        <w:jc w:val="center"/>
        <w:rPr>
          <w:rFonts w:ascii="宋体" w:hAnsi="宋体" w:cs="宋体"/>
          <w:b/>
          <w:sz w:val="28"/>
          <w:szCs w:val="28"/>
        </w:rPr>
      </w:pPr>
    </w:p>
    <w:p w14:paraId="7126724B">
      <w:pPr>
        <w:spacing w:line="360" w:lineRule="auto"/>
        <w:jc w:val="center"/>
        <w:rPr>
          <w:rFonts w:ascii="宋体" w:hAnsi="宋体" w:cs="宋体"/>
          <w:b/>
          <w:sz w:val="28"/>
          <w:szCs w:val="28"/>
        </w:rPr>
      </w:pPr>
    </w:p>
    <w:p w14:paraId="19124F99">
      <w:pPr>
        <w:spacing w:line="360" w:lineRule="auto"/>
        <w:jc w:val="center"/>
        <w:rPr>
          <w:rFonts w:ascii="宋体" w:hAnsi="宋体" w:cs="宋体"/>
          <w:b/>
          <w:sz w:val="28"/>
          <w:szCs w:val="28"/>
        </w:rPr>
      </w:pPr>
      <w:r>
        <w:rPr>
          <w:rFonts w:hint="eastAsia" w:ascii="宋体" w:hAnsi="宋体" w:cs="宋体"/>
          <w:b/>
          <w:sz w:val="28"/>
          <w:szCs w:val="28"/>
        </w:rPr>
        <w:t>签订日期：</w:t>
      </w:r>
      <w:r>
        <w:rPr>
          <w:rFonts w:hint="eastAsia" w:ascii="宋体" w:hAnsi="宋体" w:cs="宋体"/>
          <w:b/>
          <w:sz w:val="28"/>
          <w:szCs w:val="28"/>
          <w:lang w:val="en-US" w:eastAsia="zh-CN"/>
        </w:rPr>
        <w:t xml:space="preserve">  </w:t>
      </w:r>
      <w:r>
        <w:rPr>
          <w:rFonts w:hint="eastAsia" w:ascii="宋体" w:hAnsi="宋体" w:cs="宋体"/>
          <w:b/>
          <w:sz w:val="28"/>
          <w:szCs w:val="28"/>
        </w:rPr>
        <w:t>年</w:t>
      </w:r>
      <w:r>
        <w:rPr>
          <w:rFonts w:hint="eastAsia" w:ascii="宋体" w:hAnsi="宋体" w:cs="宋体"/>
          <w:b/>
          <w:sz w:val="28"/>
          <w:szCs w:val="28"/>
          <w:lang w:val="en-US" w:eastAsia="zh-CN"/>
        </w:rPr>
        <w:t xml:space="preserve">   </w:t>
      </w:r>
      <w:r>
        <w:rPr>
          <w:rFonts w:hint="eastAsia" w:ascii="宋体" w:hAnsi="宋体" w:cs="宋体"/>
          <w:b/>
          <w:sz w:val="28"/>
          <w:szCs w:val="28"/>
        </w:rPr>
        <w:t>月</w:t>
      </w:r>
      <w:r>
        <w:rPr>
          <w:rFonts w:hint="eastAsia" w:ascii="宋体" w:hAnsi="宋体" w:cs="宋体"/>
          <w:b/>
          <w:sz w:val="28"/>
          <w:szCs w:val="28"/>
          <w:lang w:val="en-US" w:eastAsia="zh-CN"/>
        </w:rPr>
        <w:t xml:space="preserve">  </w:t>
      </w:r>
      <w:r>
        <w:rPr>
          <w:rFonts w:hint="eastAsia" w:ascii="宋体" w:hAnsi="宋体" w:cs="宋体"/>
          <w:b/>
          <w:sz w:val="28"/>
          <w:szCs w:val="28"/>
        </w:rPr>
        <w:t>日</w:t>
      </w:r>
    </w:p>
    <w:p w14:paraId="2BB3B7D5">
      <w:pPr>
        <w:spacing w:line="240" w:lineRule="exact"/>
        <w:jc w:val="left"/>
        <w:rPr>
          <w:rFonts w:ascii="宋体" w:hAnsi="宋体" w:cs="宋体"/>
          <w:b/>
          <w:sz w:val="24"/>
        </w:rPr>
      </w:pPr>
    </w:p>
    <w:p w14:paraId="3536A5BF">
      <w:pPr>
        <w:spacing w:line="240" w:lineRule="exact"/>
        <w:jc w:val="left"/>
        <w:rPr>
          <w:rFonts w:ascii="宋体" w:hAnsi="宋体" w:cs="宋体"/>
          <w:b/>
          <w:sz w:val="24"/>
        </w:rPr>
      </w:pPr>
    </w:p>
    <w:p w14:paraId="675F9CF5">
      <w:pPr>
        <w:spacing w:line="240" w:lineRule="exact"/>
        <w:jc w:val="left"/>
        <w:rPr>
          <w:rFonts w:ascii="宋体" w:hAnsi="宋体" w:cs="宋体"/>
          <w:b/>
          <w:sz w:val="24"/>
        </w:rPr>
      </w:pPr>
    </w:p>
    <w:p w14:paraId="04D9A0EB">
      <w:pPr>
        <w:spacing w:line="240" w:lineRule="exact"/>
        <w:jc w:val="left"/>
        <w:rPr>
          <w:rFonts w:ascii="宋体" w:hAnsi="宋体" w:cs="宋体"/>
          <w:b/>
          <w:sz w:val="24"/>
        </w:rPr>
      </w:pPr>
    </w:p>
    <w:p w14:paraId="2A2956AA">
      <w:pPr>
        <w:snapToGrid w:val="0"/>
        <w:spacing w:before="19" w:line="480" w:lineRule="auto"/>
        <w:rPr>
          <w:rFonts w:hint="eastAsia" w:ascii="宋体" w:hAnsi="宋体" w:cs="宋体"/>
          <w:sz w:val="24"/>
        </w:rPr>
      </w:pPr>
    </w:p>
    <w:p w14:paraId="67FAFFD6">
      <w:pPr>
        <w:rPr>
          <w:rFonts w:hint="eastAsia" w:ascii="宋体" w:hAnsi="宋体" w:cs="宋体"/>
          <w:sz w:val="24"/>
        </w:rPr>
      </w:pPr>
      <w:r>
        <w:rPr>
          <w:rFonts w:hint="eastAsia" w:ascii="宋体" w:hAnsi="宋体" w:cs="宋体"/>
          <w:sz w:val="24"/>
        </w:rPr>
        <w:br w:type="page"/>
      </w:r>
    </w:p>
    <w:p w14:paraId="326952BB">
      <w:pPr>
        <w:snapToGrid w:val="0"/>
        <w:spacing w:before="19" w:line="480" w:lineRule="auto"/>
        <w:rPr>
          <w:rFonts w:hint="default" w:ascii="宋体" w:hAnsi="宋体" w:eastAsia="宋体" w:cs="宋体"/>
          <w:bCs/>
          <w:sz w:val="24"/>
          <w:u w:val="single"/>
          <w:lang w:val="en-US" w:eastAsia="zh-CN"/>
        </w:rPr>
      </w:pPr>
      <w:r>
        <w:rPr>
          <w:rFonts w:hint="eastAsia" w:ascii="宋体" w:hAnsi="宋体" w:cs="宋体"/>
          <w:sz w:val="24"/>
        </w:rPr>
        <w:t>甲方：</w:t>
      </w:r>
      <w:r>
        <w:rPr>
          <w:rFonts w:hint="eastAsia" w:ascii="宋体" w:hAnsi="宋体" w:cs="宋体"/>
          <w:b/>
          <w:sz w:val="24"/>
          <w:u w:val="single"/>
          <w:lang w:val="en-US" w:eastAsia="zh-CN"/>
        </w:rPr>
        <w:t xml:space="preserve">     </w:t>
      </w:r>
    </w:p>
    <w:p w14:paraId="76EA8B6D">
      <w:pPr>
        <w:snapToGrid w:val="0"/>
        <w:spacing w:line="480" w:lineRule="auto"/>
        <w:rPr>
          <w:rFonts w:ascii="宋体" w:hAnsi="宋体" w:cs="宋体"/>
          <w:b/>
          <w:sz w:val="24"/>
          <w:u w:val="single"/>
        </w:rPr>
      </w:pPr>
      <w:r>
        <w:rPr>
          <w:rFonts w:hint="eastAsia" w:ascii="宋体" w:hAnsi="宋体" w:cs="宋体"/>
          <w:bCs/>
          <w:sz w:val="24"/>
        </w:rPr>
        <w:t>乙方：</w:t>
      </w:r>
      <w:r>
        <w:rPr>
          <w:rFonts w:hint="eastAsia" w:ascii="宋体" w:hAnsi="宋体" w:cs="宋体"/>
          <w:b/>
          <w:sz w:val="24"/>
          <w:u w:val="single"/>
        </w:rPr>
        <w:t>中标人</w:t>
      </w:r>
    </w:p>
    <w:p w14:paraId="3687E604">
      <w:pPr>
        <w:snapToGrid w:val="0"/>
        <w:spacing w:line="440" w:lineRule="exact"/>
        <w:ind w:firstLine="480" w:firstLineChars="200"/>
        <w:rPr>
          <w:rFonts w:ascii="宋体" w:hAnsi="宋体" w:cs="宋体"/>
          <w:b/>
          <w:sz w:val="36"/>
          <w:szCs w:val="36"/>
        </w:rPr>
      </w:pPr>
      <w:r>
        <w:rPr>
          <w:rFonts w:hint="eastAsia" w:ascii="宋体" w:hAnsi="宋体" w:cs="宋体"/>
          <w:sz w:val="24"/>
        </w:rPr>
        <w:t>甲乙双方根据年月日</w:t>
      </w:r>
      <w:r>
        <w:rPr>
          <w:rFonts w:hint="eastAsia" w:ascii="宋体" w:hAnsi="宋体" w:cs="宋体"/>
          <w:b/>
          <w:bCs/>
          <w:sz w:val="28"/>
          <w:szCs w:val="28"/>
          <w:u w:val="single"/>
          <w:lang w:val="en-US" w:eastAsia="zh-CN"/>
        </w:rPr>
        <w:t xml:space="preserve">     </w:t>
      </w:r>
      <w:r>
        <w:rPr>
          <w:rFonts w:hint="eastAsia" w:ascii="宋体" w:hAnsi="宋体" w:cs="宋体"/>
          <w:b/>
          <w:bCs/>
          <w:sz w:val="24"/>
          <w:u w:val="single"/>
        </w:rPr>
        <w:t>（项目编号：</w:t>
      </w:r>
      <w:r>
        <w:rPr>
          <w:rFonts w:hint="eastAsia" w:ascii="宋体" w:hAnsi="宋体" w:cs="宋体"/>
          <w:b/>
          <w:bCs/>
          <w:sz w:val="24"/>
          <w:u w:val="single"/>
          <w:lang w:val="en-US" w:eastAsia="zh-CN"/>
        </w:rPr>
        <w:t xml:space="preserve">  </w:t>
      </w:r>
      <w:r>
        <w:rPr>
          <w:rFonts w:hint="eastAsia" w:ascii="宋体" w:hAnsi="宋体" w:cs="宋体"/>
          <w:b/>
          <w:bCs/>
          <w:sz w:val="24"/>
          <w:u w:val="single"/>
        </w:rPr>
        <w:t>）</w:t>
      </w:r>
      <w:r>
        <w:rPr>
          <w:rFonts w:hint="eastAsia" w:ascii="宋体" w:hAnsi="宋体" w:cs="宋体"/>
          <w:sz w:val="24"/>
        </w:rPr>
        <w:t>公开招标采购结果及招标文件的要求，经协商一致，达成以下协议。</w:t>
      </w:r>
    </w:p>
    <w:p w14:paraId="1BF0F792">
      <w:pPr>
        <w:snapToGrid w:val="0"/>
        <w:spacing w:before="156" w:beforeLines="50" w:after="156" w:afterLines="50" w:line="440" w:lineRule="exact"/>
        <w:rPr>
          <w:rFonts w:ascii="宋体" w:hAnsi="宋体" w:cs="宋体"/>
          <w:b/>
          <w:sz w:val="24"/>
        </w:rPr>
      </w:pPr>
      <w:r>
        <w:rPr>
          <w:rFonts w:hint="eastAsia" w:ascii="宋体" w:hAnsi="宋体" w:cs="宋体"/>
          <w:b/>
          <w:sz w:val="24"/>
        </w:rPr>
        <w:t>一、合同标的及金额等（详见附件清单）</w:t>
      </w:r>
    </w:p>
    <w:tbl>
      <w:tblPr>
        <w:tblStyle w:val="3"/>
        <w:tblW w:w="9750" w:type="dxa"/>
        <w:tblInd w:w="-303" w:type="dxa"/>
        <w:tblLayout w:type="fixed"/>
        <w:tblCellMar>
          <w:top w:w="0" w:type="dxa"/>
          <w:left w:w="30" w:type="dxa"/>
          <w:bottom w:w="0" w:type="dxa"/>
          <w:right w:w="30" w:type="dxa"/>
        </w:tblCellMar>
      </w:tblPr>
      <w:tblGrid>
        <w:gridCol w:w="611"/>
        <w:gridCol w:w="1710"/>
        <w:gridCol w:w="2548"/>
        <w:gridCol w:w="1220"/>
        <w:gridCol w:w="1220"/>
        <w:gridCol w:w="1220"/>
        <w:gridCol w:w="1221"/>
      </w:tblGrid>
      <w:tr w14:paraId="05A024E9">
        <w:tblPrEx>
          <w:tblCellMar>
            <w:top w:w="0" w:type="dxa"/>
            <w:left w:w="30" w:type="dxa"/>
            <w:bottom w:w="0" w:type="dxa"/>
            <w:right w:w="30" w:type="dxa"/>
          </w:tblCellMar>
        </w:tblPrEx>
        <w:trPr>
          <w:trHeight w:val="108" w:hRule="atLeast"/>
        </w:trPr>
        <w:tc>
          <w:tcPr>
            <w:tcW w:w="611" w:type="dxa"/>
            <w:tcBorders>
              <w:top w:val="single" w:color="auto" w:sz="8" w:space="0"/>
              <w:left w:val="single" w:color="auto" w:sz="8" w:space="0"/>
              <w:bottom w:val="single" w:color="auto" w:sz="8" w:space="0"/>
              <w:right w:val="single" w:color="auto" w:sz="8" w:space="0"/>
            </w:tcBorders>
            <w:shd w:val="clear" w:color="auto" w:fill="D9D9D9"/>
            <w:vAlign w:val="center"/>
          </w:tcPr>
          <w:p w14:paraId="550B49C9">
            <w:pPr>
              <w:autoSpaceDE w:val="0"/>
              <w:autoSpaceDN w:val="0"/>
              <w:adjustRightInd w:val="0"/>
              <w:spacing w:before="93" w:beforeLines="30" w:after="93" w:afterLines="30" w:line="440" w:lineRule="exact"/>
              <w:jc w:val="center"/>
              <w:rPr>
                <w:rFonts w:ascii="宋体" w:hAnsi="宋体" w:cs="宋体"/>
                <w:b/>
                <w:sz w:val="24"/>
              </w:rPr>
            </w:pPr>
            <w:r>
              <w:rPr>
                <w:rFonts w:hint="eastAsia" w:ascii="宋体" w:hAnsi="宋体" w:cs="宋体"/>
                <w:b/>
                <w:sz w:val="24"/>
              </w:rPr>
              <w:t>序号</w:t>
            </w:r>
          </w:p>
        </w:tc>
        <w:tc>
          <w:tcPr>
            <w:tcW w:w="1710" w:type="dxa"/>
            <w:tcBorders>
              <w:top w:val="single" w:color="auto" w:sz="8" w:space="0"/>
              <w:left w:val="single" w:color="auto" w:sz="8" w:space="0"/>
              <w:bottom w:val="single" w:color="auto" w:sz="8" w:space="0"/>
              <w:right w:val="single" w:color="auto" w:sz="8" w:space="0"/>
            </w:tcBorders>
            <w:shd w:val="clear" w:color="auto" w:fill="D9D9D9"/>
            <w:vAlign w:val="center"/>
          </w:tcPr>
          <w:p w14:paraId="75E88955">
            <w:pPr>
              <w:autoSpaceDE w:val="0"/>
              <w:autoSpaceDN w:val="0"/>
              <w:adjustRightInd w:val="0"/>
              <w:spacing w:before="93" w:beforeLines="30" w:after="93" w:afterLines="30" w:line="440" w:lineRule="exact"/>
              <w:jc w:val="center"/>
              <w:rPr>
                <w:rFonts w:ascii="宋体" w:hAnsi="宋体" w:cs="宋体"/>
                <w:b/>
                <w:sz w:val="24"/>
              </w:rPr>
            </w:pPr>
            <w:r>
              <w:rPr>
                <w:rFonts w:hint="eastAsia" w:ascii="宋体" w:hAnsi="宋体" w:cs="宋体"/>
                <w:b/>
                <w:sz w:val="24"/>
              </w:rPr>
              <w:t>货物名称</w:t>
            </w:r>
          </w:p>
        </w:tc>
        <w:tc>
          <w:tcPr>
            <w:tcW w:w="2548" w:type="dxa"/>
            <w:tcBorders>
              <w:top w:val="single" w:color="auto" w:sz="8" w:space="0"/>
              <w:left w:val="single" w:color="auto" w:sz="8" w:space="0"/>
              <w:bottom w:val="single" w:color="auto" w:sz="8" w:space="0"/>
              <w:right w:val="single" w:color="auto" w:sz="8" w:space="0"/>
            </w:tcBorders>
            <w:shd w:val="clear" w:color="auto" w:fill="D9D9D9"/>
            <w:vAlign w:val="center"/>
          </w:tcPr>
          <w:p w14:paraId="2ED8EC90">
            <w:pPr>
              <w:autoSpaceDE w:val="0"/>
              <w:autoSpaceDN w:val="0"/>
              <w:adjustRightInd w:val="0"/>
              <w:spacing w:before="93" w:beforeLines="30" w:after="93" w:afterLines="30" w:line="440" w:lineRule="exact"/>
              <w:jc w:val="center"/>
              <w:rPr>
                <w:rFonts w:ascii="宋体" w:hAnsi="宋体" w:cs="宋体"/>
                <w:b/>
                <w:sz w:val="24"/>
              </w:rPr>
            </w:pPr>
            <w:r>
              <w:rPr>
                <w:rFonts w:hint="eastAsia" w:ascii="宋体" w:hAnsi="宋体" w:cs="宋体"/>
                <w:b/>
                <w:sz w:val="24"/>
              </w:rPr>
              <w:t>品牌型号、规格配置</w:t>
            </w:r>
          </w:p>
        </w:tc>
        <w:tc>
          <w:tcPr>
            <w:tcW w:w="1220" w:type="dxa"/>
            <w:tcBorders>
              <w:top w:val="single" w:color="auto" w:sz="8" w:space="0"/>
              <w:left w:val="single" w:color="auto" w:sz="8" w:space="0"/>
              <w:bottom w:val="single" w:color="auto" w:sz="8" w:space="0"/>
              <w:right w:val="single" w:color="auto" w:sz="8" w:space="0"/>
            </w:tcBorders>
            <w:shd w:val="clear" w:color="auto" w:fill="D9D9D9"/>
            <w:vAlign w:val="center"/>
          </w:tcPr>
          <w:p w14:paraId="5058D022">
            <w:pPr>
              <w:autoSpaceDE w:val="0"/>
              <w:autoSpaceDN w:val="0"/>
              <w:adjustRightInd w:val="0"/>
              <w:spacing w:before="93" w:beforeLines="30" w:after="93" w:afterLines="30" w:line="440" w:lineRule="exact"/>
              <w:jc w:val="center"/>
              <w:rPr>
                <w:rFonts w:ascii="宋体" w:hAnsi="宋体" w:cs="宋体"/>
                <w:b/>
                <w:sz w:val="24"/>
              </w:rPr>
            </w:pPr>
            <w:r>
              <w:rPr>
                <w:rFonts w:hint="eastAsia" w:ascii="宋体" w:hAnsi="宋体" w:cs="宋体"/>
                <w:b/>
                <w:sz w:val="24"/>
              </w:rPr>
              <w:t>单价（元）</w:t>
            </w:r>
          </w:p>
        </w:tc>
        <w:tc>
          <w:tcPr>
            <w:tcW w:w="1220" w:type="dxa"/>
            <w:tcBorders>
              <w:top w:val="single" w:color="auto" w:sz="8" w:space="0"/>
              <w:left w:val="single" w:color="auto" w:sz="8" w:space="0"/>
              <w:bottom w:val="single" w:color="auto" w:sz="8" w:space="0"/>
              <w:right w:val="single" w:color="auto" w:sz="8" w:space="0"/>
            </w:tcBorders>
            <w:shd w:val="clear" w:color="auto" w:fill="D9D9D9"/>
            <w:vAlign w:val="center"/>
          </w:tcPr>
          <w:p w14:paraId="2AF6A7B4">
            <w:pPr>
              <w:autoSpaceDE w:val="0"/>
              <w:autoSpaceDN w:val="0"/>
              <w:adjustRightInd w:val="0"/>
              <w:spacing w:before="93" w:beforeLines="30" w:after="93" w:afterLines="30" w:line="440" w:lineRule="exact"/>
              <w:jc w:val="center"/>
              <w:rPr>
                <w:rFonts w:ascii="宋体" w:hAnsi="宋体" w:cs="宋体"/>
                <w:b/>
                <w:sz w:val="24"/>
              </w:rPr>
            </w:pPr>
            <w:r>
              <w:rPr>
                <w:rFonts w:hint="eastAsia" w:ascii="宋体" w:hAnsi="宋体" w:cs="宋体"/>
                <w:b/>
                <w:sz w:val="24"/>
              </w:rPr>
              <w:t>数量</w:t>
            </w:r>
          </w:p>
        </w:tc>
        <w:tc>
          <w:tcPr>
            <w:tcW w:w="1220" w:type="dxa"/>
            <w:tcBorders>
              <w:top w:val="single" w:color="auto" w:sz="8" w:space="0"/>
              <w:left w:val="single" w:color="auto" w:sz="8" w:space="0"/>
              <w:bottom w:val="single" w:color="auto" w:sz="8" w:space="0"/>
              <w:right w:val="single" w:color="auto" w:sz="8" w:space="0"/>
            </w:tcBorders>
            <w:shd w:val="clear" w:color="auto" w:fill="D9D9D9"/>
            <w:vAlign w:val="center"/>
          </w:tcPr>
          <w:p w14:paraId="20A12841">
            <w:pPr>
              <w:autoSpaceDE w:val="0"/>
              <w:autoSpaceDN w:val="0"/>
              <w:adjustRightInd w:val="0"/>
              <w:spacing w:before="93" w:beforeLines="30" w:after="93" w:afterLines="30" w:line="440" w:lineRule="exact"/>
              <w:jc w:val="center"/>
              <w:rPr>
                <w:rFonts w:ascii="宋体" w:hAnsi="宋体" w:cs="宋体"/>
                <w:b/>
                <w:sz w:val="24"/>
              </w:rPr>
            </w:pPr>
            <w:r>
              <w:rPr>
                <w:rFonts w:hint="eastAsia" w:ascii="宋体" w:hAnsi="宋体" w:cs="宋体"/>
                <w:b/>
                <w:sz w:val="24"/>
              </w:rPr>
              <w:t>合计（元）</w:t>
            </w:r>
          </w:p>
        </w:tc>
        <w:tc>
          <w:tcPr>
            <w:tcW w:w="1221" w:type="dxa"/>
            <w:tcBorders>
              <w:top w:val="single" w:color="auto" w:sz="8" w:space="0"/>
              <w:left w:val="single" w:color="auto" w:sz="8" w:space="0"/>
              <w:bottom w:val="single" w:color="auto" w:sz="8" w:space="0"/>
              <w:right w:val="single" w:color="auto" w:sz="8" w:space="0"/>
            </w:tcBorders>
            <w:shd w:val="clear" w:color="auto" w:fill="D9D9D9"/>
            <w:vAlign w:val="center"/>
          </w:tcPr>
          <w:p w14:paraId="1184AC2A">
            <w:pPr>
              <w:autoSpaceDE w:val="0"/>
              <w:autoSpaceDN w:val="0"/>
              <w:adjustRightInd w:val="0"/>
              <w:spacing w:before="93" w:beforeLines="30" w:after="93" w:afterLines="30" w:line="440" w:lineRule="exact"/>
              <w:jc w:val="center"/>
              <w:rPr>
                <w:rFonts w:ascii="宋体" w:hAnsi="宋体" w:cs="宋体"/>
                <w:b/>
                <w:sz w:val="24"/>
              </w:rPr>
            </w:pPr>
            <w:r>
              <w:rPr>
                <w:rFonts w:hint="eastAsia" w:ascii="宋体" w:hAnsi="宋体" w:cs="宋体"/>
                <w:b/>
                <w:sz w:val="24"/>
              </w:rPr>
              <w:t>备注</w:t>
            </w:r>
          </w:p>
        </w:tc>
      </w:tr>
      <w:tr w14:paraId="1B8F61D5">
        <w:tblPrEx>
          <w:tblCellMar>
            <w:top w:w="0" w:type="dxa"/>
            <w:left w:w="30" w:type="dxa"/>
            <w:bottom w:w="0" w:type="dxa"/>
            <w:right w:w="30" w:type="dxa"/>
          </w:tblCellMar>
        </w:tblPrEx>
        <w:trPr>
          <w:trHeight w:val="90" w:hRule="atLeast"/>
        </w:trPr>
        <w:tc>
          <w:tcPr>
            <w:tcW w:w="611" w:type="dxa"/>
            <w:tcBorders>
              <w:top w:val="single" w:color="auto" w:sz="8" w:space="0"/>
              <w:left w:val="single" w:color="auto" w:sz="8" w:space="0"/>
              <w:bottom w:val="single" w:color="auto" w:sz="8" w:space="0"/>
              <w:right w:val="single" w:color="auto" w:sz="8" w:space="0"/>
            </w:tcBorders>
            <w:vAlign w:val="center"/>
          </w:tcPr>
          <w:p w14:paraId="5668E319">
            <w:pPr>
              <w:autoSpaceDE w:val="0"/>
              <w:autoSpaceDN w:val="0"/>
              <w:adjustRightInd w:val="0"/>
              <w:spacing w:before="93" w:beforeLines="30" w:after="93" w:afterLines="30" w:line="440" w:lineRule="exact"/>
              <w:jc w:val="center"/>
              <w:rPr>
                <w:rFonts w:ascii="宋体" w:hAnsi="宋体" w:cs="宋体"/>
                <w:b/>
                <w:bCs/>
                <w:sz w:val="24"/>
              </w:rPr>
            </w:pPr>
            <w:r>
              <w:rPr>
                <w:rFonts w:hint="eastAsia" w:ascii="宋体" w:hAnsi="宋体" w:cs="宋体"/>
                <w:b/>
                <w:bCs/>
                <w:sz w:val="24"/>
              </w:rPr>
              <w:t>1</w:t>
            </w:r>
          </w:p>
        </w:tc>
        <w:tc>
          <w:tcPr>
            <w:tcW w:w="1710" w:type="dxa"/>
            <w:tcBorders>
              <w:top w:val="single" w:color="auto" w:sz="8" w:space="0"/>
              <w:left w:val="single" w:color="auto" w:sz="8" w:space="0"/>
              <w:bottom w:val="single" w:color="auto" w:sz="8" w:space="0"/>
              <w:right w:val="single" w:color="auto" w:sz="8" w:space="0"/>
            </w:tcBorders>
            <w:vAlign w:val="center"/>
          </w:tcPr>
          <w:p w14:paraId="29C20B55">
            <w:pPr>
              <w:spacing w:before="93" w:beforeLines="30" w:after="93" w:afterLines="30" w:line="440" w:lineRule="exact"/>
              <w:jc w:val="center"/>
              <w:rPr>
                <w:rFonts w:ascii="宋体" w:hAnsi="宋体" w:cs="宋体"/>
                <w:sz w:val="24"/>
              </w:rPr>
            </w:pPr>
          </w:p>
        </w:tc>
        <w:tc>
          <w:tcPr>
            <w:tcW w:w="2548" w:type="dxa"/>
            <w:tcBorders>
              <w:top w:val="single" w:color="auto" w:sz="8" w:space="0"/>
              <w:left w:val="single" w:color="auto" w:sz="8" w:space="0"/>
              <w:bottom w:val="single" w:color="auto" w:sz="8" w:space="0"/>
              <w:right w:val="single" w:color="auto" w:sz="8" w:space="0"/>
            </w:tcBorders>
            <w:vAlign w:val="center"/>
          </w:tcPr>
          <w:p w14:paraId="38D4752C">
            <w:pPr>
              <w:autoSpaceDE w:val="0"/>
              <w:autoSpaceDN w:val="0"/>
              <w:adjustRightInd w:val="0"/>
              <w:spacing w:before="93" w:beforeLines="30" w:after="93" w:afterLines="30" w:line="440" w:lineRule="exact"/>
              <w:jc w:val="center"/>
              <w:rPr>
                <w:rFonts w:ascii="宋体" w:hAnsi="宋体" w:cs="宋体"/>
                <w:sz w:val="24"/>
              </w:rPr>
            </w:pPr>
          </w:p>
        </w:tc>
        <w:tc>
          <w:tcPr>
            <w:tcW w:w="1220" w:type="dxa"/>
            <w:tcBorders>
              <w:top w:val="single" w:color="auto" w:sz="8" w:space="0"/>
              <w:left w:val="single" w:color="auto" w:sz="8" w:space="0"/>
              <w:bottom w:val="single" w:color="auto" w:sz="8" w:space="0"/>
              <w:right w:val="single" w:color="auto" w:sz="8" w:space="0"/>
            </w:tcBorders>
            <w:vAlign w:val="center"/>
          </w:tcPr>
          <w:p w14:paraId="03162173">
            <w:pPr>
              <w:autoSpaceDE w:val="0"/>
              <w:autoSpaceDN w:val="0"/>
              <w:adjustRightInd w:val="0"/>
              <w:spacing w:before="93" w:beforeLines="30" w:after="93" w:afterLines="30" w:line="440" w:lineRule="exact"/>
              <w:jc w:val="center"/>
              <w:rPr>
                <w:rFonts w:ascii="宋体" w:hAnsi="宋体" w:cs="宋体"/>
                <w:sz w:val="24"/>
              </w:rPr>
            </w:pPr>
          </w:p>
        </w:tc>
        <w:tc>
          <w:tcPr>
            <w:tcW w:w="1220" w:type="dxa"/>
            <w:tcBorders>
              <w:top w:val="single" w:color="auto" w:sz="8" w:space="0"/>
              <w:left w:val="single" w:color="auto" w:sz="8" w:space="0"/>
              <w:bottom w:val="single" w:color="auto" w:sz="8" w:space="0"/>
              <w:right w:val="single" w:color="auto" w:sz="8" w:space="0"/>
            </w:tcBorders>
            <w:vAlign w:val="center"/>
          </w:tcPr>
          <w:p w14:paraId="54184F01">
            <w:pPr>
              <w:autoSpaceDE w:val="0"/>
              <w:autoSpaceDN w:val="0"/>
              <w:adjustRightInd w:val="0"/>
              <w:spacing w:before="93" w:beforeLines="30" w:after="93" w:afterLines="30" w:line="440" w:lineRule="exact"/>
              <w:jc w:val="center"/>
              <w:rPr>
                <w:rFonts w:ascii="宋体" w:hAnsi="宋体" w:cs="宋体"/>
                <w:sz w:val="24"/>
              </w:rPr>
            </w:pPr>
          </w:p>
        </w:tc>
        <w:tc>
          <w:tcPr>
            <w:tcW w:w="1220" w:type="dxa"/>
            <w:tcBorders>
              <w:top w:val="single" w:color="auto" w:sz="8" w:space="0"/>
              <w:left w:val="single" w:color="auto" w:sz="8" w:space="0"/>
              <w:bottom w:val="single" w:color="auto" w:sz="8" w:space="0"/>
              <w:right w:val="single" w:color="auto" w:sz="8" w:space="0"/>
            </w:tcBorders>
            <w:vAlign w:val="center"/>
          </w:tcPr>
          <w:p w14:paraId="57F960C1">
            <w:pPr>
              <w:spacing w:before="93" w:beforeLines="30" w:after="93" w:afterLines="30" w:line="440" w:lineRule="exact"/>
              <w:jc w:val="center"/>
              <w:rPr>
                <w:rFonts w:ascii="宋体" w:hAnsi="宋体" w:cs="宋体"/>
                <w:sz w:val="24"/>
              </w:rPr>
            </w:pPr>
          </w:p>
        </w:tc>
        <w:tc>
          <w:tcPr>
            <w:tcW w:w="1221" w:type="dxa"/>
            <w:tcBorders>
              <w:top w:val="single" w:color="auto" w:sz="8" w:space="0"/>
              <w:left w:val="single" w:color="auto" w:sz="8" w:space="0"/>
              <w:bottom w:val="single" w:color="auto" w:sz="8" w:space="0"/>
              <w:right w:val="single" w:color="auto" w:sz="8" w:space="0"/>
            </w:tcBorders>
            <w:vAlign w:val="center"/>
          </w:tcPr>
          <w:p w14:paraId="4658C373">
            <w:pPr>
              <w:spacing w:before="93" w:beforeLines="30" w:after="93" w:afterLines="30" w:line="440" w:lineRule="exact"/>
              <w:jc w:val="center"/>
              <w:rPr>
                <w:rFonts w:ascii="宋体" w:hAnsi="宋体" w:cs="宋体"/>
                <w:sz w:val="24"/>
              </w:rPr>
            </w:pPr>
          </w:p>
        </w:tc>
      </w:tr>
      <w:tr w14:paraId="32BA8EC6">
        <w:tblPrEx>
          <w:tblCellMar>
            <w:top w:w="0" w:type="dxa"/>
            <w:left w:w="30" w:type="dxa"/>
            <w:bottom w:w="0" w:type="dxa"/>
            <w:right w:w="30" w:type="dxa"/>
          </w:tblCellMar>
        </w:tblPrEx>
        <w:trPr>
          <w:trHeight w:val="90" w:hRule="atLeast"/>
        </w:trPr>
        <w:tc>
          <w:tcPr>
            <w:tcW w:w="611" w:type="dxa"/>
            <w:tcBorders>
              <w:top w:val="single" w:color="auto" w:sz="8" w:space="0"/>
              <w:left w:val="single" w:color="auto" w:sz="8" w:space="0"/>
              <w:bottom w:val="single" w:color="auto" w:sz="8" w:space="0"/>
              <w:right w:val="single" w:color="auto" w:sz="8" w:space="0"/>
            </w:tcBorders>
            <w:vAlign w:val="center"/>
          </w:tcPr>
          <w:p w14:paraId="4E098109">
            <w:pPr>
              <w:autoSpaceDE w:val="0"/>
              <w:autoSpaceDN w:val="0"/>
              <w:adjustRightInd w:val="0"/>
              <w:spacing w:before="93" w:beforeLines="30" w:after="93" w:afterLines="30" w:line="440" w:lineRule="exact"/>
              <w:jc w:val="center"/>
              <w:rPr>
                <w:rFonts w:ascii="宋体" w:hAnsi="宋体" w:cs="宋体"/>
                <w:b/>
                <w:bCs/>
                <w:sz w:val="24"/>
              </w:rPr>
            </w:pPr>
            <w:r>
              <w:rPr>
                <w:rFonts w:hint="eastAsia" w:ascii="宋体" w:hAnsi="宋体" w:cs="宋体"/>
                <w:b/>
                <w:bCs/>
                <w:sz w:val="24"/>
              </w:rPr>
              <w:t>2</w:t>
            </w:r>
          </w:p>
        </w:tc>
        <w:tc>
          <w:tcPr>
            <w:tcW w:w="1710" w:type="dxa"/>
            <w:tcBorders>
              <w:top w:val="single" w:color="auto" w:sz="8" w:space="0"/>
              <w:left w:val="single" w:color="auto" w:sz="8" w:space="0"/>
              <w:bottom w:val="single" w:color="auto" w:sz="8" w:space="0"/>
              <w:right w:val="single" w:color="auto" w:sz="8" w:space="0"/>
            </w:tcBorders>
            <w:vAlign w:val="center"/>
          </w:tcPr>
          <w:p w14:paraId="39BD13E0">
            <w:pPr>
              <w:spacing w:before="93" w:beforeLines="30" w:after="93" w:afterLines="30" w:line="440" w:lineRule="exact"/>
              <w:jc w:val="center"/>
              <w:rPr>
                <w:rFonts w:ascii="宋体" w:hAnsi="宋体" w:cs="宋体"/>
                <w:sz w:val="24"/>
              </w:rPr>
            </w:pPr>
          </w:p>
        </w:tc>
        <w:tc>
          <w:tcPr>
            <w:tcW w:w="2548" w:type="dxa"/>
            <w:tcBorders>
              <w:top w:val="single" w:color="auto" w:sz="8" w:space="0"/>
              <w:left w:val="single" w:color="auto" w:sz="8" w:space="0"/>
              <w:bottom w:val="single" w:color="auto" w:sz="8" w:space="0"/>
              <w:right w:val="single" w:color="auto" w:sz="8" w:space="0"/>
            </w:tcBorders>
            <w:vAlign w:val="center"/>
          </w:tcPr>
          <w:p w14:paraId="2584238A">
            <w:pPr>
              <w:autoSpaceDE w:val="0"/>
              <w:autoSpaceDN w:val="0"/>
              <w:adjustRightInd w:val="0"/>
              <w:spacing w:before="93" w:beforeLines="30" w:after="93" w:afterLines="30" w:line="440" w:lineRule="exact"/>
              <w:jc w:val="center"/>
              <w:rPr>
                <w:rFonts w:ascii="宋体" w:hAnsi="宋体" w:cs="宋体"/>
                <w:sz w:val="24"/>
              </w:rPr>
            </w:pPr>
          </w:p>
        </w:tc>
        <w:tc>
          <w:tcPr>
            <w:tcW w:w="1220" w:type="dxa"/>
            <w:tcBorders>
              <w:top w:val="single" w:color="auto" w:sz="8" w:space="0"/>
              <w:left w:val="single" w:color="auto" w:sz="8" w:space="0"/>
              <w:bottom w:val="single" w:color="auto" w:sz="8" w:space="0"/>
              <w:right w:val="single" w:color="auto" w:sz="8" w:space="0"/>
            </w:tcBorders>
            <w:vAlign w:val="center"/>
          </w:tcPr>
          <w:p w14:paraId="33351EDF">
            <w:pPr>
              <w:autoSpaceDE w:val="0"/>
              <w:autoSpaceDN w:val="0"/>
              <w:adjustRightInd w:val="0"/>
              <w:spacing w:before="93" w:beforeLines="30" w:after="93" w:afterLines="30" w:line="440" w:lineRule="exact"/>
              <w:jc w:val="center"/>
              <w:rPr>
                <w:rFonts w:ascii="宋体" w:hAnsi="宋体" w:cs="宋体"/>
                <w:sz w:val="24"/>
              </w:rPr>
            </w:pPr>
          </w:p>
        </w:tc>
        <w:tc>
          <w:tcPr>
            <w:tcW w:w="1220" w:type="dxa"/>
            <w:tcBorders>
              <w:top w:val="single" w:color="auto" w:sz="8" w:space="0"/>
              <w:left w:val="single" w:color="auto" w:sz="8" w:space="0"/>
              <w:bottom w:val="single" w:color="auto" w:sz="8" w:space="0"/>
              <w:right w:val="single" w:color="auto" w:sz="8" w:space="0"/>
            </w:tcBorders>
            <w:vAlign w:val="center"/>
          </w:tcPr>
          <w:p w14:paraId="23102B48">
            <w:pPr>
              <w:autoSpaceDE w:val="0"/>
              <w:autoSpaceDN w:val="0"/>
              <w:adjustRightInd w:val="0"/>
              <w:spacing w:before="93" w:beforeLines="30" w:after="93" w:afterLines="30" w:line="440" w:lineRule="exact"/>
              <w:jc w:val="center"/>
              <w:rPr>
                <w:rFonts w:ascii="宋体" w:hAnsi="宋体" w:cs="宋体"/>
                <w:sz w:val="24"/>
              </w:rPr>
            </w:pPr>
          </w:p>
        </w:tc>
        <w:tc>
          <w:tcPr>
            <w:tcW w:w="1220" w:type="dxa"/>
            <w:tcBorders>
              <w:top w:val="single" w:color="auto" w:sz="8" w:space="0"/>
              <w:left w:val="single" w:color="auto" w:sz="8" w:space="0"/>
              <w:bottom w:val="single" w:color="auto" w:sz="8" w:space="0"/>
              <w:right w:val="single" w:color="auto" w:sz="8" w:space="0"/>
            </w:tcBorders>
            <w:vAlign w:val="center"/>
          </w:tcPr>
          <w:p w14:paraId="7E721BBC">
            <w:pPr>
              <w:spacing w:before="93" w:beforeLines="30" w:after="93" w:afterLines="30" w:line="440" w:lineRule="exact"/>
              <w:jc w:val="center"/>
              <w:rPr>
                <w:rFonts w:ascii="宋体" w:hAnsi="宋体" w:cs="宋体"/>
                <w:sz w:val="24"/>
              </w:rPr>
            </w:pPr>
          </w:p>
        </w:tc>
        <w:tc>
          <w:tcPr>
            <w:tcW w:w="1221" w:type="dxa"/>
            <w:tcBorders>
              <w:top w:val="single" w:color="auto" w:sz="8" w:space="0"/>
              <w:left w:val="single" w:color="auto" w:sz="8" w:space="0"/>
              <w:bottom w:val="single" w:color="auto" w:sz="8" w:space="0"/>
              <w:right w:val="single" w:color="auto" w:sz="8" w:space="0"/>
            </w:tcBorders>
            <w:vAlign w:val="center"/>
          </w:tcPr>
          <w:p w14:paraId="0D8B1A4A">
            <w:pPr>
              <w:spacing w:before="93" w:beforeLines="30" w:after="93" w:afterLines="30" w:line="440" w:lineRule="exact"/>
              <w:jc w:val="center"/>
              <w:rPr>
                <w:rFonts w:ascii="宋体" w:hAnsi="宋体" w:cs="宋体"/>
                <w:sz w:val="24"/>
              </w:rPr>
            </w:pPr>
          </w:p>
        </w:tc>
      </w:tr>
      <w:tr w14:paraId="0C18B131">
        <w:tblPrEx>
          <w:tblCellMar>
            <w:top w:w="0" w:type="dxa"/>
            <w:left w:w="30" w:type="dxa"/>
            <w:bottom w:w="0" w:type="dxa"/>
            <w:right w:w="30" w:type="dxa"/>
          </w:tblCellMar>
        </w:tblPrEx>
        <w:trPr>
          <w:trHeight w:val="90" w:hRule="atLeast"/>
        </w:trPr>
        <w:tc>
          <w:tcPr>
            <w:tcW w:w="611" w:type="dxa"/>
            <w:tcBorders>
              <w:top w:val="single" w:color="auto" w:sz="8" w:space="0"/>
              <w:left w:val="single" w:color="auto" w:sz="8" w:space="0"/>
              <w:bottom w:val="single" w:color="auto" w:sz="8" w:space="0"/>
              <w:right w:val="single" w:color="auto" w:sz="8" w:space="0"/>
            </w:tcBorders>
            <w:vAlign w:val="center"/>
          </w:tcPr>
          <w:p w14:paraId="04A47B12">
            <w:pPr>
              <w:autoSpaceDE w:val="0"/>
              <w:autoSpaceDN w:val="0"/>
              <w:adjustRightInd w:val="0"/>
              <w:spacing w:before="93" w:beforeLines="30" w:after="93" w:afterLines="30" w:line="440" w:lineRule="exact"/>
              <w:jc w:val="center"/>
              <w:rPr>
                <w:rFonts w:ascii="宋体" w:hAnsi="宋体" w:cs="宋体"/>
                <w:b/>
                <w:bCs/>
                <w:sz w:val="24"/>
              </w:rPr>
            </w:pPr>
            <w:r>
              <w:rPr>
                <w:rFonts w:hint="eastAsia" w:ascii="宋体" w:hAnsi="宋体" w:cs="宋体"/>
                <w:b/>
                <w:bCs/>
                <w:sz w:val="24"/>
              </w:rPr>
              <w:t>3</w:t>
            </w:r>
          </w:p>
        </w:tc>
        <w:tc>
          <w:tcPr>
            <w:tcW w:w="1710" w:type="dxa"/>
            <w:tcBorders>
              <w:top w:val="single" w:color="auto" w:sz="8" w:space="0"/>
              <w:left w:val="single" w:color="auto" w:sz="8" w:space="0"/>
              <w:bottom w:val="single" w:color="auto" w:sz="8" w:space="0"/>
              <w:right w:val="single" w:color="auto" w:sz="8" w:space="0"/>
            </w:tcBorders>
            <w:vAlign w:val="center"/>
          </w:tcPr>
          <w:p w14:paraId="725AAFBD">
            <w:pPr>
              <w:spacing w:before="93" w:beforeLines="30" w:after="93" w:afterLines="30" w:line="440" w:lineRule="exact"/>
              <w:jc w:val="center"/>
              <w:rPr>
                <w:rFonts w:ascii="宋体" w:hAnsi="宋体" w:cs="宋体"/>
                <w:sz w:val="24"/>
              </w:rPr>
            </w:pPr>
            <w:r>
              <w:rPr>
                <w:rFonts w:hint="eastAsia" w:ascii="宋体" w:hAnsi="宋体" w:cs="宋体"/>
                <w:sz w:val="24"/>
              </w:rPr>
              <w:t>…</w:t>
            </w:r>
          </w:p>
        </w:tc>
        <w:tc>
          <w:tcPr>
            <w:tcW w:w="2548" w:type="dxa"/>
            <w:tcBorders>
              <w:top w:val="single" w:color="auto" w:sz="8" w:space="0"/>
              <w:left w:val="single" w:color="auto" w:sz="8" w:space="0"/>
              <w:bottom w:val="single" w:color="auto" w:sz="8" w:space="0"/>
              <w:right w:val="single" w:color="auto" w:sz="8" w:space="0"/>
            </w:tcBorders>
            <w:vAlign w:val="center"/>
          </w:tcPr>
          <w:p w14:paraId="6793FDEF">
            <w:pPr>
              <w:autoSpaceDE w:val="0"/>
              <w:autoSpaceDN w:val="0"/>
              <w:adjustRightInd w:val="0"/>
              <w:spacing w:before="93" w:beforeLines="30" w:after="93" w:afterLines="30" w:line="440" w:lineRule="exact"/>
              <w:jc w:val="center"/>
              <w:rPr>
                <w:rFonts w:ascii="宋体" w:hAnsi="宋体" w:cs="宋体"/>
                <w:sz w:val="24"/>
              </w:rPr>
            </w:pPr>
          </w:p>
        </w:tc>
        <w:tc>
          <w:tcPr>
            <w:tcW w:w="1220" w:type="dxa"/>
            <w:tcBorders>
              <w:top w:val="single" w:color="auto" w:sz="8" w:space="0"/>
              <w:left w:val="single" w:color="auto" w:sz="8" w:space="0"/>
              <w:bottom w:val="single" w:color="auto" w:sz="8" w:space="0"/>
              <w:right w:val="single" w:color="auto" w:sz="8" w:space="0"/>
            </w:tcBorders>
            <w:vAlign w:val="center"/>
          </w:tcPr>
          <w:p w14:paraId="61E818AC">
            <w:pPr>
              <w:autoSpaceDE w:val="0"/>
              <w:autoSpaceDN w:val="0"/>
              <w:adjustRightInd w:val="0"/>
              <w:spacing w:before="93" w:beforeLines="30" w:after="93" w:afterLines="30" w:line="440" w:lineRule="exact"/>
              <w:jc w:val="center"/>
              <w:rPr>
                <w:rFonts w:ascii="宋体" w:hAnsi="宋体" w:cs="宋体"/>
                <w:sz w:val="24"/>
              </w:rPr>
            </w:pPr>
          </w:p>
        </w:tc>
        <w:tc>
          <w:tcPr>
            <w:tcW w:w="1220" w:type="dxa"/>
            <w:tcBorders>
              <w:top w:val="single" w:color="auto" w:sz="8" w:space="0"/>
              <w:left w:val="single" w:color="auto" w:sz="8" w:space="0"/>
              <w:bottom w:val="single" w:color="auto" w:sz="8" w:space="0"/>
              <w:right w:val="single" w:color="auto" w:sz="8" w:space="0"/>
            </w:tcBorders>
            <w:vAlign w:val="center"/>
          </w:tcPr>
          <w:p w14:paraId="4D4AA3C0">
            <w:pPr>
              <w:autoSpaceDE w:val="0"/>
              <w:autoSpaceDN w:val="0"/>
              <w:adjustRightInd w:val="0"/>
              <w:spacing w:before="93" w:beforeLines="30" w:after="93" w:afterLines="30" w:line="440" w:lineRule="exact"/>
              <w:jc w:val="center"/>
              <w:rPr>
                <w:rFonts w:ascii="宋体" w:hAnsi="宋体" w:cs="宋体"/>
                <w:sz w:val="24"/>
              </w:rPr>
            </w:pPr>
          </w:p>
        </w:tc>
        <w:tc>
          <w:tcPr>
            <w:tcW w:w="1220" w:type="dxa"/>
            <w:tcBorders>
              <w:top w:val="single" w:color="auto" w:sz="8" w:space="0"/>
              <w:left w:val="single" w:color="auto" w:sz="8" w:space="0"/>
              <w:bottom w:val="single" w:color="auto" w:sz="8" w:space="0"/>
              <w:right w:val="single" w:color="auto" w:sz="8" w:space="0"/>
            </w:tcBorders>
            <w:vAlign w:val="center"/>
          </w:tcPr>
          <w:p w14:paraId="2CFB3838">
            <w:pPr>
              <w:spacing w:before="93" w:beforeLines="30" w:after="93" w:afterLines="30" w:line="440" w:lineRule="exact"/>
              <w:jc w:val="center"/>
              <w:rPr>
                <w:rFonts w:ascii="宋体" w:hAnsi="宋体" w:cs="宋体"/>
                <w:sz w:val="24"/>
              </w:rPr>
            </w:pPr>
          </w:p>
        </w:tc>
        <w:tc>
          <w:tcPr>
            <w:tcW w:w="1221" w:type="dxa"/>
            <w:tcBorders>
              <w:top w:val="single" w:color="auto" w:sz="8" w:space="0"/>
              <w:left w:val="single" w:color="auto" w:sz="8" w:space="0"/>
              <w:bottom w:val="single" w:color="auto" w:sz="8" w:space="0"/>
              <w:right w:val="single" w:color="auto" w:sz="8" w:space="0"/>
            </w:tcBorders>
            <w:vAlign w:val="center"/>
          </w:tcPr>
          <w:p w14:paraId="149865AD">
            <w:pPr>
              <w:spacing w:before="93" w:beforeLines="30" w:after="93" w:afterLines="30" w:line="440" w:lineRule="exact"/>
              <w:jc w:val="center"/>
              <w:rPr>
                <w:rFonts w:ascii="宋体" w:hAnsi="宋体" w:cs="宋体"/>
                <w:sz w:val="24"/>
              </w:rPr>
            </w:pPr>
          </w:p>
        </w:tc>
      </w:tr>
      <w:tr w14:paraId="09B9785B">
        <w:tblPrEx>
          <w:tblCellMar>
            <w:top w:w="0" w:type="dxa"/>
            <w:left w:w="30" w:type="dxa"/>
            <w:bottom w:w="0" w:type="dxa"/>
            <w:right w:w="30" w:type="dxa"/>
          </w:tblCellMar>
        </w:tblPrEx>
        <w:trPr>
          <w:trHeight w:val="579" w:hRule="exact"/>
        </w:trPr>
        <w:tc>
          <w:tcPr>
            <w:tcW w:w="2321" w:type="dxa"/>
            <w:gridSpan w:val="2"/>
            <w:vMerge w:val="restart"/>
            <w:tcBorders>
              <w:top w:val="single" w:color="auto" w:sz="8" w:space="0"/>
              <w:left w:val="single" w:color="auto" w:sz="8" w:space="0"/>
              <w:bottom w:val="single" w:color="auto" w:sz="8" w:space="0"/>
              <w:right w:val="single" w:color="auto" w:sz="8" w:space="0"/>
            </w:tcBorders>
            <w:vAlign w:val="center"/>
          </w:tcPr>
          <w:p w14:paraId="7DC375FB">
            <w:pPr>
              <w:autoSpaceDE w:val="0"/>
              <w:autoSpaceDN w:val="0"/>
              <w:adjustRightInd w:val="0"/>
              <w:spacing w:before="93" w:beforeLines="30" w:after="93" w:afterLines="30" w:line="440" w:lineRule="exact"/>
              <w:jc w:val="center"/>
              <w:rPr>
                <w:rFonts w:ascii="宋体" w:hAnsi="宋体" w:cs="宋体"/>
                <w:sz w:val="24"/>
              </w:rPr>
            </w:pPr>
            <w:r>
              <w:rPr>
                <w:rFonts w:hint="eastAsia" w:ascii="宋体" w:hAnsi="宋体" w:cs="宋体"/>
                <w:b/>
                <w:sz w:val="24"/>
              </w:rPr>
              <w:t>合同总额</w:t>
            </w:r>
          </w:p>
        </w:tc>
        <w:tc>
          <w:tcPr>
            <w:tcW w:w="7429" w:type="dxa"/>
            <w:gridSpan w:val="5"/>
            <w:tcBorders>
              <w:top w:val="single" w:color="auto" w:sz="8" w:space="0"/>
              <w:left w:val="single" w:color="auto" w:sz="8" w:space="0"/>
              <w:bottom w:val="single" w:color="auto" w:sz="8" w:space="0"/>
              <w:right w:val="single" w:color="auto" w:sz="8" w:space="0"/>
            </w:tcBorders>
            <w:vAlign w:val="center"/>
          </w:tcPr>
          <w:p w14:paraId="1ACD4469">
            <w:pPr>
              <w:spacing w:before="93" w:beforeLines="30" w:after="93" w:afterLines="30" w:line="440" w:lineRule="exact"/>
              <w:rPr>
                <w:rFonts w:ascii="宋体" w:hAnsi="宋体" w:cs="宋体"/>
                <w:sz w:val="24"/>
              </w:rPr>
            </w:pPr>
            <w:r>
              <w:rPr>
                <w:rFonts w:hint="eastAsia" w:ascii="宋体" w:hAnsi="宋体" w:cs="宋体"/>
                <w:sz w:val="24"/>
              </w:rPr>
              <w:t>（小写）：</w:t>
            </w:r>
          </w:p>
        </w:tc>
      </w:tr>
      <w:tr w14:paraId="6CC43D54">
        <w:tblPrEx>
          <w:tblCellMar>
            <w:top w:w="0" w:type="dxa"/>
            <w:left w:w="30" w:type="dxa"/>
            <w:bottom w:w="0" w:type="dxa"/>
            <w:right w:w="30" w:type="dxa"/>
          </w:tblCellMar>
        </w:tblPrEx>
        <w:trPr>
          <w:trHeight w:val="579" w:hRule="atLeast"/>
        </w:trPr>
        <w:tc>
          <w:tcPr>
            <w:tcW w:w="2321" w:type="dxa"/>
            <w:gridSpan w:val="2"/>
            <w:vMerge w:val="continue"/>
            <w:tcBorders>
              <w:top w:val="single" w:color="auto" w:sz="8" w:space="0"/>
              <w:left w:val="single" w:color="auto" w:sz="8" w:space="0"/>
              <w:bottom w:val="single" w:color="auto" w:sz="8" w:space="0"/>
              <w:right w:val="single" w:color="auto" w:sz="8" w:space="0"/>
            </w:tcBorders>
            <w:vAlign w:val="center"/>
          </w:tcPr>
          <w:p w14:paraId="26E80BC5">
            <w:pPr>
              <w:spacing w:before="93" w:beforeLines="30" w:after="93" w:afterLines="30" w:line="440" w:lineRule="exact"/>
              <w:rPr>
                <w:rFonts w:ascii="宋体" w:hAnsi="宋体" w:cs="宋体"/>
                <w:sz w:val="24"/>
              </w:rPr>
            </w:pPr>
          </w:p>
        </w:tc>
        <w:tc>
          <w:tcPr>
            <w:tcW w:w="7429" w:type="dxa"/>
            <w:gridSpan w:val="5"/>
            <w:tcBorders>
              <w:top w:val="single" w:color="auto" w:sz="8" w:space="0"/>
              <w:left w:val="single" w:color="auto" w:sz="8" w:space="0"/>
              <w:bottom w:val="single" w:color="auto" w:sz="8" w:space="0"/>
              <w:right w:val="single" w:color="auto" w:sz="8" w:space="0"/>
            </w:tcBorders>
            <w:vAlign w:val="center"/>
          </w:tcPr>
          <w:p w14:paraId="4C3D0184">
            <w:pPr>
              <w:spacing w:before="93" w:beforeLines="30" w:after="93" w:afterLines="30" w:line="440" w:lineRule="exact"/>
              <w:rPr>
                <w:rFonts w:ascii="宋体" w:hAnsi="宋体" w:cs="宋体"/>
                <w:sz w:val="24"/>
              </w:rPr>
            </w:pPr>
            <w:r>
              <w:rPr>
                <w:rFonts w:hint="eastAsia" w:ascii="宋体" w:hAnsi="宋体" w:cs="宋体"/>
                <w:sz w:val="24"/>
              </w:rPr>
              <w:t>（大写）：</w:t>
            </w:r>
          </w:p>
        </w:tc>
      </w:tr>
    </w:tbl>
    <w:p w14:paraId="67BA2438">
      <w:pPr>
        <w:snapToGrid w:val="0"/>
        <w:spacing w:before="156" w:beforeLines="50" w:after="156" w:afterLines="50" w:line="440" w:lineRule="exact"/>
        <w:rPr>
          <w:rFonts w:ascii="宋体" w:hAnsi="宋体" w:cs="宋体"/>
          <w:b/>
          <w:sz w:val="24"/>
        </w:rPr>
      </w:pPr>
      <w:r>
        <w:rPr>
          <w:rFonts w:hint="eastAsia" w:ascii="宋体" w:hAnsi="宋体" w:cs="宋体"/>
          <w:b/>
          <w:sz w:val="24"/>
        </w:rPr>
        <w:t>二、付款</w:t>
      </w:r>
    </w:p>
    <w:p w14:paraId="10B738E0">
      <w:pPr>
        <w:snapToGrid w:val="0"/>
        <w:spacing w:line="440" w:lineRule="exact"/>
        <w:ind w:firstLine="480" w:firstLineChars="200"/>
        <w:rPr>
          <w:rFonts w:ascii="宋体" w:hAnsi="宋体" w:cs="宋体"/>
          <w:sz w:val="24"/>
        </w:rPr>
      </w:pPr>
      <w:r>
        <w:rPr>
          <w:rFonts w:hint="eastAsia" w:ascii="宋体" w:hAnsi="宋体" w:cs="宋体"/>
          <w:sz w:val="24"/>
        </w:rPr>
        <w:t>1、本合同签订生效之日起个工作日内，甲方凭乙方开具的正式有效发票向乙方支付合同金额的</w:t>
      </w:r>
      <w:r>
        <w:rPr>
          <w:rFonts w:hint="eastAsia" w:ascii="宋体" w:hAnsi="宋体" w:cs="宋体"/>
          <w:b/>
          <w:bCs/>
          <w:sz w:val="24"/>
          <w:u w:val="single"/>
        </w:rPr>
        <w:t xml:space="preserve">     %</w:t>
      </w:r>
      <w:r>
        <w:rPr>
          <w:rFonts w:hint="eastAsia" w:ascii="宋体" w:hAnsi="宋体" w:cs="宋体"/>
          <w:sz w:val="24"/>
        </w:rPr>
        <w:t>。</w:t>
      </w:r>
    </w:p>
    <w:p w14:paraId="4CC05B4E">
      <w:pPr>
        <w:snapToGrid w:val="0"/>
        <w:spacing w:line="440" w:lineRule="exact"/>
        <w:ind w:firstLine="480" w:firstLineChars="200"/>
        <w:rPr>
          <w:rFonts w:ascii="宋体" w:hAnsi="宋体" w:cs="宋体"/>
          <w:sz w:val="24"/>
        </w:rPr>
      </w:pPr>
      <w:r>
        <w:rPr>
          <w:rFonts w:hint="eastAsia" w:ascii="宋体" w:hAnsi="宋体" w:cs="宋体"/>
          <w:sz w:val="24"/>
        </w:rPr>
        <w:t>2、采购货物运达甲方指定地点，安装、调试、验收合格并提交相关的文档、资料后，10个工作日内，甲方凭乙方开具的正式有效发票向乙方支付合同金额的</w:t>
      </w:r>
      <w:r>
        <w:rPr>
          <w:rFonts w:hint="eastAsia" w:ascii="宋体" w:hAnsi="宋体" w:cs="宋体"/>
          <w:b/>
          <w:bCs/>
          <w:sz w:val="24"/>
          <w:u w:val="single"/>
        </w:rPr>
        <w:t xml:space="preserve">     %</w:t>
      </w:r>
      <w:r>
        <w:rPr>
          <w:rFonts w:hint="eastAsia" w:ascii="宋体" w:hAnsi="宋体" w:cs="宋体"/>
          <w:sz w:val="24"/>
        </w:rPr>
        <w:t>。</w:t>
      </w:r>
    </w:p>
    <w:p w14:paraId="203FDA05">
      <w:pPr>
        <w:snapToGrid w:val="0"/>
        <w:spacing w:line="440" w:lineRule="exact"/>
        <w:ind w:firstLine="480" w:firstLineChars="200"/>
        <w:rPr>
          <w:rFonts w:ascii="宋体" w:hAnsi="宋体" w:cs="宋体"/>
          <w:sz w:val="24"/>
        </w:rPr>
      </w:pPr>
      <w:r>
        <w:rPr>
          <w:rFonts w:hint="eastAsia" w:ascii="宋体" w:hAnsi="宋体" w:cs="宋体"/>
          <w:sz w:val="24"/>
        </w:rPr>
        <w:t>3、质保期满后没有质量问题，甲方凭乙方开具的正式有效发票向乙方支付合同金额尾款。</w:t>
      </w:r>
    </w:p>
    <w:p w14:paraId="302B72BD">
      <w:pPr>
        <w:snapToGrid w:val="0"/>
        <w:spacing w:before="156" w:beforeLines="50" w:after="156" w:afterLines="50" w:line="440" w:lineRule="exact"/>
        <w:rPr>
          <w:rFonts w:ascii="宋体" w:hAnsi="宋体" w:cs="宋体"/>
          <w:b/>
          <w:sz w:val="24"/>
        </w:rPr>
      </w:pPr>
      <w:r>
        <w:rPr>
          <w:rFonts w:hint="eastAsia" w:ascii="宋体" w:hAnsi="宋体" w:cs="宋体"/>
          <w:b/>
          <w:sz w:val="24"/>
        </w:rPr>
        <w:t>三、交货</w:t>
      </w:r>
    </w:p>
    <w:p w14:paraId="10745918">
      <w:pPr>
        <w:snapToGrid w:val="0"/>
        <w:spacing w:line="440" w:lineRule="exact"/>
        <w:ind w:firstLine="480" w:firstLineChars="200"/>
        <w:rPr>
          <w:rFonts w:ascii="宋体" w:hAnsi="宋体" w:cs="宋体"/>
          <w:sz w:val="24"/>
        </w:rPr>
      </w:pPr>
      <w:r>
        <w:rPr>
          <w:rFonts w:hint="eastAsia" w:ascii="宋体" w:hAnsi="宋体" w:cs="宋体"/>
          <w:sz w:val="24"/>
        </w:rPr>
        <w:t>1、交货方式：货物由乙方负责包装并运送至甲方指定的地点。</w:t>
      </w:r>
    </w:p>
    <w:p w14:paraId="1752B81A">
      <w:pPr>
        <w:snapToGrid w:val="0"/>
        <w:spacing w:line="440" w:lineRule="exact"/>
        <w:ind w:firstLine="480" w:firstLineChars="200"/>
        <w:rPr>
          <w:rFonts w:ascii="宋体" w:hAnsi="宋体" w:cs="宋体"/>
          <w:sz w:val="24"/>
        </w:rPr>
      </w:pPr>
      <w:r>
        <w:rPr>
          <w:rFonts w:hint="eastAsia" w:ascii="宋体" w:hAnsi="宋体" w:cs="宋体"/>
          <w:sz w:val="24"/>
        </w:rPr>
        <w:t>2、乙方将货物运送至甲方指定地点在经甲方验收合格之前，货物的所有权、一切风险责任及由此产生的一切相关费用均由乙方承担。</w:t>
      </w:r>
    </w:p>
    <w:p w14:paraId="561CC67E">
      <w:pPr>
        <w:snapToGrid w:val="0"/>
        <w:spacing w:line="440" w:lineRule="exact"/>
        <w:ind w:firstLine="480" w:firstLineChars="200"/>
        <w:rPr>
          <w:rFonts w:ascii="宋体" w:hAnsi="宋体" w:cs="宋体"/>
          <w:sz w:val="24"/>
        </w:rPr>
      </w:pPr>
      <w:r>
        <w:rPr>
          <w:rFonts w:hint="eastAsia" w:ascii="宋体" w:hAnsi="宋体" w:cs="宋体"/>
          <w:sz w:val="24"/>
        </w:rPr>
        <w:t>3、交货期：接到甲方交货通知后，乙方应在天内把货物运到指定地点。</w:t>
      </w:r>
    </w:p>
    <w:p w14:paraId="4C117FE4">
      <w:pPr>
        <w:snapToGrid w:val="0"/>
        <w:spacing w:before="156" w:beforeLines="50" w:after="156" w:afterLines="50" w:line="440" w:lineRule="exact"/>
        <w:rPr>
          <w:rFonts w:ascii="宋体" w:hAnsi="宋体" w:cs="宋体"/>
          <w:b/>
          <w:sz w:val="24"/>
        </w:rPr>
      </w:pPr>
      <w:r>
        <w:rPr>
          <w:rFonts w:hint="eastAsia" w:ascii="宋体" w:hAnsi="宋体" w:cs="宋体"/>
          <w:b/>
          <w:sz w:val="24"/>
        </w:rPr>
        <w:t>四、货物验收、保修和技术服务</w:t>
      </w:r>
    </w:p>
    <w:p w14:paraId="0C6CDBD5">
      <w:pPr>
        <w:snapToGrid w:val="0"/>
        <w:spacing w:line="440" w:lineRule="exact"/>
        <w:ind w:firstLine="480" w:firstLineChars="200"/>
        <w:rPr>
          <w:rFonts w:ascii="宋体" w:hAnsi="宋体" w:cs="宋体"/>
          <w:sz w:val="24"/>
        </w:rPr>
      </w:pPr>
      <w:r>
        <w:rPr>
          <w:rFonts w:hint="eastAsia" w:ascii="宋体" w:hAnsi="宋体" w:cs="宋体"/>
          <w:sz w:val="24"/>
        </w:rPr>
        <w:t>1、乙方交付的货物必须满足中国法律法规、相关部门的相应产业标准及本合同的要求。乙方承诺向甲方提供的货物应是全新、完整、技术成熟稳定、性能质量良好的产品，货物及相关许可证明文件、技术文件、软件、服务等均不存在瑕疵。</w:t>
      </w:r>
    </w:p>
    <w:p w14:paraId="52426120">
      <w:pPr>
        <w:snapToGrid w:val="0"/>
        <w:spacing w:line="440" w:lineRule="exact"/>
        <w:ind w:firstLine="480" w:firstLineChars="200"/>
        <w:rPr>
          <w:rFonts w:ascii="宋体" w:hAnsi="宋体" w:cs="宋体"/>
          <w:sz w:val="24"/>
        </w:rPr>
      </w:pPr>
      <w:r>
        <w:rPr>
          <w:rFonts w:hint="eastAsia" w:ascii="宋体" w:hAnsi="宋体" w:cs="宋体"/>
          <w:sz w:val="24"/>
        </w:rPr>
        <w:t>2、若在货物接收验收时发现货物有任何的短少、缺损、缺陷或与合同约定不符，甲方和乙方代表将签署一份详细报告；在乙方未派代表到场时，该报告将由甲方单方签署，该报告将作为甲方要求乙方进行退货、更换、修理或补充发货的有效证据。乙方负责于10个工作日内自负费用进行更换、补充发货并送至本合同确定的甲方指定地点，有关费用由乙方承担。</w:t>
      </w:r>
    </w:p>
    <w:p w14:paraId="579444FB">
      <w:pPr>
        <w:snapToGrid w:val="0"/>
        <w:spacing w:line="440" w:lineRule="exact"/>
        <w:ind w:firstLine="480" w:firstLineChars="200"/>
        <w:rPr>
          <w:rFonts w:ascii="宋体" w:hAnsi="宋体" w:cs="宋体"/>
          <w:sz w:val="24"/>
        </w:rPr>
      </w:pPr>
      <w:r>
        <w:rPr>
          <w:rFonts w:hint="eastAsia" w:ascii="宋体" w:hAnsi="宋体" w:cs="宋体"/>
          <w:sz w:val="24"/>
        </w:rPr>
        <w:t>3、未能通过甲方验收的货物，以及甲方接收后发现有误的货物，由乙方自费回收。如乙方未在甲方发出通知后10天内收回，则甲方可自行处理该货物，包括但不限于另外存放并收取租金等，由此产生的费用由乙方承担。</w:t>
      </w:r>
    </w:p>
    <w:p w14:paraId="2F5CAE13">
      <w:pPr>
        <w:snapToGrid w:val="0"/>
        <w:spacing w:line="440" w:lineRule="exact"/>
        <w:ind w:firstLine="480" w:firstLineChars="200"/>
        <w:rPr>
          <w:rFonts w:ascii="宋体" w:hAnsi="宋体" w:cs="宋体"/>
          <w:sz w:val="24"/>
        </w:rPr>
      </w:pPr>
      <w:r>
        <w:rPr>
          <w:rFonts w:hint="eastAsia" w:ascii="宋体" w:hAnsi="宋体" w:cs="宋体"/>
          <w:sz w:val="24"/>
        </w:rPr>
        <w:t>4、乙方提供的货物的保修期为壹年，自验收合格之日起计算。在保修期内，如果货物的性能和质量与合同规定不符，或出现任何故障，乙方负责在10天内免费排除缺陷、修理或更换相关货物。</w:t>
      </w:r>
    </w:p>
    <w:p w14:paraId="7563E9FA">
      <w:pPr>
        <w:snapToGrid w:val="0"/>
        <w:spacing w:line="440" w:lineRule="exact"/>
        <w:ind w:firstLine="480" w:firstLineChars="200"/>
        <w:rPr>
          <w:rFonts w:ascii="宋体" w:hAnsi="宋体" w:cs="宋体"/>
          <w:sz w:val="24"/>
        </w:rPr>
      </w:pPr>
      <w:r>
        <w:rPr>
          <w:rFonts w:hint="eastAsia" w:ascii="宋体" w:hAnsi="宋体" w:cs="宋体"/>
          <w:sz w:val="24"/>
        </w:rPr>
        <w:t>5、在保修期内，如因乙方原因不能按合同约定履行保修义务，则甲方有权从保修期尾款中扣除相应费用。</w:t>
      </w:r>
    </w:p>
    <w:p w14:paraId="374B2A6B">
      <w:pPr>
        <w:snapToGrid w:val="0"/>
        <w:spacing w:before="156" w:beforeLines="50" w:after="156" w:afterLines="50" w:line="440" w:lineRule="exact"/>
        <w:rPr>
          <w:rFonts w:ascii="宋体" w:hAnsi="宋体" w:cs="宋体"/>
          <w:b/>
          <w:sz w:val="24"/>
        </w:rPr>
      </w:pPr>
      <w:r>
        <w:rPr>
          <w:rFonts w:hint="eastAsia" w:ascii="宋体" w:hAnsi="宋体" w:cs="宋体"/>
          <w:b/>
          <w:sz w:val="24"/>
        </w:rPr>
        <w:t>五、违约责任及侵权处理</w:t>
      </w:r>
    </w:p>
    <w:p w14:paraId="5CE07B81">
      <w:pPr>
        <w:snapToGrid w:val="0"/>
        <w:spacing w:line="440" w:lineRule="exact"/>
        <w:ind w:firstLine="480" w:firstLineChars="200"/>
        <w:rPr>
          <w:rFonts w:ascii="宋体" w:hAnsi="宋体" w:cs="宋体"/>
          <w:sz w:val="24"/>
        </w:rPr>
      </w:pPr>
      <w:r>
        <w:rPr>
          <w:rFonts w:hint="eastAsia" w:ascii="宋体" w:hAnsi="宋体" w:cs="宋体"/>
          <w:sz w:val="24"/>
        </w:rPr>
        <w:t>1、双方应当按照合同及附件规定的期限履行义务。对于因乙方原因使得交货、验收等任一阶段工作延误的，每延迟一天，乙方应按相当于合同总价0.5%的标准向甲方支付违约金，以此类推。因任一阶段工作延迟而使甲方额外增加的各项费用由乙方承担。如乙方任一阶段工作延迟使甲方遭受损失的，乙方还应承担甲方由此造成的损失。如乙方任一阶段工作延迟累计超过30天时，甲方有权视情况解除本合同。该等解除并不免除乙方根据甲方要求应当承担的上述违约责任。</w:t>
      </w:r>
    </w:p>
    <w:p w14:paraId="0E0E6AE2">
      <w:pPr>
        <w:snapToGrid w:val="0"/>
        <w:spacing w:line="440" w:lineRule="exact"/>
        <w:ind w:firstLine="480" w:firstLineChars="200"/>
        <w:rPr>
          <w:rFonts w:ascii="宋体" w:hAnsi="宋体" w:cs="宋体"/>
          <w:sz w:val="24"/>
        </w:rPr>
      </w:pPr>
      <w:r>
        <w:rPr>
          <w:rFonts w:hint="eastAsia" w:ascii="宋体" w:hAnsi="宋体" w:cs="宋体"/>
          <w:sz w:val="24"/>
        </w:rPr>
        <w:t>2、保修期内，如乙方未能按照合同规定及时提供保修服务，除不可抗力原因外，每延迟一次，乙方应当支付合同总价0.1%的违约金。</w:t>
      </w:r>
    </w:p>
    <w:p w14:paraId="6F913BDC">
      <w:pPr>
        <w:snapToGrid w:val="0"/>
        <w:spacing w:line="440" w:lineRule="exact"/>
        <w:ind w:firstLine="480" w:firstLineChars="200"/>
        <w:rPr>
          <w:rFonts w:ascii="宋体" w:hAnsi="宋体" w:cs="宋体"/>
          <w:sz w:val="24"/>
        </w:rPr>
      </w:pPr>
      <w:r>
        <w:rPr>
          <w:rFonts w:hint="eastAsia" w:ascii="宋体" w:hAnsi="宋体" w:cs="宋体"/>
          <w:sz w:val="24"/>
        </w:rPr>
        <w:t>3、对于乙方根据本合同约定应当承担的各项违约金及损失赔偿，甲方均有权依据本合同规定从应支付乙方的款项中扣除。</w:t>
      </w:r>
    </w:p>
    <w:p w14:paraId="56A6B3A3">
      <w:pPr>
        <w:snapToGrid w:val="0"/>
        <w:spacing w:line="440" w:lineRule="exact"/>
        <w:ind w:firstLine="480" w:firstLineChars="200"/>
        <w:rPr>
          <w:rFonts w:ascii="宋体" w:hAnsi="宋体" w:cs="宋体"/>
          <w:sz w:val="24"/>
        </w:rPr>
      </w:pPr>
      <w:r>
        <w:rPr>
          <w:rFonts w:hint="eastAsia" w:ascii="宋体" w:hAnsi="宋体" w:cs="宋体"/>
          <w:sz w:val="24"/>
        </w:rPr>
        <w:t>4、如乙方提供的货物不符合合同要求或者质量、功能存在瑕疵，或者甲方使用乙方提供的货物造成他人人身、财产损害的，乙方应向甲方支付本合同总价10%的违约金，并承担赔偿责任。</w:t>
      </w:r>
    </w:p>
    <w:p w14:paraId="6900BB33">
      <w:pPr>
        <w:snapToGrid w:val="0"/>
        <w:spacing w:before="156" w:beforeLines="50" w:after="156" w:afterLines="50" w:line="440" w:lineRule="exact"/>
        <w:rPr>
          <w:rFonts w:ascii="宋体" w:hAnsi="宋体" w:cs="宋体"/>
          <w:b/>
          <w:sz w:val="24"/>
        </w:rPr>
      </w:pPr>
      <w:r>
        <w:rPr>
          <w:rFonts w:hint="eastAsia" w:ascii="宋体" w:hAnsi="宋体" w:cs="宋体"/>
          <w:b/>
          <w:sz w:val="24"/>
        </w:rPr>
        <w:t>六、不可抗力</w:t>
      </w:r>
    </w:p>
    <w:p w14:paraId="65F9D938">
      <w:pPr>
        <w:snapToGrid w:val="0"/>
        <w:spacing w:line="440" w:lineRule="exact"/>
        <w:ind w:firstLine="480" w:firstLineChars="200"/>
        <w:rPr>
          <w:rFonts w:ascii="宋体" w:hAnsi="宋体" w:cs="宋体"/>
          <w:sz w:val="24"/>
        </w:rPr>
      </w:pPr>
      <w:r>
        <w:rPr>
          <w:rFonts w:hint="eastAsia" w:ascii="宋体" w:hAnsi="宋体" w:cs="宋体"/>
          <w:sz w:val="24"/>
        </w:rPr>
        <w:t>1、本合同所称不可抗力，是指其他本合同各方不能预见，而且对其发生和后果不能防止或不能避免且不可克服的客观情况，包括但不限于：战争、严重火灾、洪水、台风、地震、国家政策的重大改制等。</w:t>
      </w:r>
    </w:p>
    <w:p w14:paraId="53A80D46">
      <w:pPr>
        <w:snapToGrid w:val="0"/>
        <w:spacing w:line="440" w:lineRule="exact"/>
        <w:ind w:firstLine="480" w:firstLineChars="200"/>
        <w:rPr>
          <w:rFonts w:ascii="宋体" w:hAnsi="宋体" w:cs="宋体"/>
          <w:sz w:val="24"/>
        </w:rPr>
      </w:pPr>
      <w:r>
        <w:rPr>
          <w:rFonts w:hint="eastAsia" w:ascii="宋体" w:hAnsi="宋体" w:cs="宋体"/>
          <w:sz w:val="24"/>
        </w:rPr>
        <w:t>2、本合同任何一方因不可抗力不能履行或不能完全履行本合同的义务时，应在不可抗力发生之日起15天内通知本合同的其他方，并在不可抗力发生之日起60天内向其他方提供由有关部门出具的不可抗力证明。</w:t>
      </w:r>
    </w:p>
    <w:p w14:paraId="193CF664">
      <w:pPr>
        <w:snapToGrid w:val="0"/>
        <w:spacing w:line="440" w:lineRule="exact"/>
        <w:ind w:firstLine="480" w:firstLineChars="200"/>
        <w:rPr>
          <w:rFonts w:ascii="宋体" w:hAnsi="宋体" w:cs="宋体"/>
          <w:sz w:val="24"/>
        </w:rPr>
      </w:pPr>
      <w:r>
        <w:rPr>
          <w:rFonts w:hint="eastAsia" w:ascii="宋体" w:hAnsi="宋体" w:cs="宋体"/>
          <w:sz w:val="24"/>
        </w:rPr>
        <w:t>3、因不可抗力不能履行合同的，根据不可抗力的影响，受影响方部分或全部免除责任，但法律另有规定的除外，延迟履行合同后发生不可抗力的，不能免除责任。</w:t>
      </w:r>
    </w:p>
    <w:p w14:paraId="468E05E4">
      <w:pPr>
        <w:snapToGrid w:val="0"/>
        <w:spacing w:line="440" w:lineRule="exact"/>
        <w:ind w:firstLine="480" w:firstLineChars="200"/>
        <w:rPr>
          <w:rFonts w:ascii="宋体" w:hAnsi="宋体" w:cs="宋体"/>
          <w:sz w:val="24"/>
        </w:rPr>
      </w:pPr>
      <w:r>
        <w:rPr>
          <w:rFonts w:hint="eastAsia" w:ascii="宋体" w:hAnsi="宋体" w:cs="宋体"/>
          <w:sz w:val="24"/>
        </w:rPr>
        <w:t>4、如果因不可抗力的影响致使本合同终止履行90天或以上的，任一方均有权终止本合同，并书面通知对方。</w:t>
      </w:r>
    </w:p>
    <w:p w14:paraId="1568586B">
      <w:pPr>
        <w:snapToGrid w:val="0"/>
        <w:spacing w:before="156" w:beforeLines="50" w:after="156" w:afterLines="50" w:line="440" w:lineRule="exact"/>
        <w:rPr>
          <w:rFonts w:ascii="宋体" w:hAnsi="宋体" w:cs="宋体"/>
          <w:b/>
          <w:sz w:val="24"/>
        </w:rPr>
      </w:pPr>
      <w:r>
        <w:rPr>
          <w:rFonts w:hint="eastAsia" w:ascii="宋体" w:hAnsi="宋体" w:cs="宋体"/>
          <w:b/>
          <w:sz w:val="24"/>
        </w:rPr>
        <w:t>七、合同纠纷处理</w:t>
      </w:r>
    </w:p>
    <w:p w14:paraId="29A95263">
      <w:pPr>
        <w:tabs>
          <w:tab w:val="left" w:pos="1980"/>
        </w:tabs>
        <w:snapToGrid w:val="0"/>
        <w:spacing w:line="440" w:lineRule="exact"/>
        <w:ind w:firstLine="480" w:firstLineChars="200"/>
        <w:rPr>
          <w:rFonts w:ascii="宋体" w:hAnsi="宋体" w:cs="宋体"/>
          <w:sz w:val="24"/>
        </w:rPr>
      </w:pPr>
      <w:r>
        <w:rPr>
          <w:rFonts w:hint="eastAsia" w:ascii="宋体" w:hAnsi="宋体" w:cs="宋体"/>
          <w:sz w:val="24"/>
        </w:rPr>
        <w:t>本合同执行过程中如发生纠纷，作如下处理：</w:t>
      </w:r>
    </w:p>
    <w:p w14:paraId="429F00C4">
      <w:pPr>
        <w:tabs>
          <w:tab w:val="left" w:pos="1980"/>
        </w:tabs>
        <w:snapToGrid w:val="0"/>
        <w:spacing w:line="440" w:lineRule="exact"/>
        <w:ind w:firstLine="480" w:firstLineChars="200"/>
        <w:rPr>
          <w:rFonts w:ascii="宋体" w:hAnsi="宋体" w:cs="宋体"/>
          <w:sz w:val="24"/>
        </w:rPr>
      </w:pPr>
      <w:r>
        <w:rPr>
          <w:rFonts w:hint="eastAsia" w:ascii="宋体" w:hAnsi="宋体" w:cs="宋体"/>
          <w:sz w:val="24"/>
        </w:rPr>
        <w:t>1、申请仲裁。仲裁机构为海南仲裁委员会。</w:t>
      </w:r>
    </w:p>
    <w:p w14:paraId="547906F4">
      <w:pPr>
        <w:tabs>
          <w:tab w:val="left" w:pos="1980"/>
        </w:tabs>
        <w:snapToGrid w:val="0"/>
        <w:spacing w:line="440" w:lineRule="exact"/>
        <w:ind w:firstLine="480" w:firstLineChars="200"/>
        <w:rPr>
          <w:rFonts w:ascii="宋体" w:hAnsi="宋体" w:cs="宋体"/>
          <w:sz w:val="24"/>
        </w:rPr>
      </w:pPr>
      <w:r>
        <w:rPr>
          <w:rFonts w:hint="eastAsia" w:ascii="宋体" w:hAnsi="宋体" w:cs="宋体"/>
          <w:sz w:val="24"/>
        </w:rPr>
        <w:t>2、提起诉讼。诉讼地点为采购人所在地。</w:t>
      </w:r>
    </w:p>
    <w:p w14:paraId="6E2DC49E">
      <w:pPr>
        <w:snapToGrid w:val="0"/>
        <w:spacing w:before="156" w:beforeLines="50" w:after="156" w:afterLines="50" w:line="440" w:lineRule="exact"/>
        <w:rPr>
          <w:rFonts w:ascii="宋体" w:hAnsi="宋体" w:cs="宋体"/>
          <w:b/>
          <w:sz w:val="24"/>
        </w:rPr>
      </w:pPr>
      <w:r>
        <w:rPr>
          <w:rFonts w:hint="eastAsia" w:ascii="宋体" w:hAnsi="宋体" w:cs="宋体"/>
          <w:b/>
          <w:sz w:val="24"/>
        </w:rPr>
        <w:t>八、合同生效</w:t>
      </w:r>
    </w:p>
    <w:p w14:paraId="4FA3F860">
      <w:pPr>
        <w:snapToGrid w:val="0"/>
        <w:spacing w:line="440" w:lineRule="exact"/>
        <w:ind w:firstLine="480" w:firstLineChars="200"/>
        <w:rPr>
          <w:rFonts w:ascii="宋体" w:hAnsi="宋体" w:cs="宋体"/>
          <w:sz w:val="24"/>
        </w:rPr>
      </w:pPr>
      <w:r>
        <w:rPr>
          <w:rFonts w:hint="eastAsia" w:ascii="宋体" w:hAnsi="宋体" w:cs="宋体"/>
          <w:sz w:val="24"/>
        </w:rPr>
        <w:t>本合同由甲乙双方签字盖章后生效。</w:t>
      </w:r>
    </w:p>
    <w:p w14:paraId="4E830625">
      <w:pPr>
        <w:snapToGrid w:val="0"/>
        <w:spacing w:before="156" w:beforeLines="50" w:after="156" w:afterLines="50" w:line="440" w:lineRule="exact"/>
        <w:rPr>
          <w:rFonts w:ascii="宋体" w:hAnsi="宋体" w:cs="宋体"/>
          <w:b/>
          <w:sz w:val="24"/>
        </w:rPr>
      </w:pPr>
      <w:r>
        <w:rPr>
          <w:rFonts w:hint="eastAsia" w:ascii="宋体" w:hAnsi="宋体" w:cs="宋体"/>
          <w:b/>
          <w:sz w:val="24"/>
        </w:rPr>
        <w:t>九、合同鉴证</w:t>
      </w:r>
    </w:p>
    <w:p w14:paraId="36F97EDB">
      <w:pPr>
        <w:snapToGrid w:val="0"/>
        <w:spacing w:line="440" w:lineRule="exact"/>
        <w:ind w:firstLine="480" w:firstLineChars="200"/>
        <w:rPr>
          <w:rFonts w:ascii="宋体" w:hAnsi="宋体" w:cs="宋体"/>
          <w:b/>
          <w:sz w:val="24"/>
        </w:rPr>
      </w:pPr>
      <w:r>
        <w:rPr>
          <w:rFonts w:hint="eastAsia" w:ascii="宋体" w:hAnsi="宋体" w:cs="宋体"/>
          <w:sz w:val="24"/>
        </w:rPr>
        <w:t>招标代理机构应当在本合同上签章，以证明本合同条款与采购文件、投标文件的相关要求相符并且未对采购货物和技术参数进行实质性修改。</w:t>
      </w:r>
    </w:p>
    <w:p w14:paraId="60C8B22B">
      <w:pPr>
        <w:snapToGrid w:val="0"/>
        <w:spacing w:before="156" w:beforeLines="50" w:after="156" w:afterLines="50" w:line="440" w:lineRule="exact"/>
        <w:rPr>
          <w:rFonts w:ascii="宋体" w:hAnsi="宋体" w:cs="宋体"/>
          <w:b/>
          <w:sz w:val="24"/>
        </w:rPr>
      </w:pPr>
      <w:r>
        <w:rPr>
          <w:rFonts w:hint="eastAsia" w:ascii="宋体" w:hAnsi="宋体" w:cs="宋体"/>
          <w:b/>
          <w:sz w:val="24"/>
        </w:rPr>
        <w:t>十、组成本合同的文件包括：</w:t>
      </w:r>
    </w:p>
    <w:p w14:paraId="58D94E3B">
      <w:pPr>
        <w:snapToGrid w:val="0"/>
        <w:spacing w:line="440" w:lineRule="exact"/>
        <w:ind w:firstLine="480" w:firstLineChars="200"/>
        <w:rPr>
          <w:rFonts w:ascii="宋体" w:hAnsi="宋体" w:cs="宋体"/>
          <w:sz w:val="24"/>
        </w:rPr>
      </w:pPr>
      <w:r>
        <w:rPr>
          <w:rFonts w:hint="eastAsia" w:ascii="宋体" w:hAnsi="宋体" w:cs="宋体"/>
          <w:sz w:val="24"/>
        </w:rPr>
        <w:t>1、合同通用条款和专用条款；</w:t>
      </w:r>
    </w:p>
    <w:p w14:paraId="78367C1E">
      <w:pPr>
        <w:snapToGrid w:val="0"/>
        <w:spacing w:line="440" w:lineRule="exact"/>
        <w:ind w:firstLine="480" w:firstLineChars="200"/>
        <w:rPr>
          <w:rFonts w:ascii="宋体" w:hAnsi="宋体" w:cs="宋体"/>
          <w:sz w:val="24"/>
        </w:rPr>
      </w:pPr>
      <w:r>
        <w:rPr>
          <w:rFonts w:hint="eastAsia" w:ascii="宋体" w:hAnsi="宋体" w:cs="宋体"/>
          <w:sz w:val="24"/>
        </w:rPr>
        <w:t>2、招标文件、乙方的投标文件和评标时的澄清函（如有）；</w:t>
      </w:r>
    </w:p>
    <w:p w14:paraId="79FDE039">
      <w:pPr>
        <w:snapToGrid w:val="0"/>
        <w:spacing w:line="440" w:lineRule="exact"/>
        <w:ind w:firstLine="480" w:firstLineChars="200"/>
        <w:rPr>
          <w:rFonts w:ascii="宋体" w:hAnsi="宋体" w:cs="宋体"/>
          <w:sz w:val="24"/>
        </w:rPr>
      </w:pPr>
      <w:r>
        <w:rPr>
          <w:rFonts w:hint="eastAsia" w:ascii="宋体" w:hAnsi="宋体" w:cs="宋体"/>
          <w:sz w:val="24"/>
        </w:rPr>
        <w:t>3、中标通知书；</w:t>
      </w:r>
    </w:p>
    <w:p w14:paraId="404F83BC">
      <w:pPr>
        <w:snapToGrid w:val="0"/>
        <w:spacing w:line="440" w:lineRule="exact"/>
        <w:ind w:firstLine="480" w:firstLineChars="200"/>
        <w:rPr>
          <w:rFonts w:ascii="宋体" w:hAnsi="宋体" w:cs="宋体"/>
          <w:sz w:val="24"/>
        </w:rPr>
      </w:pPr>
      <w:r>
        <w:rPr>
          <w:rFonts w:hint="eastAsia" w:ascii="宋体" w:hAnsi="宋体" w:cs="宋体"/>
          <w:sz w:val="24"/>
        </w:rPr>
        <w:t>4、甲乙双方商定的其他必要文件。</w:t>
      </w:r>
    </w:p>
    <w:p w14:paraId="0E1B12D7">
      <w:pPr>
        <w:snapToGrid w:val="0"/>
        <w:spacing w:line="440" w:lineRule="exact"/>
        <w:ind w:firstLine="480" w:firstLineChars="200"/>
        <w:rPr>
          <w:rFonts w:ascii="宋体" w:hAnsi="宋体" w:cs="宋体"/>
          <w:bCs/>
          <w:sz w:val="24"/>
        </w:rPr>
      </w:pPr>
      <w:r>
        <w:rPr>
          <w:rFonts w:hint="eastAsia" w:ascii="宋体" w:hAnsi="宋体" w:cs="宋体"/>
          <w:bCs/>
          <w:sz w:val="24"/>
        </w:rPr>
        <w:t>上述合同文件内容互为补充，如有不明确，由甲方负责解释。</w:t>
      </w:r>
    </w:p>
    <w:p w14:paraId="7B35A63B">
      <w:pPr>
        <w:snapToGrid w:val="0"/>
        <w:spacing w:before="156" w:beforeLines="50" w:after="156" w:afterLines="50" w:line="440" w:lineRule="exact"/>
        <w:rPr>
          <w:rFonts w:ascii="宋体" w:hAnsi="宋体" w:cs="宋体"/>
          <w:b/>
          <w:sz w:val="24"/>
        </w:rPr>
      </w:pPr>
      <w:r>
        <w:rPr>
          <w:rFonts w:hint="eastAsia" w:ascii="宋体" w:hAnsi="宋体" w:cs="宋体"/>
          <w:b/>
          <w:sz w:val="24"/>
        </w:rPr>
        <w:t>十一、合同备案</w:t>
      </w:r>
    </w:p>
    <w:p w14:paraId="1FF8B432">
      <w:pPr>
        <w:snapToGrid w:val="0"/>
        <w:spacing w:line="440" w:lineRule="exact"/>
        <w:ind w:firstLine="480" w:firstLineChars="200"/>
        <w:rPr>
          <w:rFonts w:ascii="宋体" w:hAnsi="宋体" w:cs="宋体"/>
          <w:bCs/>
          <w:sz w:val="24"/>
        </w:rPr>
      </w:pPr>
      <w:r>
        <w:rPr>
          <w:rFonts w:hint="eastAsia" w:ascii="宋体" w:hAnsi="宋体" w:cs="宋体"/>
          <w:bCs/>
          <w:sz w:val="24"/>
        </w:rPr>
        <w:t>本合同</w:t>
      </w:r>
      <w:r>
        <w:rPr>
          <w:rFonts w:hint="eastAsia" w:ascii="宋体" w:hAnsi="宋体" w:cs="宋体"/>
          <w:b/>
          <w:sz w:val="24"/>
        </w:rPr>
        <w:t>一式伍份</w:t>
      </w:r>
      <w:r>
        <w:rPr>
          <w:rFonts w:hint="eastAsia" w:ascii="宋体" w:hAnsi="宋体" w:cs="宋体"/>
          <w:bCs/>
          <w:sz w:val="24"/>
        </w:rPr>
        <w:t>，中文书写。甲方、乙方各执</w:t>
      </w:r>
      <w:r>
        <w:rPr>
          <w:rFonts w:hint="eastAsia" w:ascii="宋体" w:hAnsi="宋体" w:cs="宋体"/>
          <w:b/>
          <w:sz w:val="24"/>
        </w:rPr>
        <w:t>贰份</w:t>
      </w:r>
      <w:r>
        <w:rPr>
          <w:rFonts w:hint="eastAsia" w:ascii="宋体" w:hAnsi="宋体" w:cs="宋体"/>
          <w:bCs/>
          <w:sz w:val="24"/>
        </w:rPr>
        <w:t>，</w:t>
      </w:r>
      <w:r>
        <w:rPr>
          <w:rFonts w:hint="eastAsia" w:ascii="宋体" w:hAnsi="宋体" w:cs="宋体"/>
          <w:b/>
          <w:sz w:val="24"/>
        </w:rPr>
        <w:t>壹份</w:t>
      </w:r>
      <w:r>
        <w:rPr>
          <w:rFonts w:hint="eastAsia" w:ascii="宋体" w:hAnsi="宋体" w:cs="宋体"/>
          <w:bCs/>
          <w:sz w:val="24"/>
        </w:rPr>
        <w:t>由招标代理机构备案。</w:t>
      </w:r>
    </w:p>
    <w:p w14:paraId="4EC8E2D1">
      <w:pPr>
        <w:snapToGrid w:val="0"/>
        <w:spacing w:before="156" w:beforeLines="50" w:after="156" w:afterLines="50" w:line="440" w:lineRule="exact"/>
        <w:rPr>
          <w:rFonts w:ascii="宋体" w:hAnsi="宋体" w:cs="宋体"/>
          <w:b/>
          <w:sz w:val="24"/>
        </w:rPr>
      </w:pPr>
      <w:r>
        <w:rPr>
          <w:rFonts w:hint="eastAsia" w:ascii="宋体" w:hAnsi="宋体" w:cs="宋体"/>
          <w:b/>
          <w:sz w:val="24"/>
        </w:rPr>
        <w:t>十二、合同转让和分包</w:t>
      </w:r>
    </w:p>
    <w:p w14:paraId="36AC2BD0">
      <w:pPr>
        <w:snapToGrid w:val="0"/>
        <w:spacing w:line="440" w:lineRule="exact"/>
        <w:ind w:firstLine="480" w:firstLineChars="200"/>
        <w:rPr>
          <w:rFonts w:ascii="宋体" w:hAnsi="宋体" w:cs="宋体"/>
          <w:bCs/>
          <w:sz w:val="24"/>
        </w:rPr>
      </w:pPr>
      <w:r>
        <w:rPr>
          <w:rFonts w:hint="eastAsia" w:ascii="宋体" w:hAnsi="宋体" w:cs="宋体"/>
          <w:bCs/>
          <w:sz w:val="24"/>
        </w:rPr>
        <w:t>乙方不得全部或部分转让合同。除非甲方事先书面同意外，不得分包其应履行的合同义务。</w:t>
      </w:r>
    </w:p>
    <w:p w14:paraId="1AABF314">
      <w:pPr>
        <w:snapToGrid w:val="0"/>
        <w:spacing w:before="156" w:beforeLines="50" w:after="156" w:afterLines="50" w:line="440" w:lineRule="exact"/>
        <w:ind w:firstLine="482" w:firstLineChars="200"/>
        <w:rPr>
          <w:rFonts w:ascii="宋体" w:hAnsi="宋体" w:cs="宋体"/>
          <w:b/>
          <w:sz w:val="24"/>
          <w:u w:val="single"/>
        </w:rPr>
      </w:pPr>
      <w:r>
        <w:rPr>
          <w:rFonts w:hint="eastAsia" w:ascii="宋体" w:hAnsi="宋体" w:cs="宋体"/>
          <w:b/>
          <w:sz w:val="24"/>
        </w:rPr>
        <w:t>甲方：</w:t>
      </w:r>
      <w:r>
        <w:rPr>
          <w:rFonts w:hint="eastAsia" w:ascii="宋体" w:hAnsi="宋体" w:cs="宋体"/>
          <w:bCs/>
          <w:sz w:val="24"/>
          <w:u w:val="single"/>
        </w:rPr>
        <w:t>（盖章）</w:t>
      </w:r>
      <w:bookmarkStart w:id="6" w:name="_GoBack"/>
      <w:bookmarkEnd w:id="6"/>
    </w:p>
    <w:p w14:paraId="3D987BA4">
      <w:pPr>
        <w:snapToGrid w:val="0"/>
        <w:spacing w:before="156" w:beforeLines="50" w:after="156" w:afterLines="50" w:line="440" w:lineRule="exact"/>
        <w:ind w:firstLine="480" w:firstLineChars="200"/>
        <w:rPr>
          <w:rFonts w:ascii="宋体" w:hAnsi="宋体" w:cs="宋体"/>
          <w:b/>
          <w:sz w:val="24"/>
          <w:u w:val="single"/>
        </w:rPr>
      </w:pPr>
      <w:r>
        <w:rPr>
          <w:rFonts w:hint="eastAsia" w:ascii="宋体" w:hAnsi="宋体" w:cs="宋体"/>
          <w:bCs/>
          <w:sz w:val="24"/>
        </w:rPr>
        <w:t>地址：</w:t>
      </w:r>
    </w:p>
    <w:p w14:paraId="70E2C8B8">
      <w:pPr>
        <w:snapToGrid w:val="0"/>
        <w:spacing w:before="156" w:beforeLines="50" w:after="156" w:afterLines="50" w:line="440" w:lineRule="exact"/>
        <w:ind w:firstLine="480" w:firstLineChars="200"/>
        <w:rPr>
          <w:rFonts w:ascii="宋体" w:hAnsi="宋体" w:cs="宋体"/>
          <w:sz w:val="24"/>
        </w:rPr>
      </w:pPr>
      <w:r>
        <w:rPr>
          <w:rFonts w:hint="eastAsia" w:ascii="宋体" w:hAnsi="宋体" w:cs="宋体"/>
          <w:sz w:val="24"/>
        </w:rPr>
        <w:t>法定（授权）代表人：</w:t>
      </w:r>
      <w:r>
        <w:rPr>
          <w:rFonts w:hint="eastAsia" w:ascii="宋体" w:hAnsi="宋体" w:cs="宋体"/>
          <w:sz w:val="24"/>
          <w:u w:val="single"/>
        </w:rPr>
        <w:t>（签章）</w:t>
      </w:r>
    </w:p>
    <w:p w14:paraId="13B14529">
      <w:pPr>
        <w:snapToGrid w:val="0"/>
        <w:spacing w:before="156" w:beforeLines="50" w:after="312" w:afterLines="100" w:line="440" w:lineRule="exact"/>
        <w:ind w:firstLine="480" w:firstLineChars="200"/>
        <w:rPr>
          <w:rFonts w:ascii="宋体" w:hAnsi="宋体" w:cs="宋体"/>
          <w:sz w:val="24"/>
        </w:rPr>
      </w:pPr>
      <w:r>
        <w:rPr>
          <w:rFonts w:hint="eastAsia" w:ascii="宋体" w:hAnsi="宋体" w:cs="宋体"/>
          <w:sz w:val="24"/>
        </w:rPr>
        <w:t>签订日期：年月日</w:t>
      </w:r>
    </w:p>
    <w:p w14:paraId="6EE6F304">
      <w:pPr>
        <w:snapToGrid w:val="0"/>
        <w:spacing w:before="312" w:beforeLines="100" w:after="156" w:afterLines="50" w:line="440" w:lineRule="exact"/>
        <w:ind w:firstLine="482" w:firstLineChars="200"/>
        <w:rPr>
          <w:rFonts w:ascii="宋体" w:hAnsi="宋体" w:cs="宋体"/>
          <w:bCs/>
          <w:sz w:val="24"/>
          <w:u w:val="single"/>
        </w:rPr>
      </w:pPr>
      <w:r>
        <w:rPr>
          <w:rFonts w:hint="eastAsia" w:ascii="宋体" w:hAnsi="宋体" w:cs="宋体"/>
          <w:b/>
          <w:sz w:val="24"/>
        </w:rPr>
        <w:t>乙方：</w:t>
      </w:r>
      <w:r>
        <w:rPr>
          <w:rFonts w:hint="eastAsia" w:ascii="宋体" w:hAnsi="宋体" w:cs="宋体"/>
          <w:bCs/>
          <w:sz w:val="24"/>
          <w:u w:val="single"/>
        </w:rPr>
        <w:t>（盖章）</w:t>
      </w:r>
    </w:p>
    <w:p w14:paraId="1F885BD4">
      <w:pPr>
        <w:snapToGrid w:val="0"/>
        <w:spacing w:before="156" w:beforeLines="50" w:after="156" w:afterLines="50" w:line="440" w:lineRule="exact"/>
        <w:ind w:firstLine="480" w:firstLineChars="200"/>
        <w:rPr>
          <w:rFonts w:ascii="宋体" w:hAnsi="宋体" w:cs="宋体"/>
          <w:b/>
          <w:sz w:val="24"/>
          <w:u w:val="single"/>
        </w:rPr>
      </w:pPr>
      <w:r>
        <w:rPr>
          <w:rFonts w:hint="eastAsia" w:ascii="宋体" w:hAnsi="宋体" w:cs="宋体"/>
          <w:bCs/>
          <w:sz w:val="24"/>
        </w:rPr>
        <w:t>地址：</w:t>
      </w:r>
    </w:p>
    <w:p w14:paraId="29534E25">
      <w:pPr>
        <w:snapToGrid w:val="0"/>
        <w:spacing w:before="156" w:beforeLines="50" w:after="156" w:afterLines="50" w:line="440" w:lineRule="exact"/>
        <w:ind w:firstLine="480" w:firstLineChars="200"/>
        <w:rPr>
          <w:rFonts w:ascii="宋体" w:hAnsi="宋体" w:cs="宋体"/>
          <w:sz w:val="24"/>
        </w:rPr>
      </w:pPr>
      <w:r>
        <w:rPr>
          <w:rFonts w:hint="eastAsia" w:ascii="宋体" w:hAnsi="宋体" w:cs="宋体"/>
          <w:sz w:val="24"/>
        </w:rPr>
        <w:t>法定（授权）代表人：</w:t>
      </w:r>
      <w:r>
        <w:rPr>
          <w:rFonts w:hint="eastAsia" w:ascii="宋体" w:hAnsi="宋体" w:cs="宋体"/>
          <w:sz w:val="24"/>
          <w:u w:val="single"/>
        </w:rPr>
        <w:t>（签章）</w:t>
      </w:r>
    </w:p>
    <w:p w14:paraId="732CAD3B">
      <w:pPr>
        <w:snapToGrid w:val="0"/>
        <w:spacing w:before="156" w:beforeLines="50" w:after="156" w:afterLines="50" w:line="440" w:lineRule="exact"/>
        <w:ind w:firstLine="480" w:firstLineChars="200"/>
        <w:rPr>
          <w:rFonts w:ascii="宋体" w:hAnsi="宋体" w:cs="宋体"/>
          <w:sz w:val="24"/>
        </w:rPr>
      </w:pPr>
      <w:r>
        <w:rPr>
          <w:rFonts w:hint="eastAsia" w:ascii="宋体" w:hAnsi="宋体" w:cs="宋体"/>
          <w:sz w:val="24"/>
        </w:rPr>
        <w:t>银行户名：</w:t>
      </w:r>
      <w:r>
        <w:rPr>
          <w:rFonts w:hint="eastAsia" w:ascii="宋体" w:hAnsi="宋体" w:cs="宋体"/>
          <w:sz w:val="24"/>
          <w:lang w:val="en-US" w:eastAsia="zh-CN"/>
        </w:rPr>
        <w:t xml:space="preserve">                 </w:t>
      </w:r>
      <w:r>
        <w:rPr>
          <w:rFonts w:hint="eastAsia" w:ascii="宋体" w:hAnsi="宋体" w:cs="宋体"/>
          <w:sz w:val="24"/>
        </w:rPr>
        <w:t>开户银行：</w:t>
      </w:r>
    </w:p>
    <w:p w14:paraId="144835CE">
      <w:pPr>
        <w:snapToGrid w:val="0"/>
        <w:spacing w:before="156" w:beforeLines="50" w:after="156" w:afterLines="50" w:line="440" w:lineRule="exact"/>
        <w:ind w:firstLine="480" w:firstLineChars="200"/>
        <w:rPr>
          <w:rFonts w:hint="eastAsia" w:ascii="宋体" w:hAnsi="宋体" w:cs="宋体"/>
          <w:sz w:val="24"/>
        </w:rPr>
      </w:pPr>
      <w:r>
        <w:rPr>
          <w:rFonts w:hint="eastAsia" w:ascii="宋体" w:hAnsi="宋体" w:cs="宋体"/>
          <w:sz w:val="24"/>
        </w:rPr>
        <w:t>银行账号：</w:t>
      </w:r>
      <w:r>
        <w:rPr>
          <w:rFonts w:hint="eastAsia" w:ascii="宋体" w:hAnsi="宋体" w:cs="宋体"/>
          <w:sz w:val="24"/>
          <w:lang w:val="en-US" w:eastAsia="zh-CN"/>
        </w:rPr>
        <w:t xml:space="preserve">                </w:t>
      </w:r>
      <w:r>
        <w:rPr>
          <w:rFonts w:hint="eastAsia" w:ascii="宋体" w:hAnsi="宋体" w:cs="宋体"/>
          <w:sz w:val="24"/>
        </w:rPr>
        <w:t>签订日期：年月日</w:t>
      </w:r>
    </w:p>
    <w:p w14:paraId="537D3AD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F16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before="60"/>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2025-08-15T15:05:10Z</dcterms:created>
  <dc:creator>Administrator</dc:creator>
  <cp:lastModifiedBy>丰华</cp:lastModifiedBy>
  <dcterms:modified xsi:type="dcterms:W3CDTF">2025-08-15T15:06:12Z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eyJoZGlkIjoiMWFjNDQwNzlmMzIxYWMxMTM1OTRjZDY0MjI5NmZkODYiLCJ1c2VySWQiOiIzNTU2MzM1OTEifQ==</vt:lpwstr>
  </property>
  <property fmtid="{D5CDD505-2E9C-101B-9397-08002B2CF9AE}" pid="4" name="ICV">
    <vt:lpwstr>E6F4DD8927204B9596F3241C2138DDBD_12</vt:lpwstr>
  </property>
</Properties>
</file>