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英州镇土福湾片区城市更新项目国有土地房屋征收购置相关服务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[ZZYD]20250709001[CS]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陵水黎族自治县英州镇人民政府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海南中政源达项目管理有限公司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陵水黎族自治县英州镇人民政府</w:t>
      </w:r>
      <w:r>
        <w:rPr>
          <w:rFonts w:ascii="仿宋_GB2312" w:hAnsi="仿宋_GB2312" w:cs="仿宋_GB2312" w:eastAsia="仿宋_GB2312"/>
        </w:rPr>
        <w:t xml:space="preserve"> 的委托， </w:t>
      </w:r>
      <w:r>
        <w:rPr>
          <w:rFonts w:ascii="仿宋_GB2312" w:hAnsi="仿宋_GB2312" w:cs="仿宋_GB2312" w:eastAsia="仿宋_GB2312"/>
        </w:rPr>
        <w:t>海南中政源达项目管理有限公司</w:t>
      </w:r>
      <w:r>
        <w:rPr>
          <w:rFonts w:ascii="仿宋_GB2312" w:hAnsi="仿宋_GB2312" w:cs="仿宋_GB2312" w:eastAsia="仿宋_GB2312"/>
        </w:rPr>
        <w:t xml:space="preserve"> 对 </w:t>
      </w:r>
      <w:r>
        <w:rPr>
          <w:rFonts w:ascii="仿宋_GB2312" w:hAnsi="仿宋_GB2312" w:cs="仿宋_GB2312" w:eastAsia="仿宋_GB2312"/>
        </w:rPr>
        <w:t>英州镇土福湾片区城市更新项目国有土地房屋征收购置相关服务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[ZZYD]20250709001[CS]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英州镇土福湾片区城市更新项目国有土地房屋征收购置相关服务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3,995,800.00元</w:t>
      </w:r>
      <w:r>
        <w:rPr>
          <w:rFonts w:ascii="仿宋_GB2312" w:hAnsi="仿宋_GB2312" w:cs="仿宋_GB2312" w:eastAsia="仿宋_GB2312"/>
        </w:rPr>
        <w:t>叁佰玖拾玖万伍仟捌佰元整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签订合同之日起至征收工作完成时移交项目资料止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陵水黎族自治县英州镇人民政府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陵水黎族自治县英州镇府前一路5号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0898-83470061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海南中政源达项目管理有限公司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海南省海口市美兰区蓝天街道国兴大道11号海阔天空国瑞城（S5地块）B座办公楼31层B3102房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0898-65723406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采购包1：3,995,800.00元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自供应商提交响应文件截止之日计算60日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代理服务费收费标准：本项目的招标代理服务费参考计价格[2002]1980号收费标准收取。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16.1.本项目以供应商成功加密后递交至海南省政府采购智慧云平台的电子响应文件为准，因投标人自身原因导致无法解密或解密失败的，自行承担不利后果。 16.2.本项目采用的是竞争性磋商采购方式，其中磋商及最终报价程序均采用在线方式，供应商如遇技术问题自行联系海南省政府采购智慧云平台客服。 16.3.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注：磋商小组认为供应商的报价明显低于其他通过符合性审查供应商，有可能影响产品质量或者不能诚信履约的，且供应商不能按磋商小组的要求证明其报价合理性的，磋商小组应当将其作为无效响应处理。16.4.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联系人：许工</w:t>
      </w:r>
    </w:p>
    <w:p>
      <w:pPr>
        <w:pStyle w:val="null3"/>
        <w:jc w:val="left"/>
      </w:pPr>
      <w:r>
        <w:rPr>
          <w:rFonts w:ascii="仿宋_GB2312" w:hAnsi="仿宋_GB2312" w:cs="仿宋_GB2312" w:eastAsia="仿宋_GB2312"/>
        </w:rPr>
        <w:t>联系电话：0898-83470061</w:t>
      </w:r>
    </w:p>
    <w:p>
      <w:pPr>
        <w:pStyle w:val="null3"/>
        <w:jc w:val="left"/>
      </w:pPr>
      <w:r>
        <w:rPr>
          <w:rFonts w:ascii="仿宋_GB2312" w:hAnsi="仿宋_GB2312" w:cs="仿宋_GB2312" w:eastAsia="仿宋_GB2312"/>
        </w:rPr>
        <w:t>地址：陵水黎族自治县英州镇府前一路65号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b/>
          <w:color w:val="000000"/>
        </w:rPr>
        <w:t>一、项目背景</w:t>
      </w:r>
    </w:p>
    <w:p>
      <w:pPr>
        <w:pStyle w:val="null3"/>
        <w:ind w:firstLine="480"/>
        <w:jc w:val="both"/>
      </w:pPr>
      <w:r>
        <w:rPr>
          <w:rFonts w:ascii="仿宋_GB2312" w:hAnsi="仿宋_GB2312" w:cs="仿宋_GB2312" w:eastAsia="仿宋_GB2312"/>
          <w:sz w:val="21"/>
        </w:rPr>
        <w:t>坚持以习近平新时代中国特色社会主义思想为指导，深入贯彻落实国家新型城镇化战略和</w:t>
      </w:r>
      <w:r>
        <w:rPr>
          <w:rFonts w:ascii="仿宋_GB2312" w:hAnsi="仿宋_GB2312" w:cs="仿宋_GB2312" w:eastAsia="仿宋_GB2312"/>
          <w:sz w:val="21"/>
        </w:rPr>
        <w:t>“十四五”规划目标，“统筹推进城市功能完善、生态修复、文化传承与产业升级，打造宜居、韧性、智慧、人文的现代化城市”精神，加快推进我县城市结构优化、功能完善和品质提升，改善人居环境，着力打造热带海岛滨海精致城市和创新创业活力城市。</w:t>
      </w:r>
      <w:r>
        <w:rPr>
          <w:rFonts w:ascii="仿宋_GB2312" w:hAnsi="仿宋_GB2312" w:cs="仿宋_GB2312" w:eastAsia="仿宋_GB2312"/>
          <w:sz w:val="21"/>
        </w:rPr>
        <w:t>根据《陵水黎族自治县人民政府关于同意启动英州镇土福湾片区城市更新项目国有土地房屋征收的批复》（陵府函</w:t>
      </w:r>
      <w:r>
        <w:rPr>
          <w:rFonts w:ascii="仿宋_GB2312" w:hAnsi="仿宋_GB2312" w:cs="仿宋_GB2312" w:eastAsia="仿宋_GB2312"/>
          <w:sz w:val="21"/>
        </w:rPr>
        <w:t>〔</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54</w:t>
      </w:r>
      <w:r>
        <w:rPr>
          <w:rFonts w:ascii="仿宋_GB2312" w:hAnsi="仿宋_GB2312" w:cs="仿宋_GB2312" w:eastAsia="仿宋_GB2312"/>
          <w:sz w:val="21"/>
        </w:rPr>
        <w:t>号</w:t>
      </w:r>
      <w:r>
        <w:rPr>
          <w:rFonts w:ascii="仿宋_GB2312" w:hAnsi="仿宋_GB2312" w:cs="仿宋_GB2312" w:eastAsia="仿宋_GB2312"/>
          <w:sz w:val="21"/>
        </w:rPr>
        <w:t>）文件精神</w:t>
      </w:r>
      <w:r>
        <w:rPr>
          <w:rFonts w:ascii="仿宋_GB2312" w:hAnsi="仿宋_GB2312" w:cs="仿宋_GB2312" w:eastAsia="仿宋_GB2312"/>
          <w:sz w:val="21"/>
        </w:rPr>
        <w:t>，启动该项目房屋征收等工作。本次实施范围为英州镇土福湾片区城市更新项目国有土地房屋征收购置相关服务，</w:t>
      </w:r>
      <w:r>
        <w:rPr>
          <w:rFonts w:ascii="仿宋_GB2312" w:hAnsi="仿宋_GB2312" w:cs="仿宋_GB2312" w:eastAsia="仿宋_GB2312"/>
          <w:sz w:val="21"/>
        </w:rPr>
        <w:t>项目预征收总面积</w:t>
      </w:r>
      <w:r>
        <w:rPr>
          <w:rFonts w:ascii="仿宋_GB2312" w:hAnsi="仿宋_GB2312" w:cs="仿宋_GB2312" w:eastAsia="仿宋_GB2312"/>
          <w:sz w:val="21"/>
        </w:rPr>
        <w:t>28.46</w:t>
      </w:r>
      <w:r>
        <w:rPr>
          <w:rFonts w:ascii="仿宋_GB2312" w:hAnsi="仿宋_GB2312" w:cs="仿宋_GB2312" w:eastAsia="仿宋_GB2312"/>
          <w:sz w:val="21"/>
        </w:rPr>
        <w:t>万㎡（建筑面积约为</w:t>
      </w:r>
      <w:r>
        <w:rPr>
          <w:rFonts w:ascii="仿宋_GB2312" w:hAnsi="仿宋_GB2312" w:cs="仿宋_GB2312" w:eastAsia="仿宋_GB2312"/>
          <w:sz w:val="21"/>
        </w:rPr>
        <w:t>9.95</w:t>
      </w:r>
      <w:r>
        <w:rPr>
          <w:rFonts w:ascii="仿宋_GB2312" w:hAnsi="仿宋_GB2312" w:cs="仿宋_GB2312" w:eastAsia="仿宋_GB2312"/>
          <w:sz w:val="21"/>
        </w:rPr>
        <w:t>万㎡，土地面积约为</w:t>
      </w:r>
      <w:r>
        <w:rPr>
          <w:rFonts w:ascii="仿宋_GB2312" w:hAnsi="仿宋_GB2312" w:cs="仿宋_GB2312" w:eastAsia="仿宋_GB2312"/>
          <w:sz w:val="21"/>
        </w:rPr>
        <w:t>18.51</w:t>
      </w:r>
      <w:r>
        <w:rPr>
          <w:rFonts w:ascii="仿宋_GB2312" w:hAnsi="仿宋_GB2312" w:cs="仿宋_GB2312" w:eastAsia="仿宋_GB2312"/>
          <w:sz w:val="21"/>
        </w:rPr>
        <w:t>万㎡</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3,995,800.00</w:t>
      </w:r>
    </w:p>
    <w:p>
      <w:pPr>
        <w:pStyle w:val="null3"/>
        <w:jc w:val="left"/>
      </w:pPr>
      <w:r>
        <w:rPr>
          <w:rFonts w:ascii="仿宋_GB2312" w:hAnsi="仿宋_GB2312" w:cs="仿宋_GB2312" w:eastAsia="仿宋_GB2312"/>
        </w:rPr>
        <w:t>采购包最高限价（元）: 3,995,800.00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3,995,800.00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3,995,800.00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color w:val="000000"/>
              </w:rPr>
              <w:t>项目详细服务内容及工作量占比</w:t>
            </w:r>
          </w:p>
          <w:tbl>
            <w:tblPr>
              <w:tblBorders>
                <w:top w:val="none" w:color="000000" w:sz="4"/>
                <w:left w:val="none" w:color="000000" w:sz="4"/>
                <w:bottom w:val="none" w:color="000000" w:sz="4"/>
                <w:right w:val="none" w:color="000000" w:sz="4"/>
                <w:insideH w:val="none"/>
                <w:insideV w:val="none"/>
              </w:tblBorders>
            </w:tblPr>
            <w:tblGrid>
              <w:gridCol w:w="308"/>
              <w:gridCol w:w="534"/>
              <w:gridCol w:w="1196"/>
              <w:gridCol w:w="515"/>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项目</w:t>
                  </w:r>
                </w:p>
              </w:tc>
              <w:tc>
                <w:tcPr>
                  <w:tcW w:type="dxa" w:w="1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内容</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%（占比）</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产权登记确认</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核对证件，登记建档，向国土、规划、房产等部门核查档案，协助进行产权认定</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核算补偿数额</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依方案计算出每个被征收人的补偿结果</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动迁签订协议</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舆论宣传，开动员会，讲解政策，计算各项补偿，协助签订征收补偿安置协议</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整理征收档案</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按档案管理规范整理资料，逐户建档，及时送业主单位存档</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说明：</w:t>
                  </w:r>
                  <w:r>
                    <w:rPr>
                      <w:rFonts w:ascii="仿宋_GB2312" w:hAnsi="仿宋_GB2312" w:cs="仿宋_GB2312" w:eastAsia="仿宋_GB2312"/>
                      <w:sz w:val="28"/>
                      <w:color w:val="000000"/>
                    </w:rPr>
                    <w:t>①本表以一个完整的征收项目，按工作和时间顺序，将整个过程分解，并按工作量和难度进行量化，计算单项工作占总工作量的百分比。</w:t>
                  </w:r>
                </w:p>
                <w:p>
                  <w:pPr>
                    <w:pStyle w:val="null3"/>
                    <w:jc w:val="both"/>
                  </w:pPr>
                  <w:r>
                    <w:rPr>
                      <w:rFonts w:ascii="仿宋_GB2312" w:hAnsi="仿宋_GB2312" w:cs="仿宋_GB2312" w:eastAsia="仿宋_GB2312"/>
                      <w:sz w:val="28"/>
                      <w:color w:val="000000"/>
                    </w:rPr>
                    <w:t>②此</w:t>
                  </w:r>
                  <w:r>
                    <w:rPr>
                      <w:rFonts w:ascii="仿宋_GB2312" w:hAnsi="仿宋_GB2312" w:cs="仿宋_GB2312" w:eastAsia="仿宋_GB2312"/>
                      <w:sz w:val="28"/>
                      <w:color w:val="000000"/>
                    </w:rPr>
                    <w:t>4</w:t>
                  </w:r>
                  <w:r>
                    <w:rPr>
                      <w:rFonts w:ascii="仿宋_GB2312" w:hAnsi="仿宋_GB2312" w:cs="仿宋_GB2312" w:eastAsia="仿宋_GB2312"/>
                      <w:sz w:val="28"/>
                      <w:color w:val="000000"/>
                    </w:rPr>
                    <w:t>项内容包含的工作量、工作力度计量占整个项目征收服务比例的</w:t>
                  </w:r>
                  <w:r>
                    <w:rPr>
                      <w:rFonts w:ascii="仿宋_GB2312" w:hAnsi="仿宋_GB2312" w:cs="仿宋_GB2312" w:eastAsia="仿宋_GB2312"/>
                      <w:sz w:val="28"/>
                      <w:color w:val="000000"/>
                    </w:rPr>
                    <w:t>26</w:t>
                  </w:r>
                  <w:r>
                    <w:rPr>
                      <w:rFonts w:ascii="仿宋_GB2312" w:hAnsi="仿宋_GB2312" w:cs="仿宋_GB2312" w:eastAsia="仿宋_GB2312"/>
                      <w:sz w:val="28"/>
                      <w:color w:val="000000"/>
                    </w:rPr>
                    <w:t>%，在此基础上按</w:t>
                  </w:r>
                  <w:r>
                    <w:rPr>
                      <w:rFonts w:ascii="仿宋_GB2312" w:hAnsi="仿宋_GB2312" w:cs="仿宋_GB2312" w:eastAsia="仿宋_GB2312"/>
                      <w:sz w:val="28"/>
                      <w:color w:val="000000"/>
                    </w:rPr>
                    <w:t>60</w:t>
                  </w:r>
                  <w:r>
                    <w:rPr>
                      <w:rFonts w:ascii="仿宋_GB2312" w:hAnsi="仿宋_GB2312" w:cs="仿宋_GB2312" w:eastAsia="仿宋_GB2312"/>
                      <w:sz w:val="28"/>
                      <w:color w:val="000000"/>
                    </w:rPr>
                    <w:t>%折扣率进行招标。</w:t>
                  </w:r>
                </w:p>
                <w:p>
                  <w:pPr>
                    <w:pStyle w:val="null3"/>
                    <w:jc w:val="both"/>
                  </w:pPr>
                  <w:r>
                    <w:rPr>
                      <w:rFonts w:ascii="仿宋_GB2312" w:hAnsi="仿宋_GB2312" w:cs="仿宋_GB2312" w:eastAsia="仿宋_GB2312"/>
                      <w:sz w:val="28"/>
                      <w:color w:val="000000"/>
                    </w:rPr>
                    <w:t>③征收服务工作经费标准为90元/m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项服务总收费</w:t>
                  </w:r>
                  <w:r>
                    <w:rPr>
                      <w:rFonts w:ascii="仿宋_GB2312" w:hAnsi="仿宋_GB2312" w:cs="仿宋_GB2312" w:eastAsia="仿宋_GB2312"/>
                      <w:sz w:val="28"/>
                      <w:color w:val="000000"/>
                    </w:rPr>
                    <w:t>=</w:t>
                  </w:r>
                  <w:r>
                    <w:rPr>
                      <w:rFonts w:ascii="仿宋_GB2312" w:hAnsi="仿宋_GB2312" w:cs="仿宋_GB2312" w:eastAsia="仿宋_GB2312"/>
                      <w:sz w:val="28"/>
                      <w:color w:val="000000"/>
                    </w:rPr>
                    <w:t>28.46</w:t>
                  </w:r>
                  <w:r>
                    <w:rPr>
                      <w:rFonts w:ascii="仿宋_GB2312" w:hAnsi="仿宋_GB2312" w:cs="仿宋_GB2312" w:eastAsia="仿宋_GB2312"/>
                      <w:sz w:val="28"/>
                      <w:color w:val="000000"/>
                    </w:rPr>
                    <w:t>万㎡（以实际征收总面积为准）</w:t>
                  </w:r>
                  <w:r>
                    <w:rPr>
                      <w:rFonts w:ascii="仿宋_GB2312" w:hAnsi="仿宋_GB2312" w:cs="仿宋_GB2312" w:eastAsia="仿宋_GB2312"/>
                      <w:sz w:val="28"/>
                      <w:color w:val="000000"/>
                    </w:rPr>
                    <w:t>×工作经费90元/㎡×</w:t>
                  </w:r>
                  <w:r>
                    <w:rPr>
                      <w:rFonts w:ascii="仿宋_GB2312" w:hAnsi="仿宋_GB2312" w:cs="仿宋_GB2312" w:eastAsia="仿宋_GB2312"/>
                      <w:sz w:val="28"/>
                      <w:color w:val="000000"/>
                    </w:rPr>
                    <w:t>26</w:t>
                  </w:r>
                  <w:r>
                    <w:rPr>
                      <w:rFonts w:ascii="仿宋_GB2312" w:hAnsi="仿宋_GB2312" w:cs="仿宋_GB2312" w:eastAsia="仿宋_GB2312"/>
                      <w:sz w:val="28"/>
                      <w:color w:val="000000"/>
                    </w:rPr>
                    <w:t>%×</w:t>
                  </w:r>
                  <w:r>
                    <w:rPr>
                      <w:rFonts w:ascii="仿宋_GB2312" w:hAnsi="仿宋_GB2312" w:cs="仿宋_GB2312" w:eastAsia="仿宋_GB2312"/>
                      <w:sz w:val="28"/>
                      <w:color w:val="000000"/>
                    </w:rPr>
                    <w:t>60</w:t>
                  </w:r>
                  <w:r>
                    <w:rPr>
                      <w:rFonts w:ascii="仿宋_GB2312" w:hAnsi="仿宋_GB2312" w:cs="仿宋_GB2312" w:eastAsia="仿宋_GB2312"/>
                      <w:sz w:val="28"/>
                      <w:color w:val="000000"/>
                    </w:rPr>
                    <w:t>%,最终服务收费金额以实际完成的服务内容为准。</w:t>
                  </w:r>
                </w:p>
                <w:p>
                  <w:pPr>
                    <w:pStyle w:val="null3"/>
                    <w:jc w:val="both"/>
                  </w:pPr>
                  <w:r>
                    <w:rPr>
                      <w:rFonts w:ascii="仿宋_GB2312" w:hAnsi="仿宋_GB2312" w:cs="仿宋_GB2312" w:eastAsia="仿宋_GB2312"/>
                      <w:sz w:val="28"/>
                      <w:color w:val="000000"/>
                    </w:rPr>
                    <w:t>④本项目财政审核后的总预算价格为</w:t>
                  </w:r>
                  <w:r>
                    <w:rPr>
                      <w:rFonts w:ascii="仿宋_GB2312" w:hAnsi="仿宋_GB2312" w:cs="仿宋_GB2312" w:eastAsia="仿宋_GB2312"/>
                      <w:sz w:val="28"/>
                      <w:color w:val="000000"/>
                    </w:rPr>
                    <w:t>399.58</w:t>
                  </w:r>
                  <w:r>
                    <w:rPr>
                      <w:rFonts w:ascii="仿宋_GB2312" w:hAnsi="仿宋_GB2312" w:cs="仿宋_GB2312" w:eastAsia="仿宋_GB2312"/>
                      <w:sz w:val="28"/>
                      <w:color w:val="000000"/>
                    </w:rPr>
                    <w:t>万元</w:t>
                  </w:r>
                  <w:r>
                    <w:rPr>
                      <w:rFonts w:ascii="仿宋_GB2312" w:hAnsi="仿宋_GB2312" w:cs="仿宋_GB2312" w:eastAsia="仿宋_GB2312"/>
                      <w:sz w:val="28"/>
                      <w:color w:val="000000"/>
                    </w:rPr>
                    <w:t>。</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b/>
                <w:color w:val="000000"/>
              </w:rPr>
              <w:t>一、项目预算</w:t>
            </w:r>
            <w:r>
              <w:rPr>
                <w:rFonts w:ascii="仿宋_GB2312" w:hAnsi="仿宋_GB2312" w:cs="仿宋_GB2312" w:eastAsia="仿宋_GB2312"/>
                <w:b/>
              </w:rPr>
              <w:t xml:space="preserve"> </w:t>
            </w:r>
          </w:p>
          <w:p>
            <w:pPr>
              <w:pStyle w:val="null3"/>
              <w:jc w:val="left"/>
            </w:pPr>
            <w:r>
              <w:rPr>
                <w:rFonts w:ascii="仿宋_GB2312" w:hAnsi="仿宋_GB2312" w:cs="仿宋_GB2312" w:eastAsia="仿宋_GB2312"/>
                <w:sz w:val="28"/>
                <w:color w:val="000000"/>
              </w:rPr>
              <w:t>预算金额：</w:t>
            </w:r>
            <w:r>
              <w:rPr>
                <w:rFonts w:ascii="仿宋_GB2312" w:hAnsi="仿宋_GB2312" w:cs="仿宋_GB2312" w:eastAsia="仿宋_GB2312"/>
                <w:sz w:val="28"/>
                <w:color w:val="000000"/>
              </w:rPr>
              <w:t>399.58</w:t>
            </w:r>
            <w:r>
              <w:rPr>
                <w:rFonts w:ascii="仿宋_GB2312" w:hAnsi="仿宋_GB2312" w:cs="仿宋_GB2312" w:eastAsia="仿宋_GB2312"/>
                <w:sz w:val="28"/>
                <w:color w:val="000000"/>
              </w:rPr>
              <w:t>万元（所有投标的供应商总报价不得高于预算总价，征收服务工作经费标准报价不得高于</w:t>
            </w:r>
            <w:r>
              <w:rPr>
                <w:rFonts w:ascii="仿宋_GB2312" w:hAnsi="仿宋_GB2312" w:cs="仿宋_GB2312" w:eastAsia="仿宋_GB2312"/>
                <w:sz w:val="28"/>
                <w:color w:val="000000"/>
              </w:rPr>
              <w:t>90元/m</w:t>
            </w:r>
            <w:r>
              <w:rPr>
                <w:rFonts w:ascii="仿宋_GB2312" w:hAnsi="仿宋_GB2312" w:cs="仿宋_GB2312" w:eastAsia="仿宋_GB2312"/>
                <w:sz w:val="28"/>
                <w:color w:val="000000"/>
                <w:vertAlign w:val="superscript"/>
              </w:rPr>
              <w:t>2 ，</w:t>
            </w:r>
            <w:r>
              <w:rPr>
                <w:rFonts w:ascii="仿宋_GB2312" w:hAnsi="仿宋_GB2312" w:cs="仿宋_GB2312" w:eastAsia="仿宋_GB2312"/>
                <w:sz w:val="28"/>
                <w:color w:val="000000"/>
              </w:rPr>
              <w:t>否则视为无效投标，按废标处理。）</w:t>
            </w:r>
          </w:p>
          <w:p>
            <w:pPr>
              <w:pStyle w:val="null3"/>
              <w:jc w:val="left"/>
            </w:pPr>
            <w:r>
              <w:rPr>
                <w:rFonts w:ascii="仿宋_GB2312" w:hAnsi="仿宋_GB2312" w:cs="仿宋_GB2312" w:eastAsia="仿宋_GB2312"/>
                <w:sz w:val="28"/>
                <w:b/>
                <w:color w:val="000000"/>
              </w:rPr>
              <w:t>二、付款方式及步骤</w:t>
            </w:r>
          </w:p>
          <w:p>
            <w:pPr>
              <w:pStyle w:val="null3"/>
              <w:jc w:val="left"/>
            </w:pPr>
            <w:r>
              <w:rPr>
                <w:rFonts w:ascii="仿宋_GB2312" w:hAnsi="仿宋_GB2312" w:cs="仿宋_GB2312" w:eastAsia="仿宋_GB2312"/>
                <w:sz w:val="28"/>
                <w:color w:val="000000"/>
              </w:rPr>
              <w:t>确定中标人后，以采购人和中标供应商签订的合同为准。</w:t>
            </w:r>
          </w:p>
          <w:p>
            <w:pPr>
              <w:pStyle w:val="null3"/>
              <w:jc w:val="left"/>
            </w:pPr>
            <w:r>
              <w:rPr>
                <w:rFonts w:ascii="仿宋_GB2312" w:hAnsi="仿宋_GB2312" w:cs="仿宋_GB2312" w:eastAsia="仿宋_GB2312"/>
                <w:sz w:val="28"/>
                <w:b/>
                <w:color w:val="000000"/>
              </w:rPr>
              <w:t>三、合同履行期限</w:t>
            </w:r>
          </w:p>
          <w:p>
            <w:pPr>
              <w:pStyle w:val="null3"/>
              <w:jc w:val="left"/>
            </w:pPr>
            <w:r>
              <w:rPr>
                <w:rFonts w:ascii="仿宋_GB2312" w:hAnsi="仿宋_GB2312" w:cs="仿宋_GB2312" w:eastAsia="仿宋_GB2312"/>
                <w:sz w:val="28"/>
                <w:color w:val="000000"/>
              </w:rPr>
              <w:t>合同履行期限：签订合同之日起至征收工作完成时移交项目资料止</w:t>
            </w:r>
          </w:p>
          <w:p>
            <w:pPr>
              <w:pStyle w:val="null3"/>
              <w:jc w:val="left"/>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服务地点：</w:t>
            </w:r>
          </w:p>
          <w:p>
            <w:pPr>
              <w:pStyle w:val="null3"/>
              <w:jc w:val="left"/>
            </w:pPr>
            <w:r>
              <w:rPr>
                <w:rFonts w:ascii="仿宋_GB2312" w:hAnsi="仿宋_GB2312" w:cs="仿宋_GB2312" w:eastAsia="仿宋_GB2312"/>
                <w:sz w:val="28"/>
                <w:b/>
                <w:color w:val="000000"/>
              </w:rPr>
              <w:t>服务地点：陵水县英州镇</w:t>
            </w:r>
          </w:p>
          <w:p>
            <w:pPr>
              <w:pStyle w:val="null3"/>
              <w:jc w:val="left"/>
            </w:pPr>
            <w:r>
              <w:rPr>
                <w:rFonts w:ascii="仿宋_GB2312" w:hAnsi="仿宋_GB2312" w:cs="仿宋_GB2312" w:eastAsia="仿宋_GB2312"/>
                <w:sz w:val="28"/>
                <w:b/>
                <w:color w:val="000000"/>
              </w:rPr>
              <w:t>五、</w:t>
            </w:r>
            <w:r>
              <w:rPr>
                <w:rFonts w:ascii="仿宋_GB2312" w:hAnsi="仿宋_GB2312" w:cs="仿宋_GB2312" w:eastAsia="仿宋_GB2312"/>
                <w:sz w:val="28"/>
                <w:b/>
                <w:color w:val="000000"/>
              </w:rPr>
              <w:t>质量要求</w:t>
            </w:r>
          </w:p>
          <w:p>
            <w:pPr>
              <w:pStyle w:val="null3"/>
              <w:jc w:val="left"/>
            </w:pPr>
            <w:r>
              <w:rPr>
                <w:rFonts w:ascii="仿宋_GB2312" w:hAnsi="仿宋_GB2312" w:cs="仿宋_GB2312" w:eastAsia="仿宋_GB2312"/>
                <w:sz w:val="28"/>
                <w:color w:val="000000"/>
              </w:rPr>
              <w:t>质量要求：合格</w:t>
            </w:r>
          </w:p>
          <w:p>
            <w:pPr>
              <w:pStyle w:val="null3"/>
              <w:jc w:val="left"/>
            </w:pPr>
            <w:r>
              <w:rPr>
                <w:rFonts w:ascii="仿宋_GB2312" w:hAnsi="仿宋_GB2312" w:cs="仿宋_GB2312" w:eastAsia="仿宋_GB2312"/>
                <w:sz w:val="28"/>
                <w:b/>
                <w:color w:val="000000"/>
              </w:rPr>
              <w:t>六</w:t>
            </w:r>
            <w:r>
              <w:rPr>
                <w:rFonts w:ascii="仿宋_GB2312" w:hAnsi="仿宋_GB2312" w:cs="仿宋_GB2312" w:eastAsia="仿宋_GB2312"/>
                <w:sz w:val="28"/>
                <w:b/>
                <w:color w:val="000000"/>
              </w:rPr>
              <w:t>、成果要求</w:t>
            </w:r>
          </w:p>
          <w:p>
            <w:pPr>
              <w:pStyle w:val="null3"/>
              <w:jc w:val="both"/>
            </w:pPr>
            <w:r>
              <w:rPr>
                <w:rFonts w:ascii="仿宋_GB2312" w:hAnsi="仿宋_GB2312" w:cs="仿宋_GB2312" w:eastAsia="仿宋_GB2312"/>
                <w:sz w:val="28"/>
                <w:color w:val="000000"/>
              </w:rPr>
              <w:t>成果要求：服务内容完成后交付成果为征收补偿安置档案材料和档案办结报告。征收原始档案</w:t>
            </w:r>
            <w:r>
              <w:rPr>
                <w:rFonts w:ascii="仿宋_GB2312" w:hAnsi="仿宋_GB2312" w:cs="仿宋_GB2312" w:eastAsia="仿宋_GB2312"/>
                <w:sz w:val="28"/>
                <w:color w:val="000000"/>
              </w:rPr>
              <w:t>1份，其他报告成果纸件两份，刻录光盘两份。</w:t>
            </w:r>
          </w:p>
          <w:p>
            <w:pPr>
              <w:pStyle w:val="null3"/>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法律、行政法规规定的其他条件的承诺函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投标函 残疾人福利性单位声明函 供应商应提交的相关证明材料 无重大违法记录声明函 法定代表人资格证明书或法定代表人授权委托书 监狱企业的证明文件 法律、行政法规规定的其他条件的承诺函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对项目实施方案的先进性、可靠性、合理性、响应性等进行综合评比： A.实施方案先进、可靠性强，合理性及响应性符合项目情况的得15分； B.实施方案先进、可靠性较强，合理性及响应性较符合项目情况的得10分； C.实施方案先进、可靠性一般，合理性及响应性一般符合项目情况的得5分； D.不提供者得0分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对项目理解与认识</w:t>
            </w:r>
          </w:p>
        </w:tc>
        <w:tc>
          <w:tcPr>
            <w:tcW w:type="dxa" w:w="2492"/>
          </w:tcPr>
          <w:p>
            <w:pPr>
              <w:pStyle w:val="null3"/>
              <w:jc w:val="left"/>
            </w:pPr>
            <w:r>
              <w:rPr>
                <w:rFonts w:ascii="仿宋_GB2312" w:hAnsi="仿宋_GB2312" w:cs="仿宋_GB2312" w:eastAsia="仿宋_GB2312"/>
              </w:rPr>
              <w:t>A、对项目背景理解、现状分析到位、合理，非常符合项目实际情况，得10分； B、对项目背景理解比较准确、现状分析比较到位及合理，比较符合项目实际情况，得7分； C、对项目背景理解不够、现状分析不到位、不够合理，不符合项目实际情况，得4分 D、不提供者得0分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项目重难点问题及对策措施</w:t>
            </w:r>
          </w:p>
        </w:tc>
        <w:tc>
          <w:tcPr>
            <w:tcW w:type="dxa" w:w="2492"/>
          </w:tcPr>
          <w:p>
            <w:pPr>
              <w:pStyle w:val="null3"/>
              <w:jc w:val="left"/>
            </w:pPr>
            <w:r>
              <w:rPr>
                <w:rFonts w:ascii="仿宋_GB2312" w:hAnsi="仿宋_GB2312" w:cs="仿宋_GB2312" w:eastAsia="仿宋_GB2312"/>
              </w:rPr>
              <w:t>A. 对本项目的重难点问题分析透彻且提出合理对策的得15分； B. 对本项目的重难点问题分析透彻，提出的对策一般的得10 分。 C. 对本项目现状的重难点问题分析透彻，但未提出合理对策或提出的对策较差的得5分。 D.不提供者得 0 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服务质量保障措施评价</w:t>
            </w:r>
          </w:p>
        </w:tc>
        <w:tc>
          <w:tcPr>
            <w:tcW w:type="dxa" w:w="2492"/>
          </w:tcPr>
          <w:p>
            <w:pPr>
              <w:pStyle w:val="null3"/>
              <w:jc w:val="left"/>
            </w:pPr>
            <w:r>
              <w:rPr>
                <w:rFonts w:ascii="仿宋_GB2312" w:hAnsi="仿宋_GB2312" w:cs="仿宋_GB2312" w:eastAsia="仿宋_GB2312"/>
              </w:rPr>
              <w:t>根据项目工作量对工作安排的合理性，资源配置及工期进度计划的合理性等进行综合评分： A.工作安排、资源配置合理，工期进度计划切实可行、科学、可靠，解决工作质量与进度双保证的需求得15分。 B.工作安排、资源配置较合理，工期进度计划较切实可行、科学得10分。 C.工作安排、资源配置一般，工期进度计划一般得5分。 D.不提供者得 0 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风险防范与应对措施</w:t>
            </w:r>
          </w:p>
        </w:tc>
        <w:tc>
          <w:tcPr>
            <w:tcW w:type="dxa" w:w="2492"/>
          </w:tcPr>
          <w:p>
            <w:pPr>
              <w:pStyle w:val="null3"/>
              <w:jc w:val="left"/>
            </w:pPr>
            <w:r>
              <w:rPr>
                <w:rFonts w:ascii="仿宋_GB2312" w:hAnsi="仿宋_GB2312" w:cs="仿宋_GB2312" w:eastAsia="仿宋_GB2312"/>
              </w:rPr>
              <w:t>根据投标人提供的风险防范与应对措施进行综合评价： A、风险防范与应对措施方案详细、思路非常清晰、采取的措施非常合理，得10分； B、风险防范与应对措施方案比较详细、思路比较清 晰、采取的措施比较合理，得7分 ； C、风险防范与应对措施方案不够详细、思路 不够清晰、采取的措施不够合理，得4分； D、不提供者得0分。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供应商承接过类似业绩的，每个得5分，满分10分； 证明材料: 提供合同或中标通知书复印件加盖公章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专业人员配备</w:t>
            </w:r>
          </w:p>
        </w:tc>
        <w:tc>
          <w:tcPr>
            <w:tcW w:type="dxa" w:w="2492"/>
          </w:tcPr>
          <w:p>
            <w:pPr>
              <w:pStyle w:val="null3"/>
              <w:jc w:val="left"/>
            </w:pPr>
            <w:r>
              <w:rPr>
                <w:rFonts w:ascii="仿宋_GB2312" w:hAnsi="仿宋_GB2312" w:cs="仿宋_GB2312" w:eastAsia="仿宋_GB2312"/>
              </w:rPr>
              <w:t>供应商每提供一名注册咨询工程师（投资）登记证书的得2.5分，最多得5分。 证明材料：提供证书复印件及2025年1月至今任意三个月的社保缴纳证明复印件并加盖单位公章，不提供不得分。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其他人员配备</w:t>
            </w:r>
          </w:p>
        </w:tc>
        <w:tc>
          <w:tcPr>
            <w:tcW w:type="dxa" w:w="2492"/>
          </w:tcPr>
          <w:p>
            <w:pPr>
              <w:pStyle w:val="null3"/>
              <w:jc w:val="left"/>
            </w:pPr>
            <w:r>
              <w:rPr>
                <w:rFonts w:ascii="仿宋_GB2312" w:hAnsi="仿宋_GB2312" w:cs="仿宋_GB2312" w:eastAsia="仿宋_GB2312"/>
              </w:rPr>
              <w:t>其他服务团队人员配置满足10人的，得10分，每缺少1人扣1分，扣完为止。 证明材料：提供人员身份证复印件及2025年1月至今任意三个月的社保缴纳证明复印件并加盖单位公章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[ZZYD]20250709001[CS]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英州镇土福湾片区城市更新项目国有土地房屋征收购置相关服务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英州镇土福湾片区城市更新项目国有土地房屋征收购置相关服务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3995800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详见附件：法律、行政法规规定的其他条件的承诺函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