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陵水黎族自治县教育城域网（含校园网）服务项目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陵水黎族自治县教育局</w:t>
      </w:r>
      <w:r>
        <w:rPr>
          <w:rFonts w:ascii="仿宋_GB2312" w:hAnsi="仿宋_GB2312" w:cs="仿宋_GB2312" w:eastAsia="仿宋_GB2312"/>
        </w:rPr>
        <w:t xml:space="preserve"> 的委托，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陵水黎族自治县教育城域网（含校园网）服务项目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[HNZT]20250600001[CS]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陵水黎族自治县教育城域网（含校园网）服务项目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3,560,400.00元</w:t>
      </w:r>
      <w:r>
        <w:rPr>
          <w:rFonts w:ascii="仿宋_GB2312" w:hAnsi="仿宋_GB2312" w:cs="仿宋_GB2312" w:eastAsia="仿宋_GB2312"/>
        </w:rPr>
        <w:t>叁佰伍拾陆万零肆佰元整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项目交付完成，并达到验收标准之日起，服务周期1年。（在招标人落实下一年度预算费用的前提下，且本项目服务内容及服务要求不变、价格不变，双方协商同意，可依据本次招标结果所签订的合同顺延一年，合同一年一签，最多可续签两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1、本项目的特定资格要求：投标人应具备《基础电信业务经营许可证》或《增值电信业务经营许可证》（提供证书有效期内复印件并加盖单位公章）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陵水黎族自治县新丰路39号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陈锦春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0898-83315018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采购包1：3,560,400.00元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从提交响应文件的截止之日起算的90天内有效。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代理服务费收费标准：（1）采购预算作为计费基数,按照国家有关收费标准（计价格[2002]1980号文、发改价格[2011]534号文） 计取，向成交人收取代理费¥35483.00元。 （2）支付方式：由成交人3个工作日内向海南政通招投标有限公司一次性支付。 户 名：海南政通招投标有限公司 账 户：266261986176 开户行：中国银行股份有限公司海南省分行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 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 供应商如遇技术问题自行联系海南省政府采购智慧云平台客服。 3. 本次采购标的所属行业为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地址：海南省海口市蓝天路西12号世纪港B905室</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项目概况</w:t>
      </w:r>
      <w:r>
        <w:br/>
      </w:r>
      <w:r>
        <w:rPr>
          <w:rFonts w:ascii="仿宋_GB2312" w:hAnsi="仿宋_GB2312" w:cs="仿宋_GB2312" w:eastAsia="仿宋_GB2312"/>
        </w:rPr>
        <w:t xml:space="preserve"> 1、背景：为深入贯彻落实《教育部等六部门关于推进教育信息基础设施建设构建高质量教育支撑体系的指导意见》《海南省国家中小学智慧教育平台全域应用试点方案》等文件精神， 推动高标准、高效率建成泛在互联、绿色安全的海南省教育城域网，支持国家中小学智慧教育平台全域全员全流程应用,全面整合优质教育资源，实现全方位多场景智能助力，着力建设海南全域智慧教育试验区，助力海南自由贸易港建设，海南省教育厅制定《海南省教育城域网建设指南》，用以支撑海南教育数字化持续健康发展，助力海南省国家中小学智慧教育平台全域应用试点工作，推进优质资源互联互通和共建共享，规范海南省教育城域网建设；教育城域网由省级核心节点、市县教育城域网和校园网三级架构，省级核心节点向上连接中国教育和科研计算机网，向下连接市县教育城域网枢纽节点，同时高速连接省政务外网、省直属教育机构、省直属中学、高校和公众互联网；具有带宽大、速度快、延迟小等特点，为高带宽教育教学应用提供高质量网络支持，支撑全省教育各类业务访问，包括中国教育和科研计算机网业务、政务外网业务、国家智慧教育公共服务平台业务等；严格执行国家网络安全等级保护制度，确保省级核心节点的网络安全等级达到三级标准，市县教育城域网达到二级安全要求，全面提升各级网络的安全防护能力；陵水县教育局（学校）积极筹措资金，积极推进教育城域网（含校园网）建设任务；由海南省教育厅统一规划部署及管理，连接全省各类学校和各级教育机构，为全体师生和教育工作者提供高速、便捷、绿色、安全服务的教育行业专用网络。这些要求旨在确保教育城域网的高效运行和安全性，为海南教育数字化转型提供有力支撑。</w:t>
      </w:r>
      <w:r>
        <w:br/>
      </w:r>
      <w:r>
        <w:rPr>
          <w:rFonts w:ascii="仿宋_GB2312" w:hAnsi="仿宋_GB2312" w:cs="仿宋_GB2312" w:eastAsia="仿宋_GB2312"/>
        </w:rPr>
        <w:t xml:space="preserve">       陵水黎族自治县教育局为全面贯彻落实《中共海南省委教育工作领导小组关于印发&lt;海南省推进国家中小学智慧教育平台深化应用行动计划&gt;的通知》(琼委教〔2024〕4号)文件精神，加强基础环境建设，赋能教育高质量发展，保障教学资源高效访问及网络安全运行。根据《海南省教育城域网建设指南》指导意见，陵水黎族自治县教育局结合全县各学校网络实际情况，通过购买服务方式完成陵水黎族自治县教育城域网（含校园网）建设，建设及运维内容包括城域网枢纽节点、传输网络、校园网络、网络设备等。教育城域网枢纽节点由运营商提供场地及网络、安全、服务器、存储等设施和设备；传输网络由运营商提供通信信道（OTN），向上通过高带宽10G/40G/100G以太网接口链路，实现与教育城域网省级核心节点的无缝对接，横向采用多出口策略连接互联网，有效实现负载分担；校园网络采用光纤进班方式接入各类信息终端，确保每个终端接入的并行带宽不低于100Mbps。陵水黎族自治县教育城域网向上连接海南省教育城域网省级核心节点，横向连接互联网，向下连接76所公办中小学校（幼儿园）网络，实现100M到班或1000M到校，校园WIFI网络覆盖率达100%。 </w:t>
      </w:r>
      <w:r>
        <w:br/>
      </w:r>
      <w:r>
        <w:rPr>
          <w:rFonts w:ascii="仿宋_GB2312" w:hAnsi="仿宋_GB2312" w:cs="仿宋_GB2312" w:eastAsia="仿宋_GB2312"/>
        </w:rPr>
        <w:t xml:space="preserve"> 2、网络现状</w:t>
      </w:r>
      <w:r>
        <w:br/>
      </w:r>
      <w:r>
        <w:rPr>
          <w:rFonts w:ascii="仿宋_GB2312" w:hAnsi="仿宋_GB2312" w:cs="仿宋_GB2312" w:eastAsia="仿宋_GB2312"/>
        </w:rPr>
        <w:t xml:space="preserve">       目前陵水黎族自治县共有76所公办中小学，尚未建设统一的县教育城域网，每所学校根据学校规模不同，校园网接入50M-1000M不等数字电路。</w:t>
      </w:r>
      <w:r>
        <w:br/>
      </w:r>
      <w:r>
        <w:rPr>
          <w:rFonts w:ascii="仿宋_GB2312" w:hAnsi="仿宋_GB2312" w:cs="仿宋_GB2312" w:eastAsia="仿宋_GB2312"/>
        </w:rPr>
        <w:t xml:space="preserve">       陵水中学、中山小学等73所学校网络由于网络线路及设备陈旧老化较多，需按教育城域网光纤进班模式全面升级改造。</w:t>
      </w:r>
      <w:r>
        <w:br/>
      </w:r>
      <w:r>
        <w:rPr>
          <w:rFonts w:ascii="仿宋_GB2312" w:hAnsi="仿宋_GB2312" w:cs="仿宋_GB2312" w:eastAsia="仿宋_GB2312"/>
        </w:rPr>
        <w:t xml:space="preserve">       民大附件陵水分校、顺湖中学、黎安滨海学校3所学校原校园网基础设施比较完好，可按校园网模式在原基础上升级改造校园网，采用千兆到校模式建设校园网，对原学校互联网专线提升为1000M接入，并做好出口网关（用学校内网与教育专网ip地址互通）建设。</w:t>
      </w:r>
      <w:r>
        <w:br/>
      </w:r>
      <w:r>
        <w:rPr>
          <w:rFonts w:ascii="仿宋_GB2312" w:hAnsi="仿宋_GB2312" w:cs="仿宋_GB2312" w:eastAsia="仿宋_GB2312"/>
        </w:rPr>
        <w:t xml:space="preserve"> 3、需求分析</w:t>
      </w:r>
      <w:r>
        <w:br/>
      </w:r>
      <w:r>
        <w:rPr>
          <w:rFonts w:ascii="仿宋_GB2312" w:hAnsi="仿宋_GB2312" w:cs="仿宋_GB2312" w:eastAsia="仿宋_GB2312"/>
        </w:rPr>
        <w:t xml:space="preserve">       本项目教育城域网建设及运维内容包括城域网枢纽节点、传输网络、校园网络、网络设备等。教育城域网枢纽节点由运营商提供场地及网络、安全、服务器、存储等设施和设备；传输网络由运营商提供通信信道（OTN），向上通过高带宽10G/40G/100G以太网接口链路，实现与教育城域网省级核心节点的无缝对接，横向采用多出口策略连接互联网，有效实现负载分担；校园网络采用光纤进班方式接入各类信息终端，确保每个终端接入的并行带宽不低于100Mbps，包括普通教室、多媒体教室、功能教室、教师办公室、同步课堂、录播互动教研教室等；计算机教室每间接入带宽300-500Mbps。</w:t>
      </w:r>
      <w:r>
        <w:br/>
      </w:r>
      <w:r>
        <w:rPr>
          <w:rFonts w:ascii="仿宋_GB2312" w:hAnsi="仿宋_GB2312" w:cs="仿宋_GB2312" w:eastAsia="仿宋_GB2312"/>
        </w:rPr>
        <w:t xml:space="preserve">       网络安全要求：教育城域网的建设应符合GB/T22240-2020的等保要求，达到网络安全等级定级的二级标准。教育城域网出口部署10G安全审计、安全防护设备，作为互联网出口和教育城域网边界安全的设备，要实现对教育城域网和互联网流量的安全审计、安全告警、安全事件溯源。对网络单元格进行漏洞、弱口令、基线自查，修复，形成闭环。实时对安全威胁有效管控。防护僵木蠕病毒、黄赌毒网站等常见威胁，保障绿色上网，并能提对网络安全事件进行溯源。校园网信息化终端部署安全软件，实现安全事故可溯源。校园网实时向教育城域网安全平台推送关键网络设备的运行日志及相关安全报告。</w:t>
      </w:r>
      <w:r>
        <w:br/>
      </w:r>
      <w:r>
        <w:rPr>
          <w:rFonts w:ascii="仿宋_GB2312" w:hAnsi="仿宋_GB2312" w:cs="仿宋_GB2312" w:eastAsia="仿宋_GB2312"/>
        </w:rPr>
        <w:t xml:space="preserve">        教育城域网需全面支持IPv6部署和应用，支持IPv6和IPv4双栈协议。教育网IPv6使用教科网(CRENET)IPv6地址，由省教育厅统一规划分配。校园网需采用专线接入县教育城域网，保证网络带宽独享，用户应使用教育城域网统一分配的IPv6地址接入，并保持端到端IPv6特性，便于网络管控。</w:t>
      </w:r>
      <w:r>
        <w:br/>
      </w:r>
      <w:r>
        <w:rPr>
          <w:rFonts w:ascii="仿宋_GB2312" w:hAnsi="仿宋_GB2312" w:cs="仿宋_GB2312" w:eastAsia="仿宋_GB2312"/>
        </w:rPr>
        <w:t xml:space="preserve">        教育城域网枢纽节点需具有带宽大、速度快、 延迟小等特点，可为高带宽教育教学应用提供高质量的网络支持，如国家中小学智慧教育平台和海南省智慧教育平台资源访问、同步专递课堂教学、在线直播教学、师资视频培训、教育视频会议、远程实时监控、高考视频（条件允许的情况下接省厅考试局）等应用，为网上办公、学籍管理、教师管理、招生考试管理、财务管理、智慧校园管理系统、教育装备管理等系统提供安全可靠的网络运行环境。</w:t>
      </w:r>
      <w:r>
        <w:br/>
      </w:r>
      <w:r>
        <w:rPr>
          <w:rFonts w:ascii="仿宋_GB2312" w:hAnsi="仿宋_GB2312" w:cs="仿宋_GB2312" w:eastAsia="仿宋_GB2312"/>
        </w:rPr>
        <w:t xml:space="preserve">        运营商提供服务的校园网络要确保各类信息终端能够安全快速访问国家智慧教育公共平台业务、公众网络教育教学资源、教育各类公众服务业务、教育系统内部各类管理业务、校园安全视频汇聚业务、考务应急指挥业务、教育视频会议业务、同步课堂业务、办公互联网访问业务等，同时要满足校园内本地服务、文件共享及打印共享等功能需求。</w:t>
      </w:r>
      <w:r>
        <w:br/>
      </w:r>
      <w:r>
        <w:rPr>
          <w:rFonts w:ascii="仿宋_GB2312" w:hAnsi="仿宋_GB2312" w:cs="仿宋_GB2312" w:eastAsia="仿宋_GB2312"/>
        </w:rPr>
        <w:t xml:space="preserve">        通过购买运营商服务方式建设陵水黎族自治县教育城域网枢纽节点，降低投入与运维成本。建设及运维内容包括城域网枢纽节点、传输网络、校园网络、网络设备等。</w:t>
      </w:r>
      <w:r>
        <w:br/>
      </w:r>
      <w:r>
        <w:rPr>
          <w:rFonts w:ascii="仿宋_GB2312" w:hAnsi="仿宋_GB2312" w:cs="仿宋_GB2312" w:eastAsia="仿宋_GB2312"/>
        </w:rPr>
        <w:t xml:space="preserve"> 陵水教育城域网对接省级核心节点统一认证平台，实现用户身份的统一管理与认证，提升网络访问的安全性与合规性，确保网络安全与数据保护，为教育环        境的健康发展保驾护航，终端接入实现网络接入的实名认证、授权；要求支持有线接入管控及无线接入管控；要求支持多种PPPoE、Web＋Portal、IEEE802.1x 接入认证，支持 PAP 认证、CHAP 认证，支持 MAC 认证。</w:t>
      </w:r>
      <w:r>
        <w:br/>
      </w:r>
      <w:r>
        <w:rPr>
          <w:rFonts w:ascii="仿宋_GB2312" w:hAnsi="仿宋_GB2312" w:cs="仿宋_GB2312" w:eastAsia="仿宋_GB2312"/>
        </w:rPr>
        <w:t xml:space="preserve">       陵水黎族自治县教育城域网出口部署安全审计、安全防护设备，作为互联网出口和教育城域网边界安全的设备，要实现对教育城域网和互联网流量的安全审计、安全告警、安全事件溯源。</w:t>
      </w:r>
      <w:r>
        <w:br/>
      </w:r>
      <w:r>
        <w:rPr>
          <w:rFonts w:ascii="仿宋_GB2312" w:hAnsi="仿宋_GB2312" w:cs="仿宋_GB2312" w:eastAsia="仿宋_GB2312"/>
        </w:rPr>
        <w:t xml:space="preserve"> （1）流量监控与威胁管理</w:t>
      </w:r>
      <w:r>
        <w:br/>
      </w:r>
      <w:r>
        <w:rPr>
          <w:rFonts w:ascii="仿宋_GB2312" w:hAnsi="仿宋_GB2312" w:cs="仿宋_GB2312" w:eastAsia="仿宋_GB2312"/>
        </w:rPr>
        <w:t xml:space="preserve">        引入流量监控技术，精准识别并拦截恶意软件、钓鱼网站及矿池地址等安全威胁，同时对上网行为进行细致审计，确保对潜在安全风险的及时发现与有效管控。集成威胁感知系统，敏锐捕捉并深入分析新型网络攻击行为，实现快速响应与高效处置。</w:t>
      </w:r>
      <w:r>
        <w:br/>
      </w:r>
      <w:r>
        <w:rPr>
          <w:rFonts w:ascii="仿宋_GB2312" w:hAnsi="仿宋_GB2312" w:cs="仿宋_GB2312" w:eastAsia="仿宋_GB2312"/>
        </w:rPr>
        <w:t xml:space="preserve"> （2）全量日志采集与分析</w:t>
      </w:r>
      <w:r>
        <w:br/>
      </w:r>
      <w:r>
        <w:rPr>
          <w:rFonts w:ascii="仿宋_GB2312" w:hAnsi="仿宋_GB2312" w:cs="仿宋_GB2312" w:eastAsia="仿宋_GB2312"/>
        </w:rPr>
        <w:t xml:space="preserve">       借助网络全协议识别与还原技术，结合网络行为知识库，实现对城域网内安全防护网关、审计网关等关键节点的全流量采集。确保网络流量与事件的全面记录，为网络安全行为与事件检测、深度分析、快速发现及有效追溯提供坚实的数据基础。</w:t>
      </w:r>
      <w:r>
        <w:br/>
      </w:r>
      <w:r>
        <w:rPr>
          <w:rFonts w:ascii="仿宋_GB2312" w:hAnsi="仿宋_GB2312" w:cs="仿宋_GB2312" w:eastAsia="仿宋_GB2312"/>
        </w:rPr>
        <w:t xml:space="preserve"> （3）网络信息推送与共享</w:t>
      </w:r>
      <w:r>
        <w:br/>
      </w:r>
      <w:r>
        <w:rPr>
          <w:rFonts w:ascii="仿宋_GB2312" w:hAnsi="仿宋_GB2312" w:cs="仿宋_GB2312" w:eastAsia="仿宋_GB2312"/>
        </w:rPr>
        <w:t xml:space="preserve">        建立信息推送机制，实时将关键网络设备的运行日志及相关安全情报传输至教育城域网省级核心节点的安全平台，实现安全信息的即时共享与协同处理，进一步提升整体安全防护水平。</w:t>
      </w:r>
      <w:r>
        <w:br/>
      </w:r>
      <w:r>
        <w:rPr>
          <w:rFonts w:ascii="仿宋_GB2312" w:hAnsi="仿宋_GB2312" w:cs="仿宋_GB2312" w:eastAsia="仿宋_GB2312"/>
        </w:rPr>
        <w:t xml:space="preserve"> （4）网络边界安全与管理</w:t>
      </w:r>
      <w:r>
        <w:br/>
      </w:r>
      <w:r>
        <w:rPr>
          <w:rFonts w:ascii="仿宋_GB2312" w:hAnsi="仿宋_GB2312" w:cs="仿宋_GB2312" w:eastAsia="仿宋_GB2312"/>
        </w:rPr>
        <w:t xml:space="preserve">        陵水黎族自治县教育城域网出口处部署防火墙系统，实施访问控制与边界隔离策略。根据业务需求动态调整安全控制策略，定期进行策略优化与维护，确保网络边界的安全稳固。</w:t>
      </w:r>
      <w:r>
        <w:br/>
      </w:r>
      <w:r>
        <w:rPr>
          <w:rFonts w:ascii="仿宋_GB2312" w:hAnsi="仿宋_GB2312" w:cs="仿宋_GB2312" w:eastAsia="仿宋_GB2312"/>
        </w:rPr>
        <w:t xml:space="preserve">        运营商成立教育城域网运维小组，负责区域网络的日常运维及应急处置。通过QoS对教育教学业务流量提供带宽保证机制，保证网络服务质量，避免网络拥塞并在时延、抖动和减少数据包丢失方面进行控制。陵水县教育城域网枢纽节点部署QoS监测服务器，实时分析网络流量情况，定期生成 QoS 监测报告，有效监测每条传输线路，当链路达到 70%负载，且持续2小时，应在当前带宽基础上提升30%，保证网络服务质量。</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3,560,400.00</w:t>
      </w:r>
    </w:p>
    <w:p>
      <w:pPr>
        <w:pStyle w:val="null3"/>
        <w:jc w:val="left"/>
      </w:pPr>
      <w:r>
        <w:rPr>
          <w:rFonts w:ascii="仿宋_GB2312" w:hAnsi="仿宋_GB2312" w:cs="仿宋_GB2312" w:eastAsia="仿宋_GB2312"/>
        </w:rPr>
        <w:t>采购包最高限价（元）: 3,560,400.00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陵水黎族自治县教育城域网（含校园网）服务项目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3,560,400.00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C17990000-其他电信和信息传输服务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3,560,400.00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响应报价超过采购预算或最高限价的，视为无效投标。</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标的名称：陵水黎族自治县教育城域网（含校园网）服务项目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一、服务内容</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、网络服务</w:t>
            </w:r>
          </w:p>
          <w:p>
            <w:pPr>
              <w:pStyle w:val="null3"/>
              <w:ind w:firstLine="300"/>
              <w:jc w:val="left"/>
            </w:pPr>
            <w:r>
              <w:rPr>
                <w:rFonts w:ascii="仿宋_GB2312" w:hAnsi="仿宋_GB2312" w:cs="仿宋_GB2312" w:eastAsia="仿宋_GB2312"/>
                <w:sz w:val="20"/>
              </w:rPr>
              <w:t>运营商全额投资承载城域网所有网络建设、</w:t>
            </w:r>
            <w:r>
              <w:rPr>
                <w:rFonts w:ascii="仿宋_GB2312" w:hAnsi="仿宋_GB2312" w:cs="仿宋_GB2312" w:eastAsia="仿宋_GB2312"/>
                <w:sz w:val="20"/>
              </w:rPr>
              <w:t>Wifi</w:t>
            </w:r>
            <w:r>
              <w:rPr>
                <w:rFonts w:ascii="仿宋_GB2312" w:hAnsi="仿宋_GB2312" w:cs="仿宋_GB2312" w:eastAsia="仿宋_GB2312"/>
                <w:sz w:val="20"/>
              </w:rPr>
              <w:t>服务、日常运行、维护、网络保障等。本次拟建陵水教育城域网（光纤进班）学校</w:t>
            </w:r>
            <w:r>
              <w:rPr>
                <w:rFonts w:ascii="仿宋_GB2312" w:hAnsi="仿宋_GB2312" w:cs="仿宋_GB2312" w:eastAsia="仿宋_GB2312"/>
                <w:sz w:val="20"/>
              </w:rPr>
              <w:t>76</w:t>
            </w:r>
            <w:r>
              <w:rPr>
                <w:rFonts w:ascii="仿宋_GB2312" w:hAnsi="仿宋_GB2312" w:cs="仿宋_GB2312" w:eastAsia="仿宋_GB2312"/>
                <w:sz w:val="20"/>
              </w:rPr>
              <w:t>所，主要内容包括：陵水黎族自治县教育城域网光纤进班电路</w:t>
            </w:r>
            <w:r>
              <w:rPr>
                <w:rFonts w:ascii="仿宋_GB2312" w:hAnsi="仿宋_GB2312" w:cs="仿宋_GB2312" w:eastAsia="仿宋_GB2312"/>
                <w:sz w:val="20"/>
              </w:rPr>
              <w:t>1830</w:t>
            </w:r>
            <w:r>
              <w:rPr>
                <w:rFonts w:ascii="仿宋_GB2312" w:hAnsi="仿宋_GB2312" w:cs="仿宋_GB2312" w:eastAsia="仿宋_GB2312"/>
                <w:sz w:val="20"/>
              </w:rPr>
              <w:t>条，其中</w:t>
            </w:r>
            <w:r>
              <w:rPr>
                <w:rFonts w:ascii="仿宋_GB2312" w:hAnsi="仿宋_GB2312" w:cs="仿宋_GB2312" w:eastAsia="仿宋_GB2312"/>
                <w:sz w:val="20"/>
              </w:rPr>
              <w:t>100M</w:t>
            </w:r>
            <w:r>
              <w:rPr>
                <w:rFonts w:ascii="仿宋_GB2312" w:hAnsi="仿宋_GB2312" w:cs="仿宋_GB2312" w:eastAsia="仿宋_GB2312"/>
                <w:sz w:val="20"/>
              </w:rPr>
              <w:t>光纤进班</w:t>
            </w:r>
            <w:r>
              <w:rPr>
                <w:rFonts w:ascii="仿宋_GB2312" w:hAnsi="仿宋_GB2312" w:cs="仿宋_GB2312" w:eastAsia="仿宋_GB2312"/>
                <w:sz w:val="20"/>
              </w:rPr>
              <w:t>1258</w:t>
            </w:r>
            <w:r>
              <w:rPr>
                <w:rFonts w:ascii="仿宋_GB2312" w:hAnsi="仿宋_GB2312" w:cs="仿宋_GB2312" w:eastAsia="仿宋_GB2312"/>
                <w:sz w:val="20"/>
              </w:rPr>
              <w:t>条</w:t>
            </w:r>
            <w:r>
              <w:rPr>
                <w:rFonts w:ascii="仿宋_GB2312" w:hAnsi="仿宋_GB2312" w:cs="仿宋_GB2312" w:eastAsia="仿宋_GB2312"/>
                <w:sz w:val="20"/>
              </w:rPr>
              <w:t>,</w:t>
            </w:r>
            <w:r>
              <w:rPr>
                <w:rFonts w:ascii="仿宋_GB2312" w:hAnsi="仿宋_GB2312" w:cs="仿宋_GB2312" w:eastAsia="仿宋_GB2312"/>
                <w:sz w:val="20"/>
              </w:rPr>
              <w:t>主要包括普通教室、功能教室、同步课堂、录播互动教研教室等；</w:t>
            </w:r>
            <w:r>
              <w:rPr>
                <w:rFonts w:ascii="仿宋_GB2312" w:hAnsi="仿宋_GB2312" w:cs="仿宋_GB2312" w:eastAsia="仿宋_GB2312"/>
                <w:sz w:val="20"/>
              </w:rPr>
              <w:t>300M</w:t>
            </w:r>
            <w:r>
              <w:rPr>
                <w:rFonts w:ascii="仿宋_GB2312" w:hAnsi="仿宋_GB2312" w:cs="仿宋_GB2312" w:eastAsia="仿宋_GB2312"/>
                <w:sz w:val="20"/>
              </w:rPr>
              <w:t>光纤</w:t>
            </w:r>
            <w:r>
              <w:rPr>
                <w:rFonts w:ascii="仿宋_GB2312" w:hAnsi="仿宋_GB2312" w:cs="仿宋_GB2312" w:eastAsia="仿宋_GB2312"/>
                <w:sz w:val="20"/>
              </w:rPr>
              <w:t>475</w:t>
            </w:r>
            <w:r>
              <w:rPr>
                <w:rFonts w:ascii="仿宋_GB2312" w:hAnsi="仿宋_GB2312" w:cs="仿宋_GB2312" w:eastAsia="仿宋_GB2312"/>
                <w:sz w:val="20"/>
              </w:rPr>
              <w:t>条，</w:t>
            </w:r>
            <w:r>
              <w:rPr>
                <w:rFonts w:ascii="仿宋_GB2312" w:hAnsi="仿宋_GB2312" w:cs="仿宋_GB2312" w:eastAsia="仿宋_GB2312"/>
                <w:sz w:val="20"/>
              </w:rPr>
              <w:t>500M</w:t>
            </w:r>
            <w:r>
              <w:rPr>
                <w:rFonts w:ascii="仿宋_GB2312" w:hAnsi="仿宋_GB2312" w:cs="仿宋_GB2312" w:eastAsia="仿宋_GB2312"/>
                <w:sz w:val="20"/>
              </w:rPr>
              <w:t>光纤</w:t>
            </w:r>
            <w:r>
              <w:rPr>
                <w:rFonts w:ascii="仿宋_GB2312" w:hAnsi="仿宋_GB2312" w:cs="仿宋_GB2312" w:eastAsia="仿宋_GB2312"/>
                <w:sz w:val="20"/>
              </w:rPr>
              <w:t>94</w:t>
            </w:r>
            <w:r>
              <w:rPr>
                <w:rFonts w:ascii="仿宋_GB2312" w:hAnsi="仿宋_GB2312" w:cs="仿宋_GB2312" w:eastAsia="仿宋_GB2312"/>
                <w:sz w:val="20"/>
              </w:rPr>
              <w:t>条，主要包括计算机教室、教师办公室、校园公共区域等，校园网互联网专线</w:t>
            </w:r>
            <w:r>
              <w:rPr>
                <w:rFonts w:ascii="仿宋_GB2312" w:hAnsi="仿宋_GB2312" w:cs="仿宋_GB2312" w:eastAsia="仿宋_GB2312"/>
                <w:sz w:val="20"/>
              </w:rPr>
              <w:t>1000M</w:t>
            </w:r>
            <w:r>
              <w:rPr>
                <w:rFonts w:ascii="仿宋_GB2312" w:hAnsi="仿宋_GB2312" w:cs="仿宋_GB2312" w:eastAsia="仿宋_GB2312"/>
                <w:sz w:val="20"/>
              </w:rPr>
              <w:t>电路</w:t>
            </w:r>
            <w:r>
              <w:rPr>
                <w:rFonts w:ascii="仿宋_GB2312" w:hAnsi="仿宋_GB2312" w:cs="仿宋_GB2312" w:eastAsia="仿宋_GB2312"/>
                <w:sz w:val="20"/>
              </w:rPr>
              <w:t>3</w:t>
            </w:r>
            <w:r>
              <w:rPr>
                <w:rFonts w:ascii="仿宋_GB2312" w:hAnsi="仿宋_GB2312" w:cs="仿宋_GB2312" w:eastAsia="仿宋_GB2312"/>
                <w:sz w:val="20"/>
              </w:rPr>
              <w:t>条。</w:t>
            </w:r>
          </w:p>
          <w:p>
            <w:pPr>
              <w:pStyle w:val="null3"/>
              <w:ind w:firstLine="300"/>
              <w:jc w:val="left"/>
            </w:pPr>
            <w:r>
              <w:rPr>
                <w:rFonts w:ascii="仿宋_GB2312" w:hAnsi="仿宋_GB2312" w:cs="仿宋_GB2312" w:eastAsia="仿宋_GB2312"/>
                <w:sz w:val="20"/>
              </w:rPr>
              <w:t>具体数量如下表：</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陵水县教育城域网（光纤进班）学校网络需求清单表</w:t>
            </w:r>
          </w:p>
          <w:tbl>
            <w:tblPr>
              <w:tblBorders>
                <w:top w:val="single"/>
                <w:left w:val="single"/>
                <w:bottom w:val="single"/>
                <w:right w:val="single"/>
                <w:insideH w:val="single"/>
                <w:insideV w:val="single"/>
              </w:tblBorders>
            </w:tblPr>
            <w:tblGrid>
              <w:gridCol w:w="208"/>
              <w:gridCol w:w="521"/>
              <w:gridCol w:w="469"/>
              <w:gridCol w:w="547"/>
              <w:gridCol w:w="756"/>
            </w:tblGrid>
            <w:tr>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序号</w:t>
                  </w:r>
                </w:p>
              </w:tc>
              <w:tc>
                <w:tcPr>
                  <w:tcW w:type="dxa" w:w="5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学校名称</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普通教室</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计算机教室</w:t>
                  </w: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教师/行政办公室</w:t>
                  </w:r>
                </w:p>
              </w:tc>
            </w:tr>
            <w:tr>
              <w:tc>
                <w:tcPr>
                  <w:tcW w:type="dxa" w:w="208"/>
                  <w:vMerge/>
                  <w:tcBorders>
                    <w:top w:val="single" w:color="000000" w:sz="4"/>
                    <w:left w:val="single" w:color="000000" w:sz="4"/>
                    <w:bottom w:val="single" w:color="000000" w:sz="4"/>
                    <w:right w:val="single" w:color="000000" w:sz="4"/>
                  </w:tcBorders>
                </w:tcPr>
                <w:p/>
              </w:tc>
              <w:tc>
                <w:tcPr>
                  <w:tcW w:type="dxa" w:w="521"/>
                  <w:vMerge/>
                  <w:tcBorders>
                    <w:top w:val="single" w:color="000000" w:sz="4"/>
                    <w:left w:val="none" w:color="000000" w:sz="4"/>
                    <w:bottom w:val="single" w:color="000000" w:sz="4"/>
                    <w:right w:val="single" w:color="000000" w:sz="4"/>
                  </w:tcBorders>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班班通光纤100M</w:t>
                  </w:r>
                  <w:r>
                    <w:rPr>
                      <w:rFonts w:ascii="仿宋_GB2312" w:hAnsi="仿宋_GB2312" w:cs="仿宋_GB2312" w:eastAsia="仿宋_GB2312"/>
                      <w:sz w:val="20"/>
                      <w:b/>
                      <w:color w:val="000000"/>
                    </w:rPr>
                    <w:t>（条）</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班班通光纤500M</w:t>
                  </w:r>
                  <w:r>
                    <w:rPr>
                      <w:rFonts w:ascii="仿宋_GB2312" w:hAnsi="仿宋_GB2312" w:cs="仿宋_GB2312" w:eastAsia="仿宋_GB2312"/>
                      <w:sz w:val="20"/>
                      <w:b/>
                      <w:color w:val="000000"/>
                    </w:rPr>
                    <w:t>（条）</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班班通光纤300M（条）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中山小学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实验小学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北斗小学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民附思源小学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下园分校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椰林第一小学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卓杰小学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雷丰小学坡留分校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雷丰小学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椰林一小勤丰分校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椰林三小</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椰林第二小学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里仁小学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黎安实验小学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光坡中心小学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港坡小学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坡尾分校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武山分校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妙景分校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0</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提蒙中心小学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提蒙小学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老长小学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提蒙乡礼亭小学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本号民侨小学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大里小学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本号长埇小学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本号镇黎跃小学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本号黎盆小学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29</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福和希望小学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祖关小学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什巴小学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群英学校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文罗中心小学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隆广中心小学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隆广镇丹录小学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田仔中心小学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高土小学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英州中心小学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39</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英州龙门小学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英州二小</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北高小学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赤岭小学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新村中心小学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新村镇渔民小学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桐海小学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长坡小学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新村镇盐尽小学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新村学校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49</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三才中心小学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王伟希望小学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岭门学校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岭门小学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岭门边头小学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岭门小南平小学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南平学校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南平沟仔小学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南平红明小学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南平先锋小学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59</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南平跃进小学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吊罗山学校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陵水中学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民族中学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思源实验学校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东华中学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光坡中学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提蒙中学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本号中学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祖关中学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69</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文罗中学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隆广中学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田仔中学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英州中学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三才中学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合计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1258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94</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475</w:t>
                  </w:r>
                </w:p>
              </w:tc>
            </w:tr>
          </w:tbl>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陵水教育城域网（校园网）建设学校网络需求清单表：</w:t>
            </w:r>
          </w:p>
          <w:tbl>
            <w:tblPr>
              <w:tblBorders>
                <w:top w:val="single"/>
                <w:left w:val="single"/>
                <w:bottom w:val="single"/>
                <w:right w:val="single"/>
                <w:insideH w:val="single"/>
                <w:insideV w:val="single"/>
              </w:tblBorders>
            </w:tblPr>
            <w:tblGrid>
              <w:gridCol w:w="275"/>
              <w:gridCol w:w="672"/>
              <w:gridCol w:w="699"/>
              <w:gridCol w:w="900"/>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序号</w:t>
                  </w:r>
                </w:p>
              </w:tc>
              <w:tc>
                <w:tcPr>
                  <w:tcW w:type="dxa" w:w="6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学校名称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互联网专线1000M（条）</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出口网关（用学校内网与教育专网ip地址互通）</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民大附中陵水分校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顺湖中学</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滨海学校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r>
          </w:tbl>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、安全服务</w:t>
            </w:r>
          </w:p>
          <w:p>
            <w:pPr>
              <w:pStyle w:val="null3"/>
              <w:ind w:firstLine="400"/>
              <w:jc w:val="left"/>
            </w:pPr>
            <w:r>
              <w:rPr>
                <w:rFonts w:ascii="仿宋_GB2312" w:hAnsi="仿宋_GB2312" w:cs="仿宋_GB2312" w:eastAsia="仿宋_GB2312"/>
                <w:sz w:val="20"/>
              </w:rPr>
              <w:t>服务提供商建设校园网通过安全网关接入县教育城域网，防火墙、日志审计、上网行为审计、威胁感知系统实现网络流量实时监测，网络安全监测、分析、告警，安全入侵防护阻断，安全事件溯源到终端，满足公安部要求全量安全日志存储时间不少于</w:t>
            </w:r>
            <w:r>
              <w:rPr>
                <w:rFonts w:ascii="仿宋_GB2312" w:hAnsi="仿宋_GB2312" w:cs="仿宋_GB2312" w:eastAsia="仿宋_GB2312"/>
                <w:sz w:val="20"/>
              </w:rPr>
              <w:t>6</w:t>
            </w:r>
            <w:r>
              <w:rPr>
                <w:rFonts w:ascii="仿宋_GB2312" w:hAnsi="仿宋_GB2312" w:cs="仿宋_GB2312" w:eastAsia="仿宋_GB2312"/>
                <w:sz w:val="20"/>
              </w:rPr>
              <w:t>个月。</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、认证服务</w:t>
            </w:r>
          </w:p>
          <w:p>
            <w:pPr>
              <w:pStyle w:val="null3"/>
              <w:ind w:firstLine="400"/>
              <w:jc w:val="left"/>
            </w:pPr>
            <w:r>
              <w:rPr>
                <w:rFonts w:ascii="仿宋_GB2312" w:hAnsi="仿宋_GB2312" w:cs="仿宋_GB2312" w:eastAsia="仿宋_GB2312"/>
                <w:sz w:val="20"/>
              </w:rPr>
              <w:t>全网部署统一准入认证平台，实现用户、教师办公</w:t>
            </w:r>
            <w:r>
              <w:rPr>
                <w:rFonts w:ascii="仿宋_GB2312" w:hAnsi="仿宋_GB2312" w:cs="仿宋_GB2312" w:eastAsia="仿宋_GB2312"/>
                <w:sz w:val="20"/>
              </w:rPr>
              <w:t>PC</w:t>
            </w:r>
            <w:r>
              <w:rPr>
                <w:rFonts w:ascii="仿宋_GB2312" w:hAnsi="仿宋_GB2312" w:cs="仿宋_GB2312" w:eastAsia="仿宋_GB2312"/>
                <w:sz w:val="20"/>
              </w:rPr>
              <w:t>及教学一体机的教学终端的认证接入，不少于</w:t>
            </w:r>
            <w:r>
              <w:rPr>
                <w:rFonts w:ascii="仿宋_GB2312" w:hAnsi="仿宋_GB2312" w:cs="仿宋_GB2312" w:eastAsia="仿宋_GB2312"/>
                <w:sz w:val="20"/>
              </w:rPr>
              <w:t>5000</w:t>
            </w:r>
            <w:r>
              <w:rPr>
                <w:rFonts w:ascii="仿宋_GB2312" w:hAnsi="仿宋_GB2312" w:cs="仿宋_GB2312" w:eastAsia="仿宋_GB2312"/>
                <w:sz w:val="20"/>
              </w:rPr>
              <w:t>用户并发。</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、服务质量</w:t>
            </w:r>
          </w:p>
          <w:p>
            <w:pPr>
              <w:pStyle w:val="null3"/>
              <w:ind w:firstLine="400"/>
              <w:jc w:val="left"/>
            </w:pPr>
            <w:r>
              <w:rPr>
                <w:rFonts w:ascii="仿宋_GB2312" w:hAnsi="仿宋_GB2312" w:cs="仿宋_GB2312" w:eastAsia="仿宋_GB2312"/>
                <w:sz w:val="20"/>
              </w:rPr>
              <w:t>运营商成立教育城域网运维小组，负责区域网络的日常运维及应急处置。通过</w:t>
            </w:r>
            <w:r>
              <w:rPr>
                <w:rFonts w:ascii="仿宋_GB2312" w:hAnsi="仿宋_GB2312" w:cs="仿宋_GB2312" w:eastAsia="仿宋_GB2312"/>
                <w:sz w:val="20"/>
              </w:rPr>
              <w:t xml:space="preserve"> QoS</w:t>
            </w:r>
            <w:r>
              <w:rPr>
                <w:rFonts w:ascii="仿宋_GB2312" w:hAnsi="仿宋_GB2312" w:cs="仿宋_GB2312" w:eastAsia="仿宋_GB2312"/>
                <w:sz w:val="20"/>
              </w:rPr>
              <w:t>对教育教学业务流量提供带宽保证机制，保证网络服务质量，避免网络拥塞并在时延、抖动和减少数据包丢失方面进行控制。市县教育城域网枢纽节点部署</w:t>
            </w:r>
            <w:r>
              <w:rPr>
                <w:rFonts w:ascii="仿宋_GB2312" w:hAnsi="仿宋_GB2312" w:cs="仿宋_GB2312" w:eastAsia="仿宋_GB2312"/>
                <w:sz w:val="20"/>
              </w:rPr>
              <w:t>QoS</w:t>
            </w:r>
            <w:r>
              <w:rPr>
                <w:rFonts w:ascii="仿宋_GB2312" w:hAnsi="仿宋_GB2312" w:cs="仿宋_GB2312" w:eastAsia="仿宋_GB2312"/>
                <w:sz w:val="20"/>
              </w:rPr>
              <w:t>监测服务器，实时分析网络流量情况，定期生成</w:t>
            </w:r>
            <w:r>
              <w:rPr>
                <w:rFonts w:ascii="仿宋_GB2312" w:hAnsi="仿宋_GB2312" w:cs="仿宋_GB2312" w:eastAsia="仿宋_GB2312"/>
                <w:sz w:val="20"/>
              </w:rPr>
              <w:t>QoS</w:t>
            </w:r>
            <w:r>
              <w:rPr>
                <w:rFonts w:ascii="仿宋_GB2312" w:hAnsi="仿宋_GB2312" w:cs="仿宋_GB2312" w:eastAsia="仿宋_GB2312"/>
                <w:sz w:val="20"/>
              </w:rPr>
              <w:t>监测报告，有效监测每条传输线路，当链路达到</w:t>
            </w:r>
            <w:r>
              <w:rPr>
                <w:rFonts w:ascii="仿宋_GB2312" w:hAnsi="仿宋_GB2312" w:cs="仿宋_GB2312" w:eastAsia="仿宋_GB2312"/>
                <w:sz w:val="20"/>
              </w:rPr>
              <w:t>70%</w:t>
            </w:r>
            <w:r>
              <w:rPr>
                <w:rFonts w:ascii="仿宋_GB2312" w:hAnsi="仿宋_GB2312" w:cs="仿宋_GB2312" w:eastAsia="仿宋_GB2312"/>
                <w:sz w:val="20"/>
              </w:rPr>
              <w:t>负载，且持续</w:t>
            </w:r>
            <w:r>
              <w:rPr>
                <w:rFonts w:ascii="仿宋_GB2312" w:hAnsi="仿宋_GB2312" w:cs="仿宋_GB2312" w:eastAsia="仿宋_GB2312"/>
                <w:sz w:val="20"/>
              </w:rPr>
              <w:t>2</w:t>
            </w:r>
            <w:r>
              <w:rPr>
                <w:rFonts w:ascii="仿宋_GB2312" w:hAnsi="仿宋_GB2312" w:cs="仿宋_GB2312" w:eastAsia="仿宋_GB2312"/>
                <w:sz w:val="20"/>
              </w:rPr>
              <w:t>小时，应在当前带宽基础上提升</w:t>
            </w:r>
            <w:r>
              <w:rPr>
                <w:rFonts w:ascii="仿宋_GB2312" w:hAnsi="仿宋_GB2312" w:cs="仿宋_GB2312" w:eastAsia="仿宋_GB2312"/>
                <w:sz w:val="20"/>
              </w:rPr>
              <w:t>30%</w:t>
            </w:r>
            <w:r>
              <w:rPr>
                <w:rFonts w:ascii="仿宋_GB2312" w:hAnsi="仿宋_GB2312" w:cs="仿宋_GB2312" w:eastAsia="仿宋_GB2312"/>
                <w:sz w:val="20"/>
              </w:rPr>
              <w:t>，保证网络服务质量。</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二、运维服务方案</w:t>
            </w:r>
          </w:p>
          <w:p>
            <w:pPr>
              <w:pStyle w:val="null3"/>
              <w:ind w:firstLine="400"/>
              <w:jc w:val="left"/>
            </w:pPr>
            <w:r>
              <w:rPr>
                <w:rFonts w:ascii="仿宋_GB2312" w:hAnsi="仿宋_GB2312" w:cs="仿宋_GB2312" w:eastAsia="仿宋_GB2312"/>
                <w:sz w:val="20"/>
              </w:rPr>
              <w:t>运营商成立教育城域网运维小组，负责区域网络的日常运维及应急处置。通过</w:t>
            </w:r>
            <w:r>
              <w:rPr>
                <w:rFonts w:ascii="仿宋_GB2312" w:hAnsi="仿宋_GB2312" w:cs="仿宋_GB2312" w:eastAsia="仿宋_GB2312"/>
                <w:sz w:val="20"/>
              </w:rPr>
              <w:t xml:space="preserve"> QoS</w:t>
            </w:r>
            <w:r>
              <w:rPr>
                <w:rFonts w:ascii="仿宋_GB2312" w:hAnsi="仿宋_GB2312" w:cs="仿宋_GB2312" w:eastAsia="仿宋_GB2312"/>
                <w:sz w:val="20"/>
              </w:rPr>
              <w:t>对教育教学业务流量提供带宽保证机制，保证网络服务质量，避免网络拥塞并在时延、抖动和减少数据包丢失方面进行控制。市县教育城域网枢纽节点部署</w:t>
            </w:r>
            <w:r>
              <w:rPr>
                <w:rFonts w:ascii="仿宋_GB2312" w:hAnsi="仿宋_GB2312" w:cs="仿宋_GB2312" w:eastAsia="仿宋_GB2312"/>
                <w:sz w:val="20"/>
              </w:rPr>
              <w:t>QoS</w:t>
            </w:r>
            <w:r>
              <w:rPr>
                <w:rFonts w:ascii="仿宋_GB2312" w:hAnsi="仿宋_GB2312" w:cs="仿宋_GB2312" w:eastAsia="仿宋_GB2312"/>
                <w:sz w:val="20"/>
              </w:rPr>
              <w:t>监测服务器，实时分析网络流量情况，定期生成</w:t>
            </w:r>
            <w:r>
              <w:rPr>
                <w:rFonts w:ascii="仿宋_GB2312" w:hAnsi="仿宋_GB2312" w:cs="仿宋_GB2312" w:eastAsia="仿宋_GB2312"/>
                <w:sz w:val="20"/>
              </w:rPr>
              <w:t>QoS</w:t>
            </w:r>
            <w:r>
              <w:rPr>
                <w:rFonts w:ascii="仿宋_GB2312" w:hAnsi="仿宋_GB2312" w:cs="仿宋_GB2312" w:eastAsia="仿宋_GB2312"/>
                <w:sz w:val="20"/>
              </w:rPr>
              <w:t>监测报告，有效监测每条传输线路，当链路达到</w:t>
            </w:r>
            <w:r>
              <w:rPr>
                <w:rFonts w:ascii="仿宋_GB2312" w:hAnsi="仿宋_GB2312" w:cs="仿宋_GB2312" w:eastAsia="仿宋_GB2312"/>
                <w:sz w:val="20"/>
              </w:rPr>
              <w:t>70%</w:t>
            </w:r>
            <w:r>
              <w:rPr>
                <w:rFonts w:ascii="仿宋_GB2312" w:hAnsi="仿宋_GB2312" w:cs="仿宋_GB2312" w:eastAsia="仿宋_GB2312"/>
                <w:sz w:val="20"/>
              </w:rPr>
              <w:t>负载，且持续</w:t>
            </w:r>
            <w:r>
              <w:rPr>
                <w:rFonts w:ascii="仿宋_GB2312" w:hAnsi="仿宋_GB2312" w:cs="仿宋_GB2312" w:eastAsia="仿宋_GB2312"/>
                <w:sz w:val="20"/>
              </w:rPr>
              <w:t>2</w:t>
            </w:r>
            <w:r>
              <w:rPr>
                <w:rFonts w:ascii="仿宋_GB2312" w:hAnsi="仿宋_GB2312" w:cs="仿宋_GB2312" w:eastAsia="仿宋_GB2312"/>
                <w:sz w:val="20"/>
              </w:rPr>
              <w:t>小时，应在当前带宽基础上提升</w:t>
            </w:r>
            <w:r>
              <w:rPr>
                <w:rFonts w:ascii="仿宋_GB2312" w:hAnsi="仿宋_GB2312" w:cs="仿宋_GB2312" w:eastAsia="仿宋_GB2312"/>
                <w:sz w:val="20"/>
              </w:rPr>
              <w:t>30%</w:t>
            </w:r>
            <w:r>
              <w:rPr>
                <w:rFonts w:ascii="仿宋_GB2312" w:hAnsi="仿宋_GB2312" w:cs="仿宋_GB2312" w:eastAsia="仿宋_GB2312"/>
                <w:sz w:val="20"/>
              </w:rPr>
              <w:t>，保证网络服务质量。</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供应商维护团队将通过各类网管及监控手段及时了解、分析网络、平台的运行情况，主动发现网络存在的问题及时统筹指挥协调相关驻地维护部门快速处理，提供</w:t>
            </w:r>
            <w:r>
              <w:rPr>
                <w:rFonts w:ascii="仿宋_GB2312" w:hAnsi="仿宋_GB2312" w:cs="仿宋_GB2312" w:eastAsia="仿宋_GB2312"/>
                <w:sz w:val="20"/>
              </w:rPr>
              <w:t xml:space="preserve"> 7*24 </w:t>
            </w:r>
            <w:r>
              <w:rPr>
                <w:rFonts w:ascii="仿宋_GB2312" w:hAnsi="仿宋_GB2312" w:cs="仿宋_GB2312" w:eastAsia="仿宋_GB2312"/>
                <w:sz w:val="20"/>
              </w:rPr>
              <w:t>小时支撑服务。</w:t>
            </w:r>
          </w:p>
          <w:p>
            <w:pPr>
              <w:pStyle w:val="null3"/>
              <w:ind w:firstLine="500"/>
              <w:jc w:val="left"/>
            </w:pPr>
            <w:r>
              <w:rPr>
                <w:rFonts w:ascii="仿宋_GB2312" w:hAnsi="仿宋_GB2312" w:cs="仿宋_GB2312" w:eastAsia="仿宋_GB2312"/>
                <w:sz w:val="20"/>
              </w:rPr>
              <w:t xml:space="preserve">&gt; </w:t>
            </w:r>
            <w:r>
              <w:rPr>
                <w:rFonts w:ascii="仿宋_GB2312" w:hAnsi="仿宋_GB2312" w:cs="仿宋_GB2312" w:eastAsia="仿宋_GB2312"/>
                <w:sz w:val="20"/>
              </w:rPr>
              <w:t>故障申告响应时限：</w:t>
            </w:r>
            <w:r>
              <w:rPr>
                <w:rFonts w:ascii="仿宋_GB2312" w:hAnsi="仿宋_GB2312" w:cs="仿宋_GB2312" w:eastAsia="仿宋_GB2312"/>
                <w:sz w:val="20"/>
              </w:rPr>
              <w:t xml:space="preserve">30 </w:t>
            </w:r>
            <w:r>
              <w:rPr>
                <w:rFonts w:ascii="仿宋_GB2312" w:hAnsi="仿宋_GB2312" w:cs="仿宋_GB2312" w:eastAsia="仿宋_GB2312"/>
                <w:sz w:val="20"/>
              </w:rPr>
              <w:t>分钟内；</w:t>
            </w:r>
          </w:p>
          <w:p>
            <w:pPr>
              <w:pStyle w:val="null3"/>
              <w:ind w:firstLine="500"/>
              <w:jc w:val="left"/>
            </w:pPr>
            <w:r>
              <w:rPr>
                <w:rFonts w:ascii="仿宋_GB2312" w:hAnsi="仿宋_GB2312" w:cs="仿宋_GB2312" w:eastAsia="仿宋_GB2312"/>
                <w:sz w:val="20"/>
              </w:rPr>
              <w:t xml:space="preserve">&gt; </w:t>
            </w:r>
            <w:r>
              <w:rPr>
                <w:rFonts w:ascii="仿宋_GB2312" w:hAnsi="仿宋_GB2312" w:cs="仿宋_GB2312" w:eastAsia="仿宋_GB2312"/>
                <w:sz w:val="20"/>
              </w:rPr>
              <w:t>网络中断，可根据客户需要提供详细的故障处理及分析报告。</w:t>
            </w:r>
          </w:p>
          <w:p>
            <w:pPr>
              <w:pStyle w:val="null3"/>
              <w:ind w:firstLine="400"/>
              <w:jc w:val="left"/>
            </w:pPr>
            <w:r>
              <w:rPr>
                <w:rFonts w:ascii="仿宋_GB2312" w:hAnsi="仿宋_GB2312" w:cs="仿宋_GB2312" w:eastAsia="仿宋_GB2312"/>
                <w:sz w:val="20"/>
              </w:rPr>
              <w:t xml:space="preserve">2. </w:t>
            </w:r>
            <w:r>
              <w:rPr>
                <w:rFonts w:ascii="仿宋_GB2312" w:hAnsi="仿宋_GB2312" w:cs="仿宋_GB2312" w:eastAsia="仿宋_GB2312"/>
                <w:sz w:val="20"/>
              </w:rPr>
              <w:t>故障响应和处理服务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）“零时延”故障响应</w:t>
            </w:r>
          </w:p>
          <w:p>
            <w:pPr>
              <w:pStyle w:val="null3"/>
              <w:ind w:firstLine="400"/>
              <w:jc w:val="left"/>
            </w:pPr>
            <w:r>
              <w:rPr>
                <w:rFonts w:ascii="仿宋_GB2312" w:hAnsi="仿宋_GB2312" w:cs="仿宋_GB2312" w:eastAsia="仿宋_GB2312"/>
                <w:sz w:val="20"/>
              </w:rPr>
              <w:t>在网络故障出现时，实现“零时延”故障响应。通过多种方式，在最短的间内响应并解决网络在运行中出现的故障，最大程度的降低网络故障对三亚市教育城域网产生的影响。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）故障处理</w:t>
            </w:r>
          </w:p>
          <w:p>
            <w:pPr>
              <w:pStyle w:val="null3"/>
              <w:ind w:firstLine="400"/>
              <w:jc w:val="left"/>
            </w:pPr>
            <w:r>
              <w:rPr>
                <w:rFonts w:ascii="仿宋_GB2312" w:hAnsi="仿宋_GB2312" w:cs="仿宋_GB2312" w:eastAsia="仿宋_GB2312"/>
                <w:sz w:val="20"/>
              </w:rPr>
              <w:t>供应商须为业主提供</w:t>
            </w:r>
            <w:r>
              <w:rPr>
                <w:rFonts w:ascii="仿宋_GB2312" w:hAnsi="仿宋_GB2312" w:cs="仿宋_GB2312" w:eastAsia="仿宋_GB2312"/>
                <w:sz w:val="20"/>
              </w:rPr>
              <w:t xml:space="preserve">7x24 </w:t>
            </w:r>
            <w:r>
              <w:rPr>
                <w:rFonts w:ascii="仿宋_GB2312" w:hAnsi="仿宋_GB2312" w:cs="仿宋_GB2312" w:eastAsia="仿宋_GB2312"/>
                <w:sz w:val="20"/>
              </w:rPr>
              <w:t>小时全天候的故障受理和处理服务。服务商在接到故障申报电话申告后，在</w:t>
            </w:r>
            <w:r>
              <w:rPr>
                <w:rFonts w:ascii="仿宋_GB2312" w:hAnsi="仿宋_GB2312" w:cs="仿宋_GB2312" w:eastAsia="仿宋_GB2312"/>
                <w:sz w:val="20"/>
              </w:rPr>
              <w:t xml:space="preserve"> 30 </w:t>
            </w:r>
            <w:r>
              <w:rPr>
                <w:rFonts w:ascii="仿宋_GB2312" w:hAnsi="仿宋_GB2312" w:cs="仿宋_GB2312" w:eastAsia="仿宋_GB2312"/>
                <w:sz w:val="20"/>
              </w:rPr>
              <w:t>分钟内以短信等形式向业主进行第一次反馈，内容包括障碍单号、处理进程、后续处理渠道等。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）故障处理报告</w:t>
            </w:r>
          </w:p>
          <w:p>
            <w:pPr>
              <w:pStyle w:val="null3"/>
              <w:ind w:firstLine="400"/>
              <w:jc w:val="left"/>
            </w:pPr>
            <w:r>
              <w:rPr>
                <w:rFonts w:ascii="仿宋_GB2312" w:hAnsi="仿宋_GB2312" w:cs="仿宋_GB2312" w:eastAsia="仿宋_GB2312"/>
                <w:sz w:val="20"/>
              </w:rPr>
              <w:t>网络故障处理完毕后，服务商将在</w:t>
            </w:r>
            <w:r>
              <w:rPr>
                <w:rFonts w:ascii="仿宋_GB2312" w:hAnsi="仿宋_GB2312" w:cs="仿宋_GB2312" w:eastAsia="仿宋_GB2312"/>
                <w:sz w:val="20"/>
              </w:rPr>
              <w:t>3</w:t>
            </w:r>
            <w:r>
              <w:rPr>
                <w:rFonts w:ascii="仿宋_GB2312" w:hAnsi="仿宋_GB2312" w:cs="仿宋_GB2312" w:eastAsia="仿宋_GB2312"/>
                <w:sz w:val="20"/>
              </w:rPr>
              <w:t>个工作日内向业主提供故障处理报告。</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巡检及运行维护服务</w:t>
            </w:r>
          </w:p>
          <w:p>
            <w:pPr>
              <w:pStyle w:val="null3"/>
              <w:jc w:val="left"/>
            </w:pPr>
            <w:r>
              <w:rPr>
                <w:rFonts w:ascii="仿宋_GB2312" w:hAnsi="仿宋_GB2312" w:cs="仿宋_GB2312" w:eastAsia="仿宋_GB2312"/>
                <w:sz w:val="20"/>
              </w:rPr>
              <w:t>在网络线路投入使用后，供应商须对该项目的光纤链路实行</w:t>
            </w:r>
            <w:r>
              <w:rPr>
                <w:rFonts w:ascii="仿宋_GB2312" w:hAnsi="仿宋_GB2312" w:cs="仿宋_GB2312" w:eastAsia="仿宋_GB2312"/>
                <w:sz w:val="20"/>
              </w:rPr>
              <w:t xml:space="preserve">7x24 </w:t>
            </w:r>
            <w:r>
              <w:rPr>
                <w:rFonts w:ascii="仿宋_GB2312" w:hAnsi="仿宋_GB2312" w:cs="仿宋_GB2312" w:eastAsia="仿宋_GB2312"/>
                <w:sz w:val="20"/>
              </w:rPr>
              <w:t>特别监护。供应商将负责本项目网络中涉及到的网络线路和网络设备的运行、维护，组织丰富的技术运维人员进行运行维护，提供优质的服务质量。</w:t>
            </w:r>
          </w:p>
          <w:p>
            <w:pPr>
              <w:pStyle w:val="null3"/>
              <w:jc w:val="left"/>
            </w:pPr>
            <w:r>
              <w:rPr>
                <w:rFonts w:ascii="仿宋_GB2312" w:hAnsi="仿宋_GB2312" w:cs="仿宋_GB2312" w:eastAsia="仿宋_GB2312"/>
                <w:sz w:val="20"/>
              </w:rPr>
              <w:t>供应商须定期对本项目网络的状态巡检，保证网络线路的高效运行；针对网络线路质量严重下降时，须提供不定期的巡检报告，对网路线路的运行情况和工程师的维护经验进行总结。同时，还须根据分析结果出具网络线路运行和性能分析报告，并以书面形式向业主单位提交。网路线路性能报告从多个角度全面反映网络性能，包括网路线路流量分析、故障摘要报告、线路误码报告等。</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运维服务制度主要包括服务时间管理制度、服务行为规范制度和服务问题记录制度。具体内容如下：</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接收服务请求和咨询：在</w:t>
            </w:r>
            <w:r>
              <w:rPr>
                <w:rFonts w:ascii="仿宋_GB2312" w:hAnsi="仿宋_GB2312" w:cs="仿宋_GB2312" w:eastAsia="仿宋_GB2312"/>
                <w:sz w:val="20"/>
              </w:rPr>
              <w:t xml:space="preserve">5*8 </w:t>
            </w:r>
            <w:r>
              <w:rPr>
                <w:rFonts w:ascii="仿宋_GB2312" w:hAnsi="仿宋_GB2312" w:cs="仿宋_GB2312" w:eastAsia="仿宋_GB2312"/>
                <w:sz w:val="20"/>
              </w:rPr>
              <w:t>小时工作时间内设置由专人职守的热线电话，接听内部的服务请求，并记录服务台事件处理结果。</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在非工作时间设置有专人</w:t>
            </w:r>
            <w:r>
              <w:rPr>
                <w:rFonts w:ascii="仿宋_GB2312" w:hAnsi="仿宋_GB2312" w:cs="仿宋_GB2312" w:eastAsia="仿宋_GB2312"/>
                <w:sz w:val="21"/>
              </w:rPr>
              <w:t xml:space="preserve">7*24 </w:t>
            </w:r>
            <w:r>
              <w:rPr>
                <w:rFonts w:ascii="仿宋_GB2312" w:hAnsi="仿宋_GB2312" w:cs="仿宋_GB2312" w:eastAsia="仿宋_GB2312"/>
                <w:sz w:val="21"/>
              </w:rPr>
              <w:t>小时接听的热线电话，用于解决内部的技术问题以及接听</w:t>
            </w:r>
            <w:r>
              <w:rPr>
                <w:rFonts w:ascii="仿宋_GB2312" w:hAnsi="仿宋_GB2312" w:cs="仿宋_GB2312" w:eastAsia="仿宋_GB2312"/>
                <w:sz w:val="21"/>
              </w:rPr>
              <w:t xml:space="preserve">7*24 </w:t>
            </w:r>
            <w:r>
              <w:rPr>
                <w:rFonts w:ascii="仿宋_GB2312" w:hAnsi="仿宋_GB2312" w:cs="仿宋_GB2312" w:eastAsia="仿宋_GB2312"/>
                <w:sz w:val="21"/>
              </w:rPr>
              <w:t>小时机房监控人员的机房突发情况汇报。</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三、采购服务需求表</w:t>
            </w:r>
          </w:p>
          <w:tbl>
            <w:tblPr>
              <w:tblBorders>
                <w:top w:val="none" w:color="000000" w:sz="4"/>
                <w:left w:val="none" w:color="000000" w:sz="4"/>
                <w:bottom w:val="none" w:color="000000" w:sz="4"/>
                <w:right w:val="none" w:color="000000" w:sz="4"/>
                <w:insideH w:val="none"/>
                <w:insideV w:val="none"/>
              </w:tblBorders>
            </w:tblPr>
            <w:tblGrid>
              <w:gridCol w:w="314"/>
              <w:gridCol w:w="452"/>
              <w:gridCol w:w="1787"/>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4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服务名称</w:t>
                  </w:r>
                </w:p>
              </w:tc>
              <w:tc>
                <w:tcPr>
                  <w:tcW w:type="dxa" w:w="17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需求描述</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4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班班通光纤服务</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校园网络采用光纤进班方式接入各类信息终端，确保上下相对称带宽不低于</w:t>
                  </w:r>
                  <w:r>
                    <w:rPr>
                      <w:rFonts w:ascii="仿宋_GB2312" w:hAnsi="仿宋_GB2312" w:cs="仿宋_GB2312" w:eastAsia="仿宋_GB2312"/>
                      <w:sz w:val="20"/>
                    </w:rPr>
                    <w:t xml:space="preserve"> 100Mbps</w:t>
                  </w:r>
                  <w:r>
                    <w:rPr>
                      <w:rFonts w:ascii="仿宋_GB2312" w:hAnsi="仿宋_GB2312" w:cs="仿宋_GB2312" w:eastAsia="仿宋_GB2312"/>
                      <w:sz w:val="20"/>
                    </w:rPr>
                    <w:t>；</w:t>
                  </w:r>
                </w:p>
              </w:tc>
            </w:tr>
            <w:tr>
              <w:tc>
                <w:tcPr>
                  <w:tcW w:type="dxa" w:w="314"/>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普通教室、功能教室、</w:t>
                  </w:r>
                  <w:r>
                    <w:rPr>
                      <w:rFonts w:ascii="仿宋_GB2312" w:hAnsi="仿宋_GB2312" w:cs="仿宋_GB2312" w:eastAsia="仿宋_GB2312"/>
                      <w:sz w:val="20"/>
                    </w:rPr>
                    <w:t>10</w:t>
                  </w:r>
                  <w:r>
                    <w:rPr>
                      <w:rFonts w:ascii="仿宋_GB2312" w:hAnsi="仿宋_GB2312" w:cs="仿宋_GB2312" w:eastAsia="仿宋_GB2312"/>
                      <w:sz w:val="20"/>
                    </w:rPr>
                    <w:t>人及以下教师办公室、同步课堂和录播教室、其他教室或办公区等接入上下行对称带宽不低于</w:t>
                  </w:r>
                  <w:r>
                    <w:rPr>
                      <w:rFonts w:ascii="仿宋_GB2312" w:hAnsi="仿宋_GB2312" w:cs="仿宋_GB2312" w:eastAsia="仿宋_GB2312"/>
                      <w:sz w:val="20"/>
                    </w:rPr>
                    <w:t>100Mbps</w:t>
                  </w:r>
                  <w:r>
                    <w:rPr>
                      <w:rFonts w:ascii="仿宋_GB2312" w:hAnsi="仿宋_GB2312" w:cs="仿宋_GB2312" w:eastAsia="仿宋_GB2312"/>
                      <w:sz w:val="20"/>
                    </w:rPr>
                    <w:t>；</w:t>
                  </w:r>
                </w:p>
              </w:tc>
            </w:tr>
            <w:tr>
              <w:tc>
                <w:tcPr>
                  <w:tcW w:type="dxa" w:w="314"/>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3.10</w:t>
                  </w:r>
                  <w:r>
                    <w:rPr>
                      <w:rFonts w:ascii="仿宋_GB2312" w:hAnsi="仿宋_GB2312" w:cs="仿宋_GB2312" w:eastAsia="仿宋_GB2312"/>
                      <w:sz w:val="20"/>
                    </w:rPr>
                    <w:t>人</w:t>
                  </w:r>
                  <w:r>
                    <w:rPr>
                      <w:rFonts w:ascii="仿宋_GB2312" w:hAnsi="仿宋_GB2312" w:cs="仿宋_GB2312" w:eastAsia="仿宋_GB2312"/>
                      <w:sz w:val="20"/>
                    </w:rPr>
                    <w:t>以上</w:t>
                  </w:r>
                  <w:r>
                    <w:rPr>
                      <w:rFonts w:ascii="仿宋_GB2312" w:hAnsi="仿宋_GB2312" w:cs="仿宋_GB2312" w:eastAsia="仿宋_GB2312"/>
                      <w:sz w:val="20"/>
                    </w:rPr>
                    <w:t>办公室</w:t>
                  </w:r>
                  <w:r>
                    <w:rPr>
                      <w:rFonts w:ascii="仿宋_GB2312" w:hAnsi="仿宋_GB2312" w:cs="仿宋_GB2312" w:eastAsia="仿宋_GB2312"/>
                      <w:sz w:val="20"/>
                    </w:rPr>
                    <w:t>及校园公共区等</w:t>
                  </w:r>
                  <w:r>
                    <w:rPr>
                      <w:rFonts w:ascii="仿宋_GB2312" w:hAnsi="仿宋_GB2312" w:cs="仿宋_GB2312" w:eastAsia="仿宋_GB2312"/>
                      <w:sz w:val="20"/>
                    </w:rPr>
                    <w:t>接入上下行对称带宽不低于</w:t>
                  </w:r>
                  <w:r>
                    <w:rPr>
                      <w:rFonts w:ascii="仿宋_GB2312" w:hAnsi="仿宋_GB2312" w:cs="仿宋_GB2312" w:eastAsia="仿宋_GB2312"/>
                      <w:sz w:val="20"/>
                    </w:rPr>
                    <w:t>300Mbps</w:t>
                  </w:r>
                  <w:r>
                    <w:rPr>
                      <w:rFonts w:ascii="仿宋_GB2312" w:hAnsi="仿宋_GB2312" w:cs="仿宋_GB2312" w:eastAsia="仿宋_GB2312"/>
                      <w:sz w:val="20"/>
                    </w:rPr>
                    <w:t>；</w:t>
                  </w:r>
                </w:p>
              </w:tc>
            </w:tr>
            <w:tr>
              <w:tc>
                <w:tcPr>
                  <w:tcW w:type="dxa" w:w="314"/>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计算机教室接入上下行对称带宽不低于</w:t>
                  </w:r>
                  <w:r>
                    <w:rPr>
                      <w:rFonts w:ascii="仿宋_GB2312" w:hAnsi="仿宋_GB2312" w:cs="仿宋_GB2312" w:eastAsia="仿宋_GB2312"/>
                      <w:sz w:val="20"/>
                    </w:rPr>
                    <w:t>500Mbps</w:t>
                  </w:r>
                  <w:r>
                    <w:rPr>
                      <w:rFonts w:ascii="仿宋_GB2312" w:hAnsi="仿宋_GB2312" w:cs="仿宋_GB2312" w:eastAsia="仿宋_GB2312"/>
                      <w:sz w:val="20"/>
                    </w:rPr>
                    <w:t>；</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4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县教育城域网节点平台安全服务能力</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运营商提供服务的县教育城域网，光纤网络接入符合</w:t>
                  </w:r>
                  <w:r>
                    <w:rPr>
                      <w:rFonts w:ascii="仿宋_GB2312" w:hAnsi="仿宋_GB2312" w:cs="仿宋_GB2312" w:eastAsia="仿宋_GB2312"/>
                      <w:sz w:val="20"/>
                    </w:rPr>
                    <w:t xml:space="preserve"> GB/T 22240-2020 </w:t>
                  </w:r>
                  <w:r>
                    <w:rPr>
                      <w:rFonts w:ascii="仿宋_GB2312" w:hAnsi="仿宋_GB2312" w:cs="仿宋_GB2312" w:eastAsia="仿宋_GB2312"/>
                      <w:sz w:val="20"/>
                    </w:rPr>
                    <w:t>的等保要求，达到网络安全等级定级的二级标准。教育城域网出口部署</w:t>
                  </w:r>
                  <w:r>
                    <w:rPr>
                      <w:rFonts w:ascii="仿宋_GB2312" w:hAnsi="仿宋_GB2312" w:cs="仿宋_GB2312" w:eastAsia="仿宋_GB2312"/>
                      <w:sz w:val="20"/>
                    </w:rPr>
                    <w:t xml:space="preserve">10G </w:t>
                  </w:r>
                  <w:r>
                    <w:rPr>
                      <w:rFonts w:ascii="仿宋_GB2312" w:hAnsi="仿宋_GB2312" w:cs="仿宋_GB2312" w:eastAsia="仿宋_GB2312"/>
                      <w:sz w:val="20"/>
                    </w:rPr>
                    <w:t>安全审计、安全防护、上网行为管理、日志审计、准入认证及态势感知平台等设备及平台，作为互联网出口和教育城域网边界安全的设备，要实现对教育城域网和互联网流量的安全审计、安全告警、安全事件溯源，全量安全日志存储时间不少于</w:t>
                  </w:r>
                  <w:r>
                    <w:rPr>
                      <w:rFonts w:ascii="仿宋_GB2312" w:hAnsi="仿宋_GB2312" w:cs="仿宋_GB2312" w:eastAsia="仿宋_GB2312"/>
                      <w:sz w:val="20"/>
                    </w:rPr>
                    <w:t>6</w:t>
                  </w:r>
                  <w:r>
                    <w:rPr>
                      <w:rFonts w:ascii="仿宋_GB2312" w:hAnsi="仿宋_GB2312" w:cs="仿宋_GB2312" w:eastAsia="仿宋_GB2312"/>
                      <w:sz w:val="20"/>
                    </w:rPr>
                    <w:t>个月。</w:t>
                  </w:r>
                </w:p>
              </w:tc>
            </w:tr>
            <w:tr>
              <w:tc>
                <w:tcPr>
                  <w:tcW w:type="dxa" w:w="314"/>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流量监控与威胁管理</w:t>
                  </w:r>
                </w:p>
                <w:p>
                  <w:pPr>
                    <w:pStyle w:val="null3"/>
                    <w:jc w:val="left"/>
                  </w:pPr>
                  <w:r>
                    <w:rPr>
                      <w:rFonts w:ascii="仿宋_GB2312" w:hAnsi="仿宋_GB2312" w:cs="仿宋_GB2312" w:eastAsia="仿宋_GB2312"/>
                      <w:sz w:val="20"/>
                    </w:rPr>
                    <w:t>引入流量监控技术，精准识别并拦截恶意软件、钓鱼网站及矿池地址等安全威胁，同时对上网行为进行细致审计，确保对潜在安全风险的及时发现与有效管控。集成威胁感知系统，敏锐捕捉并深入分析新型网络攻击行为，实现快速响应与高效处置。</w:t>
                  </w:r>
                  <w:r>
                    <w:rPr>
                      <w:rFonts w:ascii="仿宋_GB2312" w:hAnsi="仿宋_GB2312" w:cs="仿宋_GB2312" w:eastAsia="仿宋_GB2312"/>
                      <w:sz w:val="20"/>
                      <w:b/>
                      <w:shd w:fill="FFFF00" w:val="clear"/>
                    </w:rPr>
                    <w:t>（提供系统截图</w:t>
                  </w:r>
                  <w:r>
                    <w:rPr>
                      <w:rFonts w:ascii="仿宋_GB2312" w:hAnsi="仿宋_GB2312" w:cs="仿宋_GB2312" w:eastAsia="仿宋_GB2312"/>
                      <w:sz w:val="20"/>
                      <w:b/>
                      <w:shd w:fill="FFFF00" w:val="clear"/>
                    </w:rPr>
                    <w:t>，截图要完整体现各项指标和功能</w:t>
                  </w:r>
                  <w:r>
                    <w:rPr>
                      <w:rFonts w:ascii="仿宋_GB2312" w:hAnsi="仿宋_GB2312" w:cs="仿宋_GB2312" w:eastAsia="仿宋_GB2312"/>
                      <w:sz w:val="20"/>
                      <w:b/>
                      <w:shd w:fill="FFFF00" w:val="clear"/>
                    </w:rPr>
                    <w:t>，加盖原厂公章</w:t>
                  </w:r>
                  <w:r>
                    <w:rPr>
                      <w:rFonts w:ascii="仿宋_GB2312" w:hAnsi="仿宋_GB2312" w:cs="仿宋_GB2312" w:eastAsia="仿宋_GB2312"/>
                      <w:sz w:val="20"/>
                      <w:b/>
                      <w:shd w:fill="FFFF00" w:val="clear"/>
                    </w:rPr>
                    <w:t>。</w:t>
                  </w:r>
                  <w:r>
                    <w:rPr>
                      <w:rFonts w:ascii="仿宋_GB2312" w:hAnsi="仿宋_GB2312" w:cs="仿宋_GB2312" w:eastAsia="仿宋_GB2312"/>
                      <w:sz w:val="20"/>
                      <w:b/>
                      <w:shd w:fill="FFFF00" w:val="clear"/>
                    </w:rPr>
                    <w:t>）</w:t>
                  </w:r>
                </w:p>
              </w:tc>
            </w:tr>
            <w:tr>
              <w:tc>
                <w:tcPr>
                  <w:tcW w:type="dxa" w:w="314"/>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全量日志采集与分析</w:t>
                  </w:r>
                </w:p>
                <w:p>
                  <w:pPr>
                    <w:pStyle w:val="null3"/>
                    <w:jc w:val="left"/>
                  </w:pPr>
                  <w:r>
                    <w:rPr>
                      <w:rFonts w:ascii="仿宋_GB2312" w:hAnsi="仿宋_GB2312" w:cs="仿宋_GB2312" w:eastAsia="仿宋_GB2312"/>
                      <w:sz w:val="20"/>
                    </w:rPr>
                    <w:t>借助网络全协议识别与还原技术，结合网络行为知识库，实现对城域网内安全防护网关、审计网关等关键节点的全流量采集，确保网络流量与事件的全面记录，为网络安全行为与事件检测、深度分析、快速发现及有效追溯提供坚实的数据基础。</w:t>
                  </w:r>
                  <w:r>
                    <w:rPr>
                      <w:rFonts w:ascii="仿宋_GB2312" w:hAnsi="仿宋_GB2312" w:cs="仿宋_GB2312" w:eastAsia="仿宋_GB2312"/>
                      <w:sz w:val="20"/>
                      <w:b/>
                      <w:shd w:fill="FFFF00" w:val="clear"/>
                    </w:rPr>
                    <w:t>（提供系统截图</w:t>
                  </w:r>
                  <w:r>
                    <w:rPr>
                      <w:rFonts w:ascii="仿宋_GB2312" w:hAnsi="仿宋_GB2312" w:cs="仿宋_GB2312" w:eastAsia="仿宋_GB2312"/>
                      <w:sz w:val="20"/>
                      <w:b/>
                      <w:shd w:fill="FFFF00" w:val="clear"/>
                    </w:rPr>
                    <w:t>，截图要完整体现各项指标和功能</w:t>
                  </w:r>
                  <w:r>
                    <w:rPr>
                      <w:rFonts w:ascii="仿宋_GB2312" w:hAnsi="仿宋_GB2312" w:cs="仿宋_GB2312" w:eastAsia="仿宋_GB2312"/>
                      <w:sz w:val="20"/>
                      <w:b/>
                      <w:shd w:fill="FFFF00" w:val="clear"/>
                    </w:rPr>
                    <w:t>，加盖原厂公章</w:t>
                  </w:r>
                  <w:r>
                    <w:rPr>
                      <w:rFonts w:ascii="仿宋_GB2312" w:hAnsi="仿宋_GB2312" w:cs="仿宋_GB2312" w:eastAsia="仿宋_GB2312"/>
                      <w:sz w:val="20"/>
                      <w:b/>
                      <w:shd w:fill="FFFF00" w:val="clear"/>
                    </w:rPr>
                    <w:t>。</w:t>
                  </w:r>
                  <w:r>
                    <w:rPr>
                      <w:rFonts w:ascii="仿宋_GB2312" w:hAnsi="仿宋_GB2312" w:cs="仿宋_GB2312" w:eastAsia="仿宋_GB2312"/>
                      <w:sz w:val="20"/>
                      <w:b/>
                      <w:shd w:fill="FFFF00" w:val="clear"/>
                    </w:rPr>
                    <w:t>）</w:t>
                  </w:r>
                </w:p>
              </w:tc>
            </w:tr>
            <w:tr>
              <w:tc>
                <w:tcPr>
                  <w:tcW w:type="dxa" w:w="314"/>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网络信息推送与共享</w:t>
                  </w:r>
                </w:p>
                <w:p>
                  <w:pPr>
                    <w:pStyle w:val="null3"/>
                    <w:jc w:val="left"/>
                  </w:pPr>
                  <w:r>
                    <w:rPr>
                      <w:rFonts w:ascii="仿宋_GB2312" w:hAnsi="仿宋_GB2312" w:cs="仿宋_GB2312" w:eastAsia="仿宋_GB2312"/>
                      <w:sz w:val="20"/>
                    </w:rPr>
                    <w:t>建立信息推送机制，实时将关键网络设备的运行日志及相关安全情报传输至教育城域网省级核心节点的安全平台，实现安全信息的即时共享与协同处理，进一步提升整体安全防护水平。</w:t>
                  </w:r>
                </w:p>
              </w:tc>
            </w:tr>
            <w:tr>
              <w:tc>
                <w:tcPr>
                  <w:tcW w:type="dxa" w:w="314"/>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网络边界安全与管理</w:t>
                  </w:r>
                </w:p>
                <w:p>
                  <w:pPr>
                    <w:pStyle w:val="null3"/>
                    <w:jc w:val="left"/>
                  </w:pPr>
                  <w:r>
                    <w:rPr>
                      <w:rFonts w:ascii="仿宋_GB2312" w:hAnsi="仿宋_GB2312" w:cs="仿宋_GB2312" w:eastAsia="仿宋_GB2312"/>
                      <w:sz w:val="20"/>
                    </w:rPr>
                    <w:t>县教育城域网出口处部署防火墙系统，实施访问控制与边界隔离策略。根据业务需求动态调整安全控制策略，定期进行策略优化与维护，确保网络边界的安全稳固。</w:t>
                  </w:r>
                  <w:r>
                    <w:rPr>
                      <w:rFonts w:ascii="仿宋_GB2312" w:hAnsi="仿宋_GB2312" w:cs="仿宋_GB2312" w:eastAsia="仿宋_GB2312"/>
                      <w:sz w:val="20"/>
                      <w:b/>
                      <w:shd w:fill="FFFF00" w:val="clear"/>
                    </w:rPr>
                    <w:t>（提供系统截图</w:t>
                  </w:r>
                  <w:r>
                    <w:rPr>
                      <w:rFonts w:ascii="仿宋_GB2312" w:hAnsi="仿宋_GB2312" w:cs="仿宋_GB2312" w:eastAsia="仿宋_GB2312"/>
                      <w:sz w:val="20"/>
                      <w:b/>
                      <w:shd w:fill="FFFF00" w:val="clear"/>
                    </w:rPr>
                    <w:t>，截图要完整体现各项指标和功能</w:t>
                  </w:r>
                  <w:r>
                    <w:rPr>
                      <w:rFonts w:ascii="仿宋_GB2312" w:hAnsi="仿宋_GB2312" w:cs="仿宋_GB2312" w:eastAsia="仿宋_GB2312"/>
                      <w:sz w:val="20"/>
                      <w:b/>
                      <w:shd w:fill="FFFF00" w:val="clear"/>
                    </w:rPr>
                    <w:t>，加盖原厂公章</w:t>
                  </w:r>
                  <w:r>
                    <w:rPr>
                      <w:rFonts w:ascii="仿宋_GB2312" w:hAnsi="仿宋_GB2312" w:cs="仿宋_GB2312" w:eastAsia="仿宋_GB2312"/>
                      <w:sz w:val="20"/>
                      <w:b/>
                      <w:shd w:fill="FFFF00" w:val="clear"/>
                    </w:rPr>
                    <w:t>。</w:t>
                  </w:r>
                  <w:r>
                    <w:rPr>
                      <w:rFonts w:ascii="仿宋_GB2312" w:hAnsi="仿宋_GB2312" w:cs="仿宋_GB2312" w:eastAsia="仿宋_GB2312"/>
                      <w:sz w:val="20"/>
                      <w:b/>
                      <w:shd w:fill="FFFF00" w:val="clear"/>
                    </w:rPr>
                    <w:t>）</w:t>
                  </w:r>
                </w:p>
              </w:tc>
            </w:tr>
            <w:tr>
              <w:tc>
                <w:tcPr>
                  <w:tcW w:type="dxa" w:w="314"/>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服务工具须应对多种日志采集场景</w:t>
                  </w:r>
                  <w:r>
                    <w:rPr>
                      <w:rFonts w:ascii="仿宋_GB2312" w:hAnsi="仿宋_GB2312" w:cs="仿宋_GB2312" w:eastAsia="仿宋_GB2312"/>
                      <w:sz w:val="20"/>
                    </w:rPr>
                    <w:t>。</w:t>
                  </w:r>
                  <w:r>
                    <w:rPr>
                      <w:rFonts w:ascii="仿宋_GB2312" w:hAnsi="仿宋_GB2312" w:cs="仿宋_GB2312" w:eastAsia="仿宋_GB2312"/>
                      <w:sz w:val="20"/>
                    </w:rPr>
                    <w:t>应支持采用解决方案形式包上传对产品进行功能扩展，无需代码开发。</w:t>
                  </w:r>
                  <w:r>
                    <w:rPr>
                      <w:rFonts w:ascii="仿宋_GB2312" w:hAnsi="仿宋_GB2312" w:cs="仿宋_GB2312" w:eastAsia="仿宋_GB2312"/>
                      <w:sz w:val="20"/>
                      <w:b/>
                      <w:shd w:fill="FFFF00" w:val="clear"/>
                    </w:rPr>
                    <w:t>（提供系统截图</w:t>
                  </w:r>
                  <w:r>
                    <w:rPr>
                      <w:rFonts w:ascii="仿宋_GB2312" w:hAnsi="仿宋_GB2312" w:cs="仿宋_GB2312" w:eastAsia="仿宋_GB2312"/>
                      <w:sz w:val="20"/>
                      <w:b/>
                      <w:shd w:fill="FFFF00" w:val="clear"/>
                    </w:rPr>
                    <w:t>，截图要完整体现各项指标和功能</w:t>
                  </w:r>
                  <w:r>
                    <w:rPr>
                      <w:rFonts w:ascii="仿宋_GB2312" w:hAnsi="仿宋_GB2312" w:cs="仿宋_GB2312" w:eastAsia="仿宋_GB2312"/>
                      <w:sz w:val="20"/>
                      <w:b/>
                      <w:shd w:fill="FFFF00" w:val="clear"/>
                    </w:rPr>
                    <w:t>，</w:t>
                  </w:r>
                  <w:r>
                    <w:rPr>
                      <w:rFonts w:ascii="仿宋_GB2312" w:hAnsi="仿宋_GB2312" w:cs="仿宋_GB2312" w:eastAsia="仿宋_GB2312"/>
                      <w:sz w:val="20"/>
                      <w:b/>
                      <w:shd w:fill="FFFF00" w:val="clear"/>
                    </w:rPr>
                    <w:t>加盖原厂公章。</w:t>
                  </w:r>
                  <w:r>
                    <w:rPr>
                      <w:rFonts w:ascii="仿宋_GB2312" w:hAnsi="仿宋_GB2312" w:cs="仿宋_GB2312" w:eastAsia="仿宋_GB2312"/>
                      <w:sz w:val="20"/>
                      <w:b/>
                      <w:shd w:fill="FFFF00" w:val="clear"/>
                    </w:rPr>
                    <w:t>）</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县教育城域网节点平台认证服务</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实现网络准入认证。对接省级核心节点统一认证平台，实现用户身份的统一管理与认证，提升网络访问的安全性与合规性，确保网络安全与数据保护，为教育环境的健康发展保驾护航，终端接入实现网络接入的实名认证、授权；要求支持有线接入管控及无线接入管控；要求支持多种</w:t>
                  </w:r>
                  <w:r>
                    <w:rPr>
                      <w:rFonts w:ascii="仿宋_GB2312" w:hAnsi="仿宋_GB2312" w:cs="仿宋_GB2312" w:eastAsia="仿宋_GB2312"/>
                      <w:sz w:val="20"/>
                    </w:rPr>
                    <w:t>PPPoE</w:t>
                  </w:r>
                  <w:r>
                    <w:rPr>
                      <w:rFonts w:ascii="仿宋_GB2312" w:hAnsi="仿宋_GB2312" w:cs="仿宋_GB2312" w:eastAsia="仿宋_GB2312"/>
                      <w:sz w:val="20"/>
                    </w:rPr>
                    <w:t>、</w:t>
                  </w:r>
                  <w:r>
                    <w:rPr>
                      <w:rFonts w:ascii="仿宋_GB2312" w:hAnsi="仿宋_GB2312" w:cs="仿宋_GB2312" w:eastAsia="仿宋_GB2312"/>
                      <w:sz w:val="20"/>
                    </w:rPr>
                    <w:t>Web</w:t>
                  </w:r>
                  <w:r>
                    <w:rPr>
                      <w:rFonts w:ascii="仿宋_GB2312" w:hAnsi="仿宋_GB2312" w:cs="仿宋_GB2312" w:eastAsia="仿宋_GB2312"/>
                      <w:sz w:val="20"/>
                    </w:rPr>
                    <w:t>＋</w:t>
                  </w:r>
                  <w:r>
                    <w:rPr>
                      <w:rFonts w:ascii="仿宋_GB2312" w:hAnsi="仿宋_GB2312" w:cs="仿宋_GB2312" w:eastAsia="仿宋_GB2312"/>
                      <w:sz w:val="20"/>
                    </w:rPr>
                    <w:t>Portal</w:t>
                  </w:r>
                  <w:r>
                    <w:rPr>
                      <w:rFonts w:ascii="仿宋_GB2312" w:hAnsi="仿宋_GB2312" w:cs="仿宋_GB2312" w:eastAsia="仿宋_GB2312"/>
                      <w:sz w:val="20"/>
                    </w:rPr>
                    <w:t>、</w:t>
                  </w:r>
                  <w:r>
                    <w:rPr>
                      <w:rFonts w:ascii="仿宋_GB2312" w:hAnsi="仿宋_GB2312" w:cs="仿宋_GB2312" w:eastAsia="仿宋_GB2312"/>
                      <w:sz w:val="20"/>
                    </w:rPr>
                    <w:t xml:space="preserve">IEEE802.1x </w:t>
                  </w:r>
                  <w:r>
                    <w:rPr>
                      <w:rFonts w:ascii="仿宋_GB2312" w:hAnsi="仿宋_GB2312" w:cs="仿宋_GB2312" w:eastAsia="仿宋_GB2312"/>
                      <w:sz w:val="20"/>
                    </w:rPr>
                    <w:t>接入认证，支持</w:t>
                  </w:r>
                  <w:r>
                    <w:rPr>
                      <w:rFonts w:ascii="仿宋_GB2312" w:hAnsi="仿宋_GB2312" w:cs="仿宋_GB2312" w:eastAsia="仿宋_GB2312"/>
                      <w:sz w:val="20"/>
                    </w:rPr>
                    <w:t xml:space="preserve"> PAP </w:t>
                  </w:r>
                  <w:r>
                    <w:rPr>
                      <w:rFonts w:ascii="仿宋_GB2312" w:hAnsi="仿宋_GB2312" w:cs="仿宋_GB2312" w:eastAsia="仿宋_GB2312"/>
                      <w:sz w:val="20"/>
                    </w:rPr>
                    <w:t>认证、</w:t>
                  </w:r>
                  <w:r>
                    <w:rPr>
                      <w:rFonts w:ascii="仿宋_GB2312" w:hAnsi="仿宋_GB2312" w:cs="仿宋_GB2312" w:eastAsia="仿宋_GB2312"/>
                      <w:sz w:val="20"/>
                    </w:rPr>
                    <w:t xml:space="preserve">CHAP </w:t>
                  </w:r>
                  <w:r>
                    <w:rPr>
                      <w:rFonts w:ascii="仿宋_GB2312" w:hAnsi="仿宋_GB2312" w:cs="仿宋_GB2312" w:eastAsia="仿宋_GB2312"/>
                      <w:sz w:val="20"/>
                    </w:rPr>
                    <w:t>认证，支持</w:t>
                  </w:r>
                  <w:r>
                    <w:rPr>
                      <w:rFonts w:ascii="仿宋_GB2312" w:hAnsi="仿宋_GB2312" w:cs="仿宋_GB2312" w:eastAsia="仿宋_GB2312"/>
                      <w:sz w:val="20"/>
                    </w:rPr>
                    <w:t xml:space="preserve"> MAC </w:t>
                  </w:r>
                  <w:r>
                    <w:rPr>
                      <w:rFonts w:ascii="仿宋_GB2312" w:hAnsi="仿宋_GB2312" w:cs="仿宋_GB2312" w:eastAsia="仿宋_GB2312"/>
                      <w:sz w:val="20"/>
                    </w:rPr>
                    <w:t>认证。</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服务质量</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运营商成立教育城域网运维小组，负责区域网络的日常运维及应急处置。通过</w:t>
                  </w:r>
                  <w:r>
                    <w:rPr>
                      <w:rFonts w:ascii="仿宋_GB2312" w:hAnsi="仿宋_GB2312" w:cs="仿宋_GB2312" w:eastAsia="仿宋_GB2312"/>
                      <w:sz w:val="20"/>
                    </w:rPr>
                    <w:t xml:space="preserve"> QoS</w:t>
                  </w:r>
                  <w:r>
                    <w:rPr>
                      <w:rFonts w:ascii="仿宋_GB2312" w:hAnsi="仿宋_GB2312" w:cs="仿宋_GB2312" w:eastAsia="仿宋_GB2312"/>
                      <w:sz w:val="20"/>
                    </w:rPr>
                    <w:t>对教育教学业务流量提供带宽保证机制，保证网络服务质量，避免网络拥塞并在时延、抖动和减少数据包丢失方面进行控制。市县教育城域网枢纽节点部署</w:t>
                  </w:r>
                  <w:r>
                    <w:rPr>
                      <w:rFonts w:ascii="仿宋_GB2312" w:hAnsi="仿宋_GB2312" w:cs="仿宋_GB2312" w:eastAsia="仿宋_GB2312"/>
                      <w:sz w:val="20"/>
                    </w:rPr>
                    <w:t>QoS</w:t>
                  </w:r>
                  <w:r>
                    <w:rPr>
                      <w:rFonts w:ascii="仿宋_GB2312" w:hAnsi="仿宋_GB2312" w:cs="仿宋_GB2312" w:eastAsia="仿宋_GB2312"/>
                      <w:sz w:val="20"/>
                    </w:rPr>
                    <w:t>监测服务器，实时分析网络流量情况，定期生成</w:t>
                  </w:r>
                  <w:r>
                    <w:rPr>
                      <w:rFonts w:ascii="仿宋_GB2312" w:hAnsi="仿宋_GB2312" w:cs="仿宋_GB2312" w:eastAsia="仿宋_GB2312"/>
                      <w:sz w:val="20"/>
                    </w:rPr>
                    <w:t>QoS</w:t>
                  </w:r>
                  <w:r>
                    <w:rPr>
                      <w:rFonts w:ascii="仿宋_GB2312" w:hAnsi="仿宋_GB2312" w:cs="仿宋_GB2312" w:eastAsia="仿宋_GB2312"/>
                      <w:sz w:val="20"/>
                    </w:rPr>
                    <w:t>监测报告，有效监测每条传输线路，当链路达到</w:t>
                  </w:r>
                  <w:r>
                    <w:rPr>
                      <w:rFonts w:ascii="仿宋_GB2312" w:hAnsi="仿宋_GB2312" w:cs="仿宋_GB2312" w:eastAsia="仿宋_GB2312"/>
                      <w:sz w:val="20"/>
                    </w:rPr>
                    <w:t>70%</w:t>
                  </w:r>
                  <w:r>
                    <w:rPr>
                      <w:rFonts w:ascii="仿宋_GB2312" w:hAnsi="仿宋_GB2312" w:cs="仿宋_GB2312" w:eastAsia="仿宋_GB2312"/>
                      <w:sz w:val="20"/>
                    </w:rPr>
                    <w:t>负载，且持续</w:t>
                  </w:r>
                  <w:r>
                    <w:rPr>
                      <w:rFonts w:ascii="仿宋_GB2312" w:hAnsi="仿宋_GB2312" w:cs="仿宋_GB2312" w:eastAsia="仿宋_GB2312"/>
                      <w:sz w:val="20"/>
                    </w:rPr>
                    <w:t>2</w:t>
                  </w:r>
                  <w:r>
                    <w:rPr>
                      <w:rFonts w:ascii="仿宋_GB2312" w:hAnsi="仿宋_GB2312" w:cs="仿宋_GB2312" w:eastAsia="仿宋_GB2312"/>
                      <w:sz w:val="20"/>
                    </w:rPr>
                    <w:t>小时，应在当前带宽基础上提升</w:t>
                  </w:r>
                  <w:r>
                    <w:rPr>
                      <w:rFonts w:ascii="仿宋_GB2312" w:hAnsi="仿宋_GB2312" w:cs="仿宋_GB2312" w:eastAsia="仿宋_GB2312"/>
                      <w:sz w:val="20"/>
                    </w:rPr>
                    <w:t>30%</w:t>
                  </w:r>
                  <w:r>
                    <w:rPr>
                      <w:rFonts w:ascii="仿宋_GB2312" w:hAnsi="仿宋_GB2312" w:cs="仿宋_GB2312" w:eastAsia="仿宋_GB2312"/>
                      <w:sz w:val="20"/>
                    </w:rPr>
                    <w:t>，保证网络服务质量。</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出口网关</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整机端口：交换容量≥6.4Tbps/64Tbps，转发性能≥2880Mpps/12600Mpps，独立插槽≥8个，配置WAN口数量≥12个光口、≥8个GE电口，用户数：用户数≥300；</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shd w:fill="FFFF00" w:val="clear"/>
                    </w:rPr>
                    <w:t>【</w:t>
                  </w:r>
                  <w:r>
                    <w:rPr>
                      <w:rFonts w:ascii="仿宋_GB2312" w:hAnsi="仿宋_GB2312" w:cs="仿宋_GB2312" w:eastAsia="仿宋_GB2312"/>
                      <w:sz w:val="20"/>
                      <w:b/>
                      <w:color w:val="000000"/>
                      <w:shd w:fill="FFFF00" w:val="clear"/>
                    </w:rPr>
                    <w:t>提供设备界面截图或官网截图</w:t>
                  </w:r>
                  <w:r>
                    <w:rPr>
                      <w:rFonts w:ascii="仿宋_GB2312" w:hAnsi="仿宋_GB2312" w:cs="仿宋_GB2312" w:eastAsia="仿宋_GB2312"/>
                      <w:sz w:val="22"/>
                      <w:b/>
                      <w:color w:val="000000"/>
                      <w:shd w:fill="FFFF00" w:val="clear"/>
                    </w:rPr>
                    <w:t>，截图要完整体现各项指标和功能</w:t>
                  </w:r>
                  <w:r>
                    <w:rPr>
                      <w:rFonts w:ascii="仿宋_GB2312" w:hAnsi="仿宋_GB2312" w:cs="仿宋_GB2312" w:eastAsia="仿宋_GB2312"/>
                      <w:sz w:val="20"/>
                      <w:color w:val="000000"/>
                      <w:shd w:fill="FFFF00" w:val="clear"/>
                    </w:rPr>
                    <w:t>，</w:t>
                  </w:r>
                  <w:r>
                    <w:rPr>
                      <w:rFonts w:ascii="仿宋_GB2312" w:hAnsi="仿宋_GB2312" w:cs="仿宋_GB2312" w:eastAsia="仿宋_GB2312"/>
                      <w:sz w:val="20"/>
                      <w:b/>
                      <w:color w:val="000000"/>
                      <w:shd w:fill="FFFF00" w:val="clear"/>
                    </w:rPr>
                    <w:t>原厂盖章。</w:t>
                  </w:r>
                  <w:r>
                    <w:rPr>
                      <w:rFonts w:ascii="仿宋_GB2312" w:hAnsi="仿宋_GB2312" w:cs="仿宋_GB2312" w:eastAsia="仿宋_GB2312"/>
                      <w:sz w:val="20"/>
                      <w:color w:val="000000"/>
                      <w:shd w:fill="FFFF00" w:val="clear"/>
                    </w:rPr>
                    <w:t>】</w:t>
                  </w:r>
                  <w:r>
                    <w:rPr>
                      <w:rFonts w:ascii="仿宋_GB2312" w:hAnsi="仿宋_GB2312" w:cs="仿宋_GB2312" w:eastAsia="仿宋_GB2312"/>
                      <w:sz w:val="20"/>
                      <w:color w:val="000000"/>
                    </w:rPr>
                    <w:t>认证功能：支持设备本地认证，RADUIS认证，可选认证方式包括：微信，短信、二维码授权认证、二维码自助认证、LADP认证，支持与域认证联动实现单点登陆，支持特定外部网络资源或内部特定用户的免认证功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组网功能：支持</w:t>
                  </w:r>
                  <w:r>
                    <w:rPr>
                      <w:rFonts w:ascii="仿宋_GB2312" w:hAnsi="仿宋_GB2312" w:cs="仿宋_GB2312" w:eastAsia="仿宋_GB2312"/>
                      <w:sz w:val="20"/>
                    </w:rPr>
                    <w:t>IPv4/IPv6</w:t>
                  </w:r>
                  <w:r>
                    <w:rPr>
                      <w:rFonts w:ascii="仿宋_GB2312" w:hAnsi="仿宋_GB2312" w:cs="仿宋_GB2312" w:eastAsia="仿宋_GB2312"/>
                      <w:sz w:val="20"/>
                    </w:rPr>
                    <w:t>路由协议，</w:t>
                  </w:r>
                  <w:r>
                    <w:rPr>
                      <w:rFonts w:ascii="仿宋_GB2312" w:hAnsi="仿宋_GB2312" w:cs="仿宋_GB2312" w:eastAsia="仿宋_GB2312"/>
                      <w:sz w:val="20"/>
                    </w:rPr>
                    <w:t>RIP</w:t>
                  </w:r>
                  <w:r>
                    <w:rPr>
                      <w:rFonts w:ascii="仿宋_GB2312" w:hAnsi="仿宋_GB2312" w:cs="仿宋_GB2312" w:eastAsia="仿宋_GB2312"/>
                      <w:sz w:val="20"/>
                    </w:rPr>
                    <w:t>、</w:t>
                  </w:r>
                  <w:r>
                    <w:rPr>
                      <w:rFonts w:ascii="仿宋_GB2312" w:hAnsi="仿宋_GB2312" w:cs="仿宋_GB2312" w:eastAsia="仿宋_GB2312"/>
                      <w:sz w:val="20"/>
                    </w:rPr>
                    <w:t>OSPF</w:t>
                  </w:r>
                  <w:r>
                    <w:rPr>
                      <w:rFonts w:ascii="仿宋_GB2312" w:hAnsi="仿宋_GB2312" w:cs="仿宋_GB2312" w:eastAsia="仿宋_GB2312"/>
                      <w:sz w:val="20"/>
                    </w:rPr>
                    <w:t>、静态路由协议</w:t>
                  </w:r>
                  <w:r>
                    <w:rPr>
                      <w:rFonts w:ascii="仿宋_GB2312" w:hAnsi="仿宋_GB2312" w:cs="仿宋_GB2312" w:eastAsia="仿宋_GB2312"/>
                      <w:sz w:val="20"/>
                    </w:rPr>
                    <w:t>，</w:t>
                  </w:r>
                  <w:r>
                    <w:rPr>
                      <w:rFonts w:ascii="仿宋_GB2312" w:hAnsi="仿宋_GB2312" w:cs="仿宋_GB2312" w:eastAsia="仿宋_GB2312"/>
                      <w:sz w:val="20"/>
                    </w:rPr>
                    <w:t>业务管理功能：支持</w:t>
                  </w:r>
                  <w:r>
                    <w:rPr>
                      <w:rFonts w:ascii="仿宋_GB2312" w:hAnsi="仿宋_GB2312" w:cs="仿宋_GB2312" w:eastAsia="仿宋_GB2312"/>
                      <w:sz w:val="20"/>
                    </w:rPr>
                    <w:t>NAT</w:t>
                  </w:r>
                  <w:r>
                    <w:rPr>
                      <w:rFonts w:ascii="仿宋_GB2312" w:hAnsi="仿宋_GB2312" w:cs="仿宋_GB2312" w:eastAsia="仿宋_GB2312"/>
                      <w:sz w:val="20"/>
                    </w:rPr>
                    <w:t>、</w:t>
                  </w:r>
                  <w:r>
                    <w:rPr>
                      <w:rFonts w:ascii="仿宋_GB2312" w:hAnsi="仿宋_GB2312" w:cs="仿宋_GB2312" w:eastAsia="仿宋_GB2312"/>
                      <w:sz w:val="20"/>
                    </w:rPr>
                    <w:t>VPN</w:t>
                  </w:r>
                  <w:r>
                    <w:rPr>
                      <w:rFonts w:ascii="仿宋_GB2312" w:hAnsi="仿宋_GB2312" w:cs="仿宋_GB2312" w:eastAsia="仿宋_GB2312"/>
                      <w:sz w:val="20"/>
                    </w:rPr>
                    <w:t>、</w:t>
                  </w:r>
                  <w:r>
                    <w:rPr>
                      <w:rFonts w:ascii="仿宋_GB2312" w:hAnsi="仿宋_GB2312" w:cs="仿宋_GB2312" w:eastAsia="仿宋_GB2312"/>
                      <w:sz w:val="20"/>
                    </w:rPr>
                    <w:t>URL</w:t>
                  </w:r>
                  <w:r>
                    <w:rPr>
                      <w:rFonts w:ascii="仿宋_GB2312" w:hAnsi="仿宋_GB2312" w:cs="仿宋_GB2312" w:eastAsia="仿宋_GB2312"/>
                      <w:sz w:val="20"/>
                    </w:rPr>
                    <w:t>过滤、应用识别等多种安全特性；</w:t>
                  </w:r>
                  <w:r>
                    <w:br/>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shd w:fill="FFFF00" w:val="clear"/>
                    </w:rPr>
                    <w:t>.</w:t>
                  </w:r>
                  <w:r>
                    <w:rPr>
                      <w:rFonts w:ascii="仿宋_GB2312" w:hAnsi="仿宋_GB2312" w:cs="仿宋_GB2312" w:eastAsia="仿宋_GB2312"/>
                      <w:sz w:val="20"/>
                      <w:shd w:fill="FFFF00" w:val="clear"/>
                    </w:rPr>
                    <w:t>【</w:t>
                  </w:r>
                  <w:r>
                    <w:rPr>
                      <w:rFonts w:ascii="仿宋_GB2312" w:hAnsi="仿宋_GB2312" w:cs="仿宋_GB2312" w:eastAsia="仿宋_GB2312"/>
                      <w:sz w:val="20"/>
                      <w:b/>
                      <w:shd w:fill="FFFF00" w:val="clear"/>
                    </w:rPr>
                    <w:t>提供设备界面截图或官网截图</w:t>
                  </w:r>
                  <w:r>
                    <w:rPr>
                      <w:rFonts w:ascii="仿宋_GB2312" w:hAnsi="仿宋_GB2312" w:cs="仿宋_GB2312" w:eastAsia="仿宋_GB2312"/>
                      <w:sz w:val="20"/>
                      <w:b/>
                      <w:shd w:fill="FFFF00" w:val="clear"/>
                    </w:rPr>
                    <w:t>，截图要完整体现各项指标和功能</w:t>
                  </w:r>
                  <w:r>
                    <w:rPr>
                      <w:rFonts w:ascii="仿宋_GB2312" w:hAnsi="仿宋_GB2312" w:cs="仿宋_GB2312" w:eastAsia="仿宋_GB2312"/>
                      <w:sz w:val="20"/>
                      <w:shd w:fill="FFFF00" w:val="clear"/>
                    </w:rPr>
                    <w:t>，</w:t>
                  </w:r>
                  <w:r>
                    <w:rPr>
                      <w:rFonts w:ascii="仿宋_GB2312" w:hAnsi="仿宋_GB2312" w:cs="仿宋_GB2312" w:eastAsia="仿宋_GB2312"/>
                      <w:sz w:val="20"/>
                      <w:b/>
                      <w:shd w:fill="FFFF00" w:val="clear"/>
                    </w:rPr>
                    <w:t>原厂盖章。</w:t>
                  </w:r>
                  <w:r>
                    <w:rPr>
                      <w:rFonts w:ascii="仿宋_GB2312" w:hAnsi="仿宋_GB2312" w:cs="仿宋_GB2312" w:eastAsia="仿宋_GB2312"/>
                      <w:sz w:val="20"/>
                      <w:shd w:fill="FFFF00" w:val="clear"/>
                    </w:rPr>
                    <w:t>】</w:t>
                  </w:r>
                  <w:r>
                    <w:rPr>
                      <w:rFonts w:ascii="仿宋_GB2312" w:hAnsi="仿宋_GB2312" w:cs="仿宋_GB2312" w:eastAsia="仿宋_GB2312"/>
                      <w:sz w:val="20"/>
                    </w:rPr>
                    <w:t>为提高设备内部空间利用率，要求采用高密度端口设计，支持可拔插双模块化电源，实现</w:t>
                  </w:r>
                  <w:r>
                    <w:rPr>
                      <w:rFonts w:ascii="仿宋_GB2312" w:hAnsi="仿宋_GB2312" w:cs="仿宋_GB2312" w:eastAsia="仿宋_GB2312"/>
                      <w:sz w:val="20"/>
                    </w:rPr>
                    <w:t>1+1</w:t>
                  </w:r>
                  <w:r>
                    <w:rPr>
                      <w:rFonts w:ascii="仿宋_GB2312" w:hAnsi="仿宋_GB2312" w:cs="仿宋_GB2312" w:eastAsia="仿宋_GB2312"/>
                      <w:sz w:val="20"/>
                    </w:rPr>
                    <w:t>冗余，支持热插拔，整机设备高度≤</w:t>
                  </w:r>
                  <w:r>
                    <w:rPr>
                      <w:rFonts w:ascii="仿宋_GB2312" w:hAnsi="仿宋_GB2312" w:cs="仿宋_GB2312" w:eastAsia="仿宋_GB2312"/>
                      <w:sz w:val="20"/>
                    </w:rPr>
                    <w:t>2U</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支持无线管理功能，可控制</w:t>
                  </w:r>
                  <w:r>
                    <w:rPr>
                      <w:rFonts w:ascii="仿宋_GB2312" w:hAnsi="仿宋_GB2312" w:cs="仿宋_GB2312" w:eastAsia="仿宋_GB2312"/>
                      <w:sz w:val="20"/>
                    </w:rPr>
                    <w:t>AP</w:t>
                  </w:r>
                  <w:r>
                    <w:rPr>
                      <w:rFonts w:ascii="仿宋_GB2312" w:hAnsi="仿宋_GB2312" w:cs="仿宋_GB2312" w:eastAsia="仿宋_GB2312"/>
                      <w:sz w:val="20"/>
                    </w:rPr>
                    <w:t>对无线网络进行按需射频扫描，可扫描无线频段与信道，识别非法</w:t>
                  </w:r>
                  <w:r>
                    <w:rPr>
                      <w:rFonts w:ascii="仿宋_GB2312" w:hAnsi="仿宋_GB2312" w:cs="仿宋_GB2312" w:eastAsia="仿宋_GB2312"/>
                      <w:sz w:val="20"/>
                    </w:rPr>
                    <w:t>AP</w:t>
                  </w:r>
                  <w:r>
                    <w:rPr>
                      <w:rFonts w:ascii="仿宋_GB2312" w:hAnsi="仿宋_GB2312" w:cs="仿宋_GB2312" w:eastAsia="仿宋_GB2312"/>
                      <w:sz w:val="20"/>
                    </w:rPr>
                    <w:t>和非法无线网络，并向管理员发出警报</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支持快速以太网链路检测协议，可快速检测链路的通断和光纤链路的单向性，并支持端口下的环路检测功能，防止端口下因私接</w:t>
                  </w:r>
                  <w:r>
                    <w:rPr>
                      <w:rFonts w:ascii="仿宋_GB2312" w:hAnsi="仿宋_GB2312" w:cs="仿宋_GB2312" w:eastAsia="仿宋_GB2312"/>
                      <w:sz w:val="20"/>
                    </w:rPr>
                    <w:t>Hub</w:t>
                  </w:r>
                  <w:r>
                    <w:rPr>
                      <w:rFonts w:ascii="仿宋_GB2312" w:hAnsi="仿宋_GB2312" w:cs="仿宋_GB2312" w:eastAsia="仿宋_GB2312"/>
                      <w:sz w:val="20"/>
                    </w:rPr>
                    <w:t>等设备形成的环路而导致网络故障的现象；</w:t>
                  </w:r>
                  <w:r>
                    <w:br/>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shd w:fill="FFFF00" w:val="clear"/>
                    </w:rPr>
                    <w:t>【</w:t>
                  </w:r>
                  <w:r>
                    <w:rPr>
                      <w:rFonts w:ascii="仿宋_GB2312" w:hAnsi="仿宋_GB2312" w:cs="仿宋_GB2312" w:eastAsia="仿宋_GB2312"/>
                      <w:sz w:val="20"/>
                      <w:b/>
                      <w:shd w:fill="FFFF00" w:val="clear"/>
                    </w:rPr>
                    <w:t>提供设备界面截图或官网截图</w:t>
                  </w:r>
                  <w:r>
                    <w:rPr>
                      <w:rFonts w:ascii="仿宋_GB2312" w:hAnsi="仿宋_GB2312" w:cs="仿宋_GB2312" w:eastAsia="仿宋_GB2312"/>
                      <w:sz w:val="20"/>
                      <w:b/>
                      <w:shd w:fill="FFFF00" w:val="clear"/>
                    </w:rPr>
                    <w:t>，截图要完整体现各项指标和功能</w:t>
                  </w:r>
                  <w:r>
                    <w:rPr>
                      <w:rFonts w:ascii="仿宋_GB2312" w:hAnsi="仿宋_GB2312" w:cs="仿宋_GB2312" w:eastAsia="仿宋_GB2312"/>
                      <w:sz w:val="20"/>
                      <w:shd w:fill="FFFF00" w:val="clear"/>
                    </w:rPr>
                    <w:t>，</w:t>
                  </w:r>
                  <w:r>
                    <w:rPr>
                      <w:rFonts w:ascii="仿宋_GB2312" w:hAnsi="仿宋_GB2312" w:cs="仿宋_GB2312" w:eastAsia="仿宋_GB2312"/>
                      <w:sz w:val="20"/>
                      <w:b/>
                      <w:shd w:fill="FFFF00" w:val="clear"/>
                    </w:rPr>
                    <w:t>原厂盖章。</w:t>
                  </w:r>
                  <w:r>
                    <w:rPr>
                      <w:rFonts w:ascii="仿宋_GB2312" w:hAnsi="仿宋_GB2312" w:cs="仿宋_GB2312" w:eastAsia="仿宋_GB2312"/>
                      <w:sz w:val="20"/>
                      <w:shd w:fill="FFFF00" w:val="clear"/>
                    </w:rPr>
                    <w:t>】</w:t>
                  </w:r>
                  <w:r>
                    <w:rPr>
                      <w:rFonts w:ascii="仿宋_GB2312" w:hAnsi="仿宋_GB2312" w:cs="仿宋_GB2312" w:eastAsia="仿宋_GB2312"/>
                      <w:sz w:val="20"/>
                    </w:rPr>
                    <w:t>支持防攻击功能，</w:t>
                  </w:r>
                  <w:r>
                    <w:rPr>
                      <w:rFonts w:ascii="仿宋_GB2312" w:hAnsi="仿宋_GB2312" w:cs="仿宋_GB2312" w:eastAsia="仿宋_GB2312"/>
                      <w:sz w:val="20"/>
                    </w:rPr>
                    <w:t xml:space="preserve">ARP </w:t>
                  </w:r>
                  <w:r>
                    <w:rPr>
                      <w:rFonts w:ascii="仿宋_GB2312" w:hAnsi="仿宋_GB2312" w:cs="仿宋_GB2312" w:eastAsia="仿宋_GB2312"/>
                      <w:sz w:val="20"/>
                    </w:rPr>
                    <w:t>防攻击，防内网攻击</w:t>
                  </w:r>
                  <w:r>
                    <w:rPr>
                      <w:rFonts w:ascii="仿宋_GB2312" w:hAnsi="仿宋_GB2312" w:cs="仿宋_GB2312" w:eastAsia="仿宋_GB2312"/>
                      <w:sz w:val="20"/>
                    </w:rPr>
                    <w:t>/</w:t>
                  </w:r>
                  <w:r>
                    <w:rPr>
                      <w:rFonts w:ascii="仿宋_GB2312" w:hAnsi="仿宋_GB2312" w:cs="仿宋_GB2312" w:eastAsia="仿宋_GB2312"/>
                      <w:sz w:val="20"/>
                    </w:rPr>
                    <w:t>外网攻击，支持安全地址绑定防端口扫描攻击，防止分片报文攻击，防止</w:t>
                  </w:r>
                  <w:r>
                    <w:rPr>
                      <w:rFonts w:ascii="仿宋_GB2312" w:hAnsi="仿宋_GB2312" w:cs="仿宋_GB2312" w:eastAsia="仿宋_GB2312"/>
                      <w:sz w:val="20"/>
                    </w:rPr>
                    <w:t xml:space="preserve">ICMP food </w:t>
                  </w:r>
                  <w:r>
                    <w:rPr>
                      <w:rFonts w:ascii="仿宋_GB2312" w:hAnsi="仿宋_GB2312" w:cs="仿宋_GB2312" w:eastAsia="仿宋_GB2312"/>
                      <w:sz w:val="20"/>
                    </w:rPr>
                    <w:t>攻击防止，</w:t>
                  </w:r>
                  <w:r>
                    <w:rPr>
                      <w:rFonts w:ascii="仿宋_GB2312" w:hAnsi="仿宋_GB2312" w:cs="仿宋_GB2312" w:eastAsia="仿宋_GB2312"/>
                      <w:sz w:val="20"/>
                    </w:rPr>
                    <w:t xml:space="preserve">Teardrop </w:t>
                  </w:r>
                  <w:r>
                    <w:rPr>
                      <w:rFonts w:ascii="仿宋_GB2312" w:hAnsi="仿宋_GB2312" w:cs="仿宋_GB2312" w:eastAsia="仿宋_GB2312"/>
                      <w:sz w:val="20"/>
                    </w:rPr>
                    <w:t>攻击防止，</w:t>
                  </w:r>
                  <w:r>
                    <w:rPr>
                      <w:rFonts w:ascii="仿宋_GB2312" w:hAnsi="仿宋_GB2312" w:cs="仿宋_GB2312" w:eastAsia="仿宋_GB2312"/>
                      <w:sz w:val="20"/>
                    </w:rPr>
                    <w:t xml:space="preserve">ICMP </w:t>
                  </w:r>
                  <w:r>
                    <w:rPr>
                      <w:rFonts w:ascii="仿宋_GB2312" w:hAnsi="仿宋_GB2312" w:cs="仿宋_GB2312" w:eastAsia="仿宋_GB2312"/>
                      <w:sz w:val="20"/>
                    </w:rPr>
                    <w:t>重定向攻击防止，</w:t>
                  </w:r>
                  <w:r>
                    <w:rPr>
                      <w:rFonts w:ascii="仿宋_GB2312" w:hAnsi="仿宋_GB2312" w:cs="仿宋_GB2312" w:eastAsia="仿宋_GB2312"/>
                      <w:sz w:val="20"/>
                    </w:rPr>
                    <w:t xml:space="preserve">ICMP </w:t>
                  </w:r>
                  <w:r>
                    <w:rPr>
                      <w:rFonts w:ascii="仿宋_GB2312" w:hAnsi="仿宋_GB2312" w:cs="仿宋_GB2312" w:eastAsia="仿宋_GB2312"/>
                      <w:sz w:val="20"/>
                    </w:rPr>
                    <w:t>不可达攻击；</w:t>
                  </w:r>
                  <w:r>
                    <w:br/>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 xml:space="preserve">URL </w:t>
                  </w:r>
                  <w:r>
                    <w:rPr>
                      <w:rFonts w:ascii="仿宋_GB2312" w:hAnsi="仿宋_GB2312" w:cs="仿宋_GB2312" w:eastAsia="仿宋_GB2312"/>
                      <w:sz w:val="20"/>
                    </w:rPr>
                    <w:t>过滤，支持自定义</w:t>
                  </w:r>
                  <w:r>
                    <w:rPr>
                      <w:rFonts w:ascii="仿宋_GB2312" w:hAnsi="仿宋_GB2312" w:cs="仿宋_GB2312" w:eastAsia="仿宋_GB2312"/>
                      <w:sz w:val="20"/>
                    </w:rPr>
                    <w:t xml:space="preserve"> URL </w:t>
                  </w:r>
                  <w:r>
                    <w:rPr>
                      <w:rFonts w:ascii="仿宋_GB2312" w:hAnsi="仿宋_GB2312" w:cs="仿宋_GB2312" w:eastAsia="仿宋_GB2312"/>
                      <w:sz w:val="20"/>
                    </w:rPr>
                    <w:t>和</w:t>
                  </w:r>
                  <w:r>
                    <w:rPr>
                      <w:rFonts w:ascii="仿宋_GB2312" w:hAnsi="仿宋_GB2312" w:cs="仿宋_GB2312" w:eastAsia="仿宋_GB2312"/>
                      <w:sz w:val="20"/>
                    </w:rPr>
                    <w:t xml:space="preserve"> URL </w:t>
                  </w:r>
                  <w:r>
                    <w:rPr>
                      <w:rFonts w:ascii="仿宋_GB2312" w:hAnsi="仿宋_GB2312" w:cs="仿宋_GB2312" w:eastAsia="仿宋_GB2312"/>
                      <w:sz w:val="20"/>
                    </w:rPr>
                    <w:t>日志，支持本地化日志存储和外置日志服务器存储</w:t>
                  </w:r>
                  <w:r>
                    <w:rPr>
                      <w:rFonts w:ascii="仿宋_GB2312" w:hAnsi="仿宋_GB2312" w:cs="仿宋_GB2312" w:eastAsia="仿宋_GB2312"/>
                      <w:sz w:val="20"/>
                    </w:rPr>
                    <w:t>(NAT</w:t>
                  </w:r>
                  <w:r>
                    <w:rPr>
                      <w:rFonts w:ascii="仿宋_GB2312" w:hAnsi="仿宋_GB2312" w:cs="仿宋_GB2312" w:eastAsia="仿宋_GB2312"/>
                      <w:sz w:val="20"/>
                    </w:rPr>
                    <w:t>日志、流日志、</w:t>
                  </w:r>
                  <w:r>
                    <w:rPr>
                      <w:rFonts w:ascii="仿宋_GB2312" w:hAnsi="仿宋_GB2312" w:cs="仿宋_GB2312" w:eastAsia="仿宋_GB2312"/>
                      <w:sz w:val="20"/>
                    </w:rPr>
                    <w:t>URL</w:t>
                  </w:r>
                  <w:r>
                    <w:rPr>
                      <w:rFonts w:ascii="仿宋_GB2312" w:hAnsi="仿宋_GB2312" w:cs="仿宋_GB2312" w:eastAsia="仿宋_GB2312"/>
                      <w:sz w:val="20"/>
                    </w:rPr>
                    <w:t>日志等</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shd w:fill="FFFF00" w:val="clear"/>
                    </w:rPr>
                    <w:t>【</w:t>
                  </w:r>
                  <w:r>
                    <w:rPr>
                      <w:rFonts w:ascii="仿宋_GB2312" w:hAnsi="仿宋_GB2312" w:cs="仿宋_GB2312" w:eastAsia="仿宋_GB2312"/>
                      <w:sz w:val="20"/>
                      <w:b/>
                      <w:shd w:fill="FFFF00" w:val="clear"/>
                    </w:rPr>
                    <w:t>提供设备界面截图或官网截图</w:t>
                  </w:r>
                  <w:r>
                    <w:rPr>
                      <w:rFonts w:ascii="仿宋_GB2312" w:hAnsi="仿宋_GB2312" w:cs="仿宋_GB2312" w:eastAsia="仿宋_GB2312"/>
                      <w:sz w:val="20"/>
                      <w:b/>
                      <w:shd w:fill="FFFF00" w:val="clear"/>
                    </w:rPr>
                    <w:t>，截图要完整体现各项指标和功能</w:t>
                  </w:r>
                  <w:r>
                    <w:rPr>
                      <w:rFonts w:ascii="仿宋_GB2312" w:hAnsi="仿宋_GB2312" w:cs="仿宋_GB2312" w:eastAsia="仿宋_GB2312"/>
                      <w:sz w:val="20"/>
                      <w:shd w:fill="FFFF00" w:val="clear"/>
                    </w:rPr>
                    <w:t>，</w:t>
                  </w:r>
                  <w:r>
                    <w:rPr>
                      <w:rFonts w:ascii="仿宋_GB2312" w:hAnsi="仿宋_GB2312" w:cs="仿宋_GB2312" w:eastAsia="仿宋_GB2312"/>
                      <w:sz w:val="20"/>
                      <w:b/>
                      <w:shd w:fill="FFFF00" w:val="clear"/>
                    </w:rPr>
                    <w:t>原厂盖章。</w:t>
                  </w:r>
                  <w:r>
                    <w:rPr>
                      <w:rFonts w:ascii="仿宋_GB2312" w:hAnsi="仿宋_GB2312" w:cs="仿宋_GB2312" w:eastAsia="仿宋_GB2312"/>
                      <w:sz w:val="20"/>
                      <w:shd w:fill="FFFF00" w:val="clear"/>
                    </w:rPr>
                    <w:t>】</w:t>
                  </w:r>
                  <w:r>
                    <w:rPr>
                      <w:rFonts w:ascii="仿宋_GB2312" w:hAnsi="仿宋_GB2312" w:cs="仿宋_GB2312" w:eastAsia="仿宋_GB2312"/>
                      <w:sz w:val="20"/>
                    </w:rPr>
                    <w:t>支持支持自组网功能，自动对远端模块自发现、自组网、自配置，并快速完成整网设备的开通上线与配置、远程管理与运维</w:t>
                  </w:r>
                  <w:r>
                    <w:rPr>
                      <w:rFonts w:ascii="仿宋_GB2312" w:hAnsi="仿宋_GB2312" w:cs="仿宋_GB2312" w:eastAsia="仿宋_GB2312"/>
                      <w:sz w:val="20"/>
                    </w:rPr>
                    <w:t>；支持对配置批量复用下发、复制配置、备份配置、配置变更、配置查看、删除配置等模板配置功能；支持远端模块基本信息监控功能，支持状态监控，可以查看端口状态图/CPU、内存使用率/连通状态/设备状态、端口列表等；支持智能运维、移动运维、一键全网巡检操作，随时随地掌握网络健康状况。</w:t>
                  </w:r>
                </w:p>
              </w:tc>
            </w:tr>
          </w:tbl>
          <w:p>
            <w:pPr>
              <w:pStyle w:val="null3"/>
              <w:jc w:val="left"/>
            </w:pP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四、采购清单</w:t>
            </w:r>
          </w:p>
          <w:tbl>
            <w:tblPr>
              <w:tblBorders>
                <w:top w:val="single"/>
                <w:left w:val="single"/>
                <w:bottom w:val="single"/>
                <w:right w:val="single"/>
                <w:insideH w:val="single"/>
                <w:insideV w:val="single"/>
              </w:tblBorders>
            </w:tblPr>
            <w:tblGrid>
              <w:gridCol w:w="288"/>
              <w:gridCol w:w="450"/>
              <w:gridCol w:w="907"/>
              <w:gridCol w:w="342"/>
              <w:gridCol w:w="282"/>
              <w:gridCol w:w="282"/>
            </w:tblGrid>
            <w:tr>
              <w:tc>
                <w:tcPr>
                  <w:tcW w:type="dxa" w:w="288"/>
                  <w:tcBorders>
                    <w:top w:val="singl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序号</w:t>
                  </w:r>
                </w:p>
              </w:tc>
              <w:tc>
                <w:tcPr>
                  <w:tcW w:type="dxa" w:w="450"/>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名称</w:t>
                  </w:r>
                </w:p>
              </w:tc>
              <w:tc>
                <w:tcPr>
                  <w:tcW w:type="dxa" w:w="907"/>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服务内容</w:t>
                  </w:r>
                </w:p>
              </w:tc>
              <w:tc>
                <w:tcPr>
                  <w:tcW w:type="dxa" w:w="342"/>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服务期限(年)</w:t>
                  </w:r>
                </w:p>
              </w:tc>
              <w:tc>
                <w:tcPr>
                  <w:tcW w:type="dxa" w:w="282"/>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数量</w:t>
                  </w:r>
                </w:p>
              </w:tc>
              <w:tc>
                <w:tcPr>
                  <w:tcW w:type="dxa" w:w="282"/>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单位</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一</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光纤进班</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班班通光纤100M</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包含上下行带宽不低于100Mbps。含光纤接入、设备安装、安全服务、教室Wifi覆盖服务、运维服务等。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FF0000"/>
                    </w:rPr>
                    <w:t>1258</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班班通光纤300M</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包含上下行带宽不低于300Mbps。含光纤接入、设备安装、安全服务、办公室等Wifi覆盖服务、运维服务等。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FF0000"/>
                    </w:rPr>
                    <w:t>475</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班班通光纤500M</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包含上下行带宽不低于500Mbps。含光纤接入、设备安装、安全服务、计算机教室Wifi覆盖服务、运维服务等。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FF0000"/>
                    </w:rPr>
                    <w:t>94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一</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光纤到校</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互联网专线1000M</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包含上下行带宽不低于1000Mbps。含光纤接入、设备安装、运维服务等。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FF0000"/>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出口网关</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用学校内网与教育专网ip地址互通</w:t>
                  </w:r>
                  <w:r>
                    <w:rPr>
                      <w:rFonts w:ascii="仿宋_GB2312" w:hAnsi="仿宋_GB2312" w:cs="仿宋_GB2312" w:eastAsia="仿宋_GB2312"/>
                      <w:sz w:val="20"/>
                      <w:color w:val="000000"/>
                    </w:rPr>
                    <w:t>。含设备安装、安全服务、运维服务等。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FF0000"/>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限：自项目交付完成，并达到验收标准之日起，服务周期1年。（在招标人落实下一年度预算费用的前提下，且本项目服务内容及服务要求不变、价格不变，双方协商同意，可依据本次招标结果所签订的合同顺延一年，合同一年一签，最多可续签两年）</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1"/>
              </w:rPr>
              <w:t>服务地点：采购人指定地点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0"/>
              </w:rPr>
              <w:t>付款条件：</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、预付款：合同签订后，甲方在收到乙方开具的正式有效发票之日起</w:t>
            </w:r>
            <w:r>
              <w:rPr>
                <w:rFonts w:ascii="仿宋_GB2312" w:hAnsi="仿宋_GB2312" w:cs="仿宋_GB2312" w:eastAsia="仿宋_GB2312"/>
                <w:sz w:val="20"/>
                <w:color w:val="000000"/>
              </w:rPr>
              <w:t xml:space="preserve"> 5</w:t>
            </w:r>
            <w:r>
              <w:rPr>
                <w:rFonts w:ascii="仿宋_GB2312" w:hAnsi="仿宋_GB2312" w:cs="仿宋_GB2312" w:eastAsia="仿宋_GB2312"/>
                <w:sz w:val="20"/>
                <w:color w:val="000000"/>
              </w:rPr>
              <w:t>个工作日内向乙方支付合同总价的</w:t>
            </w:r>
            <w:r>
              <w:rPr>
                <w:rFonts w:ascii="仿宋_GB2312" w:hAnsi="仿宋_GB2312" w:cs="仿宋_GB2312" w:eastAsia="仿宋_GB2312"/>
                <w:sz w:val="20"/>
                <w:color w:val="000000"/>
              </w:rPr>
              <w:t xml:space="preserve"> 30%,</w:t>
            </w:r>
            <w:r>
              <w:rPr>
                <w:rFonts w:ascii="仿宋_GB2312" w:hAnsi="仿宋_GB2312" w:cs="仿宋_GB2312" w:eastAsia="仿宋_GB2312"/>
                <w:sz w:val="20"/>
                <w:color w:val="000000"/>
              </w:rPr>
              <w:t>即人民币（大写）：万</w:t>
            </w:r>
            <w:r>
              <w:rPr>
                <w:rFonts w:ascii="仿宋_GB2312" w:hAnsi="仿宋_GB2312" w:cs="仿宋_GB2312" w:eastAsia="仿宋_GB2312"/>
                <w:sz w:val="20"/>
              </w:rPr>
              <w:t xml:space="preserve">  </w:t>
            </w:r>
            <w:r>
              <w:rPr>
                <w:rFonts w:ascii="仿宋_GB2312" w:hAnsi="仿宋_GB2312" w:cs="仿宋_GB2312" w:eastAsia="仿宋_GB2312"/>
                <w:sz w:val="20"/>
                <w:color w:val="000000"/>
              </w:rPr>
              <w:t>仟</w:t>
            </w:r>
            <w:r>
              <w:rPr>
                <w:rFonts w:ascii="仿宋_GB2312" w:hAnsi="仿宋_GB2312" w:cs="仿宋_GB2312" w:eastAsia="仿宋_GB2312"/>
                <w:sz w:val="20"/>
                <w:color w:val="000000"/>
              </w:rPr>
              <w:t>佰</w:t>
            </w:r>
            <w:r>
              <w:rPr>
                <w:rFonts w:ascii="仿宋_GB2312" w:hAnsi="仿宋_GB2312" w:cs="仿宋_GB2312" w:eastAsia="仿宋_GB2312"/>
                <w:sz w:val="20"/>
              </w:rPr>
              <w:t xml:space="preserve">  </w:t>
            </w:r>
            <w:r>
              <w:rPr>
                <w:rFonts w:ascii="仿宋_GB2312" w:hAnsi="仿宋_GB2312" w:cs="仿宋_GB2312" w:eastAsia="仿宋_GB2312"/>
                <w:sz w:val="20"/>
                <w:color w:val="000000"/>
              </w:rPr>
              <w:t>拾元整（￥</w:t>
            </w:r>
            <w:r>
              <w:rPr>
                <w:rFonts w:ascii="仿宋_GB2312" w:hAnsi="仿宋_GB2312" w:cs="仿宋_GB2312" w:eastAsia="仿宋_GB2312"/>
                <w:sz w:val="20"/>
              </w:rPr>
              <w:t xml:space="preserve">  </w:t>
            </w:r>
            <w:r>
              <w:rPr>
                <w:rFonts w:ascii="仿宋_GB2312" w:hAnsi="仿宋_GB2312" w:cs="仿宋_GB2312" w:eastAsia="仿宋_GB2312"/>
                <w:sz w:val="20"/>
                <w:color w:val="000000"/>
              </w:rPr>
              <w:t>元）。</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、进度款：乙方安装至各学校达到采购中标清单总量的</w:t>
            </w:r>
            <w:r>
              <w:rPr>
                <w:rFonts w:ascii="仿宋_GB2312" w:hAnsi="仿宋_GB2312" w:cs="仿宋_GB2312" w:eastAsia="仿宋_GB2312"/>
                <w:sz w:val="20"/>
                <w:color w:val="000000"/>
              </w:rPr>
              <w:t>100%</w:t>
            </w:r>
            <w:r>
              <w:rPr>
                <w:rFonts w:ascii="仿宋_GB2312" w:hAnsi="仿宋_GB2312" w:cs="仿宋_GB2312" w:eastAsia="仿宋_GB2312"/>
                <w:sz w:val="20"/>
                <w:color w:val="000000"/>
              </w:rPr>
              <w:t>后，甲方在收到乙方开具的正式有效发票之日起</w:t>
            </w:r>
            <w:r>
              <w:rPr>
                <w:rFonts w:ascii="仿宋_GB2312" w:hAnsi="仿宋_GB2312" w:cs="仿宋_GB2312" w:eastAsia="仿宋_GB2312"/>
                <w:sz w:val="20"/>
                <w:color w:val="000000"/>
              </w:rPr>
              <w:t xml:space="preserve"> 5</w:t>
            </w:r>
            <w:r>
              <w:rPr>
                <w:rFonts w:ascii="仿宋_GB2312" w:hAnsi="仿宋_GB2312" w:cs="仿宋_GB2312" w:eastAsia="仿宋_GB2312"/>
                <w:sz w:val="20"/>
                <w:color w:val="000000"/>
              </w:rPr>
              <w:t>个工作日内向乙方支付合同总价的</w:t>
            </w:r>
            <w:r>
              <w:rPr>
                <w:rFonts w:ascii="仿宋_GB2312" w:hAnsi="仿宋_GB2312" w:cs="仿宋_GB2312" w:eastAsia="仿宋_GB2312"/>
                <w:sz w:val="20"/>
                <w:color w:val="000000"/>
              </w:rPr>
              <w:t>50%</w:t>
            </w:r>
            <w:r>
              <w:rPr>
                <w:rFonts w:ascii="仿宋_GB2312" w:hAnsi="仿宋_GB2312" w:cs="仿宋_GB2312" w:eastAsia="仿宋_GB2312"/>
                <w:sz w:val="20"/>
                <w:color w:val="000000"/>
              </w:rPr>
              <w:t>进度货款</w:t>
            </w:r>
            <w:r>
              <w:rPr>
                <w:rFonts w:ascii="仿宋_GB2312" w:hAnsi="仿宋_GB2312" w:cs="仿宋_GB2312" w:eastAsia="仿宋_GB2312"/>
                <w:sz w:val="20"/>
                <w:color w:val="000000"/>
              </w:rPr>
              <w:t>,</w:t>
            </w:r>
            <w:r>
              <w:rPr>
                <w:rFonts w:ascii="仿宋_GB2312" w:hAnsi="仿宋_GB2312" w:cs="仿宋_GB2312" w:eastAsia="仿宋_GB2312"/>
                <w:sz w:val="20"/>
                <w:color w:val="000000"/>
              </w:rPr>
              <w:t>即人民币（大写）：</w:t>
            </w:r>
            <w:r>
              <w:rPr>
                <w:rFonts w:ascii="仿宋_GB2312" w:hAnsi="仿宋_GB2312" w:cs="仿宋_GB2312" w:eastAsia="仿宋_GB2312"/>
                <w:sz w:val="20"/>
              </w:rPr>
              <w:t xml:space="preserve">   </w:t>
            </w:r>
            <w:r>
              <w:rPr>
                <w:rFonts w:ascii="仿宋_GB2312" w:hAnsi="仿宋_GB2312" w:cs="仿宋_GB2312" w:eastAsia="仿宋_GB2312"/>
                <w:sz w:val="20"/>
                <w:color w:val="000000"/>
              </w:rPr>
              <w:t>万</w:t>
            </w:r>
            <w:r>
              <w:rPr>
                <w:rFonts w:ascii="仿宋_GB2312" w:hAnsi="仿宋_GB2312" w:cs="仿宋_GB2312" w:eastAsia="仿宋_GB2312"/>
                <w:sz w:val="20"/>
              </w:rPr>
              <w:t xml:space="preserve">  </w:t>
            </w:r>
            <w:r>
              <w:rPr>
                <w:rFonts w:ascii="仿宋_GB2312" w:hAnsi="仿宋_GB2312" w:cs="仿宋_GB2312" w:eastAsia="仿宋_GB2312"/>
                <w:sz w:val="20"/>
                <w:color w:val="000000"/>
              </w:rPr>
              <w:t>仟</w:t>
            </w:r>
            <w:r>
              <w:rPr>
                <w:rFonts w:ascii="仿宋_GB2312" w:hAnsi="仿宋_GB2312" w:cs="仿宋_GB2312" w:eastAsia="仿宋_GB2312"/>
                <w:sz w:val="20"/>
                <w:color w:val="000000"/>
              </w:rPr>
              <w:t>佰</w:t>
            </w:r>
            <w:r>
              <w:rPr>
                <w:rFonts w:ascii="仿宋_GB2312" w:hAnsi="仿宋_GB2312" w:cs="仿宋_GB2312" w:eastAsia="仿宋_GB2312"/>
                <w:sz w:val="20"/>
              </w:rPr>
              <w:t xml:space="preserve">  </w:t>
            </w:r>
            <w:r>
              <w:rPr>
                <w:rFonts w:ascii="仿宋_GB2312" w:hAnsi="仿宋_GB2312" w:cs="仿宋_GB2312" w:eastAsia="仿宋_GB2312"/>
                <w:sz w:val="20"/>
                <w:color w:val="000000"/>
              </w:rPr>
              <w:t>拾</w:t>
            </w:r>
            <w:r>
              <w:rPr>
                <w:rFonts w:ascii="仿宋_GB2312" w:hAnsi="仿宋_GB2312" w:cs="仿宋_GB2312" w:eastAsia="仿宋_GB2312"/>
                <w:sz w:val="20"/>
              </w:rPr>
              <w:t xml:space="preserve">  </w:t>
            </w:r>
            <w:r>
              <w:rPr>
                <w:rFonts w:ascii="仿宋_GB2312" w:hAnsi="仿宋_GB2312" w:cs="仿宋_GB2312" w:eastAsia="仿宋_GB2312"/>
                <w:sz w:val="20"/>
                <w:color w:val="000000"/>
              </w:rPr>
              <w:t>元整（￥</w:t>
            </w:r>
            <w:r>
              <w:rPr>
                <w:rFonts w:ascii="仿宋_GB2312" w:hAnsi="仿宋_GB2312" w:cs="仿宋_GB2312" w:eastAsia="仿宋_GB2312"/>
                <w:sz w:val="20"/>
              </w:rPr>
              <w:t xml:space="preserve">   </w:t>
            </w:r>
            <w:r>
              <w:rPr>
                <w:rFonts w:ascii="仿宋_GB2312" w:hAnsi="仿宋_GB2312" w:cs="仿宋_GB2312" w:eastAsia="仿宋_GB2312"/>
                <w:sz w:val="20"/>
                <w:color w:val="000000"/>
              </w:rPr>
              <w:t>元）。</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、尾款：所有网络安装验收合格后，乙方提交全部报告材料，甲方在收到乙方开具的正式有效发票（包括但不限于发票与金融机构开具的有效期为项目验收合格日期算起一年质量保函，保函金额为合同价款的</w:t>
            </w:r>
            <w:r>
              <w:rPr>
                <w:rFonts w:ascii="仿宋_GB2312" w:hAnsi="仿宋_GB2312" w:cs="仿宋_GB2312" w:eastAsia="仿宋_GB2312"/>
                <w:sz w:val="20"/>
                <w:color w:val="000000"/>
              </w:rPr>
              <w:t>3%</w:t>
            </w:r>
            <w:r>
              <w:rPr>
                <w:rFonts w:ascii="仿宋_GB2312" w:hAnsi="仿宋_GB2312" w:cs="仿宋_GB2312" w:eastAsia="仿宋_GB2312"/>
                <w:sz w:val="20"/>
                <w:color w:val="000000"/>
              </w:rPr>
              <w:t>，即人民币（大写）：</w:t>
            </w:r>
            <w:r>
              <w:rPr>
                <w:rFonts w:ascii="仿宋_GB2312" w:hAnsi="仿宋_GB2312" w:cs="仿宋_GB2312" w:eastAsia="仿宋_GB2312"/>
                <w:sz w:val="20"/>
              </w:rPr>
              <w:t xml:space="preserve">  </w:t>
            </w:r>
            <w:r>
              <w:rPr>
                <w:rFonts w:ascii="仿宋_GB2312" w:hAnsi="仿宋_GB2312" w:cs="仿宋_GB2312" w:eastAsia="仿宋_GB2312"/>
                <w:sz w:val="20"/>
                <w:color w:val="000000"/>
              </w:rPr>
              <w:t>万</w:t>
            </w:r>
            <w:r>
              <w:rPr>
                <w:rFonts w:ascii="仿宋_GB2312" w:hAnsi="仿宋_GB2312" w:cs="仿宋_GB2312" w:eastAsia="仿宋_GB2312"/>
                <w:sz w:val="20"/>
              </w:rPr>
              <w:t xml:space="preserve">  </w:t>
            </w:r>
            <w:r>
              <w:rPr>
                <w:rFonts w:ascii="仿宋_GB2312" w:hAnsi="仿宋_GB2312" w:cs="仿宋_GB2312" w:eastAsia="仿宋_GB2312"/>
                <w:sz w:val="20"/>
                <w:color w:val="000000"/>
              </w:rPr>
              <w:t>仟</w:t>
            </w:r>
            <w:r>
              <w:rPr>
                <w:rFonts w:ascii="仿宋_GB2312" w:hAnsi="仿宋_GB2312" w:cs="仿宋_GB2312" w:eastAsia="仿宋_GB2312"/>
                <w:sz w:val="20"/>
              </w:rPr>
              <w:t xml:space="preserve">  </w:t>
            </w:r>
            <w:r>
              <w:rPr>
                <w:rFonts w:ascii="仿宋_GB2312" w:hAnsi="仿宋_GB2312" w:cs="仿宋_GB2312" w:eastAsia="仿宋_GB2312"/>
                <w:sz w:val="20"/>
                <w:color w:val="000000"/>
              </w:rPr>
              <w:t>佰</w:t>
            </w:r>
            <w:r>
              <w:rPr>
                <w:rFonts w:ascii="仿宋_GB2312" w:hAnsi="仿宋_GB2312" w:cs="仿宋_GB2312" w:eastAsia="仿宋_GB2312"/>
                <w:sz w:val="20"/>
              </w:rPr>
              <w:t xml:space="preserve">  </w:t>
            </w:r>
            <w:r>
              <w:rPr>
                <w:rFonts w:ascii="仿宋_GB2312" w:hAnsi="仿宋_GB2312" w:cs="仿宋_GB2312" w:eastAsia="仿宋_GB2312"/>
                <w:sz w:val="20"/>
                <w:color w:val="000000"/>
              </w:rPr>
              <w:t>拾</w:t>
            </w:r>
            <w:r>
              <w:rPr>
                <w:rFonts w:ascii="仿宋_GB2312" w:hAnsi="仿宋_GB2312" w:cs="仿宋_GB2312" w:eastAsia="仿宋_GB2312"/>
                <w:sz w:val="20"/>
              </w:rPr>
              <w:t xml:space="preserve">  </w:t>
            </w:r>
            <w:r>
              <w:rPr>
                <w:rFonts w:ascii="仿宋_GB2312" w:hAnsi="仿宋_GB2312" w:cs="仿宋_GB2312" w:eastAsia="仿宋_GB2312"/>
                <w:sz w:val="20"/>
                <w:color w:val="000000"/>
              </w:rPr>
              <w:t>元</w:t>
            </w:r>
            <w:r>
              <w:rPr>
                <w:rFonts w:ascii="仿宋_GB2312" w:hAnsi="仿宋_GB2312" w:cs="仿宋_GB2312" w:eastAsia="仿宋_GB2312"/>
                <w:sz w:val="2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元））之日起</w:t>
            </w:r>
            <w:r>
              <w:rPr>
                <w:rFonts w:ascii="仿宋_GB2312" w:hAnsi="仿宋_GB2312" w:cs="仿宋_GB2312" w:eastAsia="仿宋_GB2312"/>
                <w:sz w:val="20"/>
                <w:color w:val="000000"/>
              </w:rPr>
              <w:t xml:space="preserve">  5</w:t>
            </w:r>
            <w:r>
              <w:rPr>
                <w:rFonts w:ascii="仿宋_GB2312" w:hAnsi="仿宋_GB2312" w:cs="仿宋_GB2312" w:eastAsia="仿宋_GB2312"/>
                <w:sz w:val="20"/>
                <w:color w:val="000000"/>
              </w:rPr>
              <w:t>个工作日内向乙方支付合同总价的</w:t>
            </w:r>
            <w:r>
              <w:rPr>
                <w:rFonts w:ascii="仿宋_GB2312" w:hAnsi="仿宋_GB2312" w:cs="仿宋_GB2312" w:eastAsia="仿宋_GB2312"/>
                <w:sz w:val="20"/>
                <w:color w:val="000000"/>
              </w:rPr>
              <w:t>20%</w:t>
            </w:r>
            <w:r>
              <w:rPr>
                <w:rFonts w:ascii="仿宋_GB2312" w:hAnsi="仿宋_GB2312" w:cs="仿宋_GB2312" w:eastAsia="仿宋_GB2312"/>
                <w:sz w:val="20"/>
                <w:color w:val="000000"/>
              </w:rPr>
              <w:t>服务费</w:t>
            </w:r>
            <w:r>
              <w:rPr>
                <w:rFonts w:ascii="仿宋_GB2312" w:hAnsi="仿宋_GB2312" w:cs="仿宋_GB2312" w:eastAsia="仿宋_GB2312"/>
                <w:sz w:val="20"/>
                <w:color w:val="000000"/>
              </w:rPr>
              <w:t>,</w:t>
            </w:r>
            <w:r>
              <w:rPr>
                <w:rFonts w:ascii="仿宋_GB2312" w:hAnsi="仿宋_GB2312" w:cs="仿宋_GB2312" w:eastAsia="仿宋_GB2312"/>
                <w:sz w:val="20"/>
                <w:color w:val="000000"/>
              </w:rPr>
              <w:t>即人民币（大写）：</w:t>
            </w:r>
            <w:r>
              <w:rPr>
                <w:rFonts w:ascii="仿宋_GB2312" w:hAnsi="仿宋_GB2312" w:cs="仿宋_GB2312" w:eastAsia="仿宋_GB2312"/>
                <w:sz w:val="20"/>
              </w:rPr>
              <w:t xml:space="preserve">  </w:t>
            </w:r>
            <w:r>
              <w:rPr>
                <w:rFonts w:ascii="仿宋_GB2312" w:hAnsi="仿宋_GB2312" w:cs="仿宋_GB2312" w:eastAsia="仿宋_GB2312"/>
                <w:sz w:val="20"/>
                <w:color w:val="000000"/>
              </w:rPr>
              <w:t>万</w:t>
            </w:r>
            <w:r>
              <w:rPr>
                <w:rFonts w:ascii="仿宋_GB2312" w:hAnsi="仿宋_GB2312" w:cs="仿宋_GB2312" w:eastAsia="仿宋_GB2312"/>
                <w:sz w:val="20"/>
              </w:rPr>
              <w:t xml:space="preserve">  </w:t>
            </w:r>
            <w:r>
              <w:rPr>
                <w:rFonts w:ascii="仿宋_GB2312" w:hAnsi="仿宋_GB2312" w:cs="仿宋_GB2312" w:eastAsia="仿宋_GB2312"/>
                <w:sz w:val="20"/>
                <w:color w:val="000000"/>
              </w:rPr>
              <w:t>仟</w:t>
            </w:r>
            <w:r>
              <w:rPr>
                <w:rFonts w:ascii="仿宋_GB2312" w:hAnsi="仿宋_GB2312" w:cs="仿宋_GB2312" w:eastAsia="仿宋_GB2312"/>
                <w:sz w:val="20"/>
              </w:rPr>
              <w:t xml:space="preserve">  </w:t>
            </w:r>
            <w:r>
              <w:rPr>
                <w:rFonts w:ascii="仿宋_GB2312" w:hAnsi="仿宋_GB2312" w:cs="仿宋_GB2312" w:eastAsia="仿宋_GB2312"/>
                <w:sz w:val="20"/>
                <w:color w:val="000000"/>
              </w:rPr>
              <w:t>佰</w:t>
            </w:r>
            <w:r>
              <w:rPr>
                <w:rFonts w:ascii="仿宋_GB2312" w:hAnsi="仿宋_GB2312" w:cs="仿宋_GB2312" w:eastAsia="仿宋_GB2312"/>
                <w:sz w:val="20"/>
              </w:rPr>
              <w:t xml:space="preserve">  </w:t>
            </w:r>
            <w:r>
              <w:rPr>
                <w:rFonts w:ascii="仿宋_GB2312" w:hAnsi="仿宋_GB2312" w:cs="仿宋_GB2312" w:eastAsia="仿宋_GB2312"/>
                <w:sz w:val="20"/>
                <w:color w:val="000000"/>
              </w:rPr>
              <w:t>拾</w:t>
            </w:r>
            <w:r>
              <w:rPr>
                <w:rFonts w:ascii="仿宋_GB2312" w:hAnsi="仿宋_GB2312" w:cs="仿宋_GB2312" w:eastAsia="仿宋_GB2312"/>
                <w:sz w:val="20"/>
              </w:rPr>
              <w:t xml:space="preserve">  </w:t>
            </w:r>
            <w:r>
              <w:rPr>
                <w:rFonts w:ascii="仿宋_GB2312" w:hAnsi="仿宋_GB2312" w:cs="仿宋_GB2312" w:eastAsia="仿宋_GB2312"/>
                <w:sz w:val="20"/>
                <w:color w:val="000000"/>
              </w:rPr>
              <w:t>元整（￥</w:t>
            </w:r>
            <w:r>
              <w:rPr>
                <w:rFonts w:ascii="仿宋_GB2312" w:hAnsi="仿宋_GB2312" w:cs="仿宋_GB2312" w:eastAsia="仿宋_GB2312"/>
                <w:sz w:val="20"/>
              </w:rPr>
              <w:t xml:space="preserve">  </w:t>
            </w:r>
            <w:r>
              <w:rPr>
                <w:rFonts w:ascii="仿宋_GB2312" w:hAnsi="仿宋_GB2312" w:cs="仿宋_GB2312" w:eastAsia="仿宋_GB2312"/>
                <w:sz w:val="20"/>
                <w:color w:val="000000"/>
              </w:rPr>
              <w:t>元）。</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若乙方提供发票时间迟延或者发票不符合要求，甲方付款时间相应顺延且无需承担相应责任。由于甲方内部审批或财政拨款导致款项不能及时到账的，不视为甲方延期履行付款义务，甲方不承担任何延期付款的违约责任。</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投标人应具备《基础电信业务经营许可证》或《增值电信业务经营许可证》（提供证书有效期内复印件并加盖单位公章）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供应商承诺函 投标（响应）报价明细表 投标函 供应商应提交的相关证明材料 无重大违法记录声明函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 款。</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技术部分43.00分</w:t>
            </w:r>
          </w:p>
          <w:p>
            <w:pPr>
              <w:pStyle w:val="null3"/>
              <w:jc w:val="left"/>
            </w:pPr>
            <w:r>
              <w:rPr>
                <w:rFonts w:ascii="仿宋_GB2312" w:hAnsi="仿宋_GB2312" w:cs="仿宋_GB2312" w:eastAsia="仿宋_GB2312"/>
              </w:rPr>
              <w:t>商务部分47.00分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总体技术方案</w:t>
            </w:r>
          </w:p>
        </w:tc>
        <w:tc>
          <w:tcPr>
            <w:tcW w:type="dxa" w:w="2492"/>
          </w:tcPr>
          <w:p>
            <w:pPr>
              <w:pStyle w:val="null3"/>
              <w:jc w:val="left"/>
            </w:pPr>
            <w:r>
              <w:rPr>
                <w:rFonts w:ascii="仿宋_GB2312" w:hAnsi="仿宋_GB2312" w:cs="仿宋_GB2312" w:eastAsia="仿宋_GB2312"/>
              </w:rPr>
              <w:t>投标人针对本项目提供的总体设计方案，内容包括但不限于：①组网设计；②接入方案；③安全方案。评标专家根据投标人提供的方案进行评分：方案中包含以上要求满足的全部内容，且上述内容完整、条理清晰，针对实际情况，考虑问题周全的得12分，每缺少一项扣4分，一项有内容缺陷扣2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总体技术方案</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供应商针对本项目提供的项目实施方案，内容包括但不限于：①项目实施进度；②质量保证措施；③安装调试方案。评标专家根据供应商提供的方案进行评分： 方案中包含以上要求满足的全部内容，且上述内容完整、条理清晰，针对实际情况，考虑问题周全的得9分。每缺少一项扣3分，扣完为止。本项满分9分。 方案中包含以上各项，但若有内容缺陷的则一项扣1.5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w:t>
            </w:r>
          </w:p>
        </w:tc>
      </w:tr>
      <w:tr>
        <w:tc>
          <w:tcPr>
            <w:tcW w:type="dxa" w:w="831"/>
            <w:vMerge/>
          </w:tcPr>
          <w:p/>
        </w:tc>
        <w:tc>
          <w:tcPr>
            <w:tcW w:type="dxa" w:w="1661"/>
          </w:tcPr>
          <w:p>
            <w:pPr>
              <w:pStyle w:val="null3"/>
              <w:jc w:val="left"/>
            </w:pPr>
            <w:r>
              <w:rPr>
                <w:rFonts w:ascii="仿宋_GB2312" w:hAnsi="仿宋_GB2312" w:cs="仿宋_GB2312" w:eastAsia="仿宋_GB2312"/>
              </w:rPr>
              <w:t>应急保障方案</w:t>
            </w:r>
          </w:p>
        </w:tc>
        <w:tc>
          <w:tcPr>
            <w:tcW w:type="dxa" w:w="2492"/>
          </w:tcPr>
          <w:p>
            <w:pPr>
              <w:pStyle w:val="null3"/>
              <w:jc w:val="left"/>
            </w:pPr>
            <w:r>
              <w:rPr>
                <w:rFonts w:ascii="仿宋_GB2312" w:hAnsi="仿宋_GB2312" w:cs="仿宋_GB2312" w:eastAsia="仿宋_GB2312"/>
              </w:rPr>
              <w:t>投标人针对本项目提供的应急保障方案，内容包括但不限于：①应急人员配备及故障响应；②现场保障配合服务；③质量保障方案；④应急服务方案保证措施。评标专家根据投标人提供的方案进行评分：方案中包含以上要求满足的全部内容，且上述内容完整、条理清晰，针对实际情况，考虑问题周全的得12分，每缺少一项扣3分，一项有内容缺陷每处扣1.5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应急保障方案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投标人针对本项目提供的售后服务方案，内容包括但不限于：①服务承诺；②服务体系；③售后方式及响应时间；④具有学校所在区域内售后服务点详细信息；⑤售后服务考核方案。评标专家根据投标人提供的方案进行评分：方案中包含以上要求满足的全部内容，且上述内容完整、条理清晰，针对实际情况，考虑问题周全的得10分，每缺少一项扣2分，一项有内容缺陷扣1分，扣完为止。本项满分10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技术要求响应</w:t>
            </w:r>
          </w:p>
        </w:tc>
        <w:tc>
          <w:tcPr>
            <w:tcW w:type="dxa" w:w="2492"/>
          </w:tcPr>
          <w:p>
            <w:pPr>
              <w:pStyle w:val="null3"/>
              <w:jc w:val="left"/>
            </w:pPr>
            <w:r>
              <w:rPr>
                <w:rFonts w:ascii="仿宋_GB2312" w:hAnsi="仿宋_GB2312" w:cs="仿宋_GB2312" w:eastAsia="仿宋_GB2312"/>
              </w:rPr>
              <w:t>供应商对本竞争性磋商文件“第三章 采购需求”技术和服务要求中“三、采购服务需求表”进行点对点比较响应： 1、优于或完全满足技术要求条款的，得14分； 2、带▲技术要求条款项共8项，此项满分8分，其中每项不满足扣1分，扣完为止； 注：对需提供佐证证明材料的技术要求，供应商应逐项按要求提供佐证材料证明，未提供证明材料或证明材料不满足竞争性磋商文件要求的，该参数的响应将视被为负偏离。</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技术要求响应</w:t>
            </w:r>
          </w:p>
        </w:tc>
        <w:tc>
          <w:tcPr>
            <w:tcW w:type="dxa" w:w="2492"/>
          </w:tcPr>
          <w:p>
            <w:pPr>
              <w:pStyle w:val="null3"/>
              <w:jc w:val="left"/>
            </w:pPr>
            <w:r>
              <w:rPr>
                <w:rFonts w:ascii="仿宋_GB2312" w:hAnsi="仿宋_GB2312" w:cs="仿宋_GB2312" w:eastAsia="仿宋_GB2312"/>
              </w:rPr>
              <w:t>3、不带▲技术要求条款项共12项，此项满分6分，其中每项不满足扣0.5分，扣完为止。 注：对需提供佐证证明材料的技术要求，供应商应逐项按要求提供佐证材料证明，未提供证明材料或证明材料不满足竞争性磋商文件要求的，该参数的响应将视被为负偏离。</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供应商综合能力</w:t>
            </w:r>
          </w:p>
        </w:tc>
        <w:tc>
          <w:tcPr>
            <w:tcW w:type="dxa" w:w="2492"/>
          </w:tcPr>
          <w:p>
            <w:pPr>
              <w:pStyle w:val="null3"/>
              <w:jc w:val="left"/>
            </w:pPr>
            <w:r>
              <w:rPr>
                <w:rFonts w:ascii="仿宋_GB2312" w:hAnsi="仿宋_GB2312" w:cs="仿宋_GB2312" w:eastAsia="仿宋_GB2312"/>
              </w:rPr>
              <w:t>供应商具有以下证书，每提供一个证书得2分，满分10分。 1、ISO 9001质量管理体系认证证书 2、ISO 27001信息安全管理体系认证证书 3、ISO 20000信息技术服务管理体系认证证书 4、GB/T37228应急预案管理能力评价认证证书 5、供应商获得省级或省级以上网络安全应急技术支撑单位证书 证明材料：提供有效期内证书复印件并加盖公章，不提供不得分。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供应商综合能力</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供应商提供2021年1月1日至今类似项目案例：每提供1个得1分，最高得6分。 注：时间以签订时间为准，须提供每个合同关键页部分复印件，加盖供应商公章，同一客户有多个合同的按照1个案例计算。</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vMerge/>
          </w:tcPr>
          <w:p/>
        </w:tc>
        <w:tc>
          <w:tcPr>
            <w:tcW w:type="dxa" w:w="1661"/>
          </w:tcPr>
          <w:p>
            <w:pPr>
              <w:pStyle w:val="null3"/>
              <w:jc w:val="left"/>
            </w:pPr>
            <w:r>
              <w:rPr>
                <w:rFonts w:ascii="仿宋_GB2312" w:hAnsi="仿宋_GB2312" w:cs="仿宋_GB2312" w:eastAsia="仿宋_GB2312"/>
              </w:rPr>
              <w:t>项目团队能力</w:t>
            </w:r>
          </w:p>
        </w:tc>
        <w:tc>
          <w:tcPr>
            <w:tcW w:type="dxa" w:w="2492"/>
          </w:tcPr>
          <w:p>
            <w:pPr>
              <w:pStyle w:val="null3"/>
              <w:jc w:val="left"/>
            </w:pPr>
            <w:r>
              <w:rPr>
                <w:rFonts w:ascii="仿宋_GB2312" w:hAnsi="仿宋_GB2312" w:cs="仿宋_GB2312" w:eastAsia="仿宋_GB2312"/>
              </w:rPr>
              <w:t>1、供应商派本项目经理具有以下证书； (1)高级通信工程师职称证书； (2)网络规划设计师(高级)； (3)信息安全工程师证书； (4)系统集成项目管理工程师。 同时满足4个证书得8分，缺一个证书扣2分，扣完为止。 证明材料:提供证书（证书复印件或证书查询截图），及在本项目投标单位2024年9月至今任意3个月的社保缴纳证明并加盖公章。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项目团队能力</w:t>
            </w:r>
          </w:p>
        </w:tc>
      </w:tr>
      <w:tr>
        <w:tc>
          <w:tcPr>
            <w:tcW w:type="dxa" w:w="831"/>
            <w:vMerge/>
          </w:tcPr>
          <w:p/>
        </w:tc>
        <w:tc>
          <w:tcPr>
            <w:tcW w:type="dxa" w:w="1661"/>
          </w:tcPr>
          <w:p>
            <w:pPr>
              <w:pStyle w:val="null3"/>
              <w:jc w:val="left"/>
            </w:pPr>
            <w:r>
              <w:rPr>
                <w:rFonts w:ascii="仿宋_GB2312" w:hAnsi="仿宋_GB2312" w:cs="仿宋_GB2312" w:eastAsia="仿宋_GB2312"/>
              </w:rPr>
              <w:t>项目团队能力</w:t>
            </w:r>
          </w:p>
        </w:tc>
        <w:tc>
          <w:tcPr>
            <w:tcW w:type="dxa" w:w="2492"/>
          </w:tcPr>
          <w:p>
            <w:pPr>
              <w:pStyle w:val="null3"/>
              <w:jc w:val="left"/>
            </w:pPr>
            <w:r>
              <w:rPr>
                <w:rFonts w:ascii="仿宋_GB2312" w:hAnsi="仿宋_GB2312" w:cs="仿宋_GB2312" w:eastAsia="仿宋_GB2312"/>
              </w:rPr>
              <w:t>2、供应商投入的通信技术维护团队成员（除项目经理外），均具有任意以下证书之一：①软考中高级资格证书（信息系统项目管理师、②系统集成项目管理工程师、③网络规划设计师、④网络工程师、⑤信息安全工程师等）、⑥CISP证书、⑦ITIL证书、中级及中级以上通信专业技术人员职业资格证书、光缆线务员或线务员类证书，每提供一个证书得0.5分，满分9分，不提供不得分，1人多证计算1次。证明材料:提供证书（证书复印件或证书查询截图），及在本项目投标单位2024年9月至今任意3个月的社保缴纳证明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项目团队能力</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陵水黎族自治县教育城域网（含校园网）服务项目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陵水黎族自治县教育城域网（含校园网）服务项目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C17990000-其他电信和信息传输服务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3560400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备注：响应报价超过采购预算或最高限价的，视为无效投标。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详见附件：总体技术方案</w:t>
      </w:r>
    </w:p>
    <w:p>
      <w:pPr>
        <w:pStyle w:val="null3"/>
        <w:ind w:firstLine="960"/>
        <w:jc w:val="left"/>
      </w:pPr>
      <w:r>
        <w:rPr>
          <w:rFonts w:ascii="仿宋_GB2312" w:hAnsi="仿宋_GB2312" w:cs="仿宋_GB2312" w:eastAsia="仿宋_GB2312"/>
        </w:rPr>
        <w:t>详见附件：项目实施方案</w:t>
      </w:r>
    </w:p>
    <w:p>
      <w:pPr>
        <w:pStyle w:val="null3"/>
        <w:ind w:firstLine="960"/>
        <w:jc w:val="left"/>
      </w:pPr>
      <w:r>
        <w:rPr>
          <w:rFonts w:ascii="仿宋_GB2312" w:hAnsi="仿宋_GB2312" w:cs="仿宋_GB2312" w:eastAsia="仿宋_GB2312"/>
        </w:rPr>
        <w:t>详见附件：应急保障方案</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详见附件：供应商综合能力</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详见附件：项目团队能力</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