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CA6D8">
      <w:pPr>
        <w:spacing w:line="360" w:lineRule="auto"/>
        <w:jc w:val="left"/>
        <w:rPr>
          <w:rFonts w:ascii="宋体" w:hAnsi="宋体"/>
          <w:b/>
          <w:sz w:val="30"/>
          <w:szCs w:val="30"/>
          <w:u w:val="single"/>
        </w:rPr>
      </w:pPr>
      <w:r>
        <w:rPr>
          <w:rFonts w:hint="eastAsia" w:ascii="宋体" w:hAnsi="宋体"/>
          <w:b/>
          <w:sz w:val="30"/>
          <w:szCs w:val="30"/>
        </w:rPr>
        <w:t>合同编号：</w:t>
      </w:r>
      <w:r>
        <w:rPr>
          <w:rFonts w:hint="eastAsia" w:ascii="宋体" w:hAnsi="宋体"/>
          <w:b/>
          <w:sz w:val="30"/>
          <w:szCs w:val="30"/>
          <w:u w:val="single"/>
        </w:rPr>
        <w:t xml:space="preserve">             </w:t>
      </w:r>
    </w:p>
    <w:p w14:paraId="527DADD3">
      <w:pPr>
        <w:spacing w:line="360" w:lineRule="auto"/>
        <w:ind w:right="40" w:firstLine="4350" w:firstLineChars="1450"/>
        <w:jc w:val="left"/>
        <w:rPr>
          <w:rFonts w:ascii="宋体" w:hAnsi="宋体" w:cs="宋体"/>
          <w:sz w:val="30"/>
          <w:szCs w:val="30"/>
        </w:rPr>
      </w:pPr>
    </w:p>
    <w:p w14:paraId="4C3A3D09">
      <w:pPr>
        <w:spacing w:line="360" w:lineRule="auto"/>
        <w:ind w:right="40" w:firstLine="4350" w:firstLineChars="1450"/>
        <w:jc w:val="left"/>
        <w:rPr>
          <w:rFonts w:ascii="宋体" w:hAnsi="宋体" w:cs="宋体"/>
          <w:sz w:val="30"/>
          <w:szCs w:val="30"/>
        </w:rPr>
      </w:pPr>
    </w:p>
    <w:p w14:paraId="06611ECB">
      <w:pPr>
        <w:spacing w:line="360" w:lineRule="auto"/>
        <w:jc w:val="center"/>
        <w:rPr>
          <w:rFonts w:ascii="宋体" w:hAnsi="宋体"/>
          <w:b/>
          <w:sz w:val="72"/>
          <w:szCs w:val="72"/>
        </w:rPr>
      </w:pPr>
      <w:r>
        <w:rPr>
          <w:rFonts w:hint="eastAsia" w:ascii="宋体" w:hAnsi="宋体"/>
          <w:b/>
          <w:sz w:val="72"/>
          <w:szCs w:val="72"/>
        </w:rPr>
        <w:t>海南省政府采购项目</w:t>
      </w:r>
    </w:p>
    <w:p w14:paraId="12B948E3">
      <w:pPr>
        <w:spacing w:line="360" w:lineRule="auto"/>
        <w:rPr>
          <w:rFonts w:ascii="宋体" w:hAnsi="宋体"/>
          <w:b/>
          <w:sz w:val="30"/>
          <w:szCs w:val="30"/>
        </w:rPr>
      </w:pPr>
    </w:p>
    <w:p w14:paraId="31E5EB68">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草 案</w:t>
      </w:r>
    </w:p>
    <w:p w14:paraId="541CE733">
      <w:pPr>
        <w:spacing w:line="360" w:lineRule="auto"/>
        <w:jc w:val="center"/>
        <w:rPr>
          <w:rFonts w:ascii="宋体" w:hAnsi="宋体"/>
          <w:b/>
          <w:sz w:val="32"/>
          <w:szCs w:val="32"/>
        </w:rPr>
      </w:pPr>
    </w:p>
    <w:p w14:paraId="2A56B878">
      <w:pPr>
        <w:spacing w:line="360" w:lineRule="auto"/>
        <w:jc w:val="center"/>
        <w:rPr>
          <w:rFonts w:ascii="宋体" w:hAnsi="宋体"/>
          <w:b/>
          <w:sz w:val="32"/>
          <w:szCs w:val="32"/>
        </w:rPr>
      </w:pPr>
    </w:p>
    <w:p w14:paraId="12F53BD0">
      <w:pPr>
        <w:spacing w:line="360" w:lineRule="auto"/>
        <w:ind w:firstLine="1590" w:firstLineChars="495"/>
        <w:rPr>
          <w:rFonts w:ascii="宋体" w:hAnsi="宋体"/>
          <w:b/>
          <w:sz w:val="32"/>
          <w:szCs w:val="32"/>
        </w:rPr>
      </w:pPr>
    </w:p>
    <w:p w14:paraId="6B36189C">
      <w:pPr>
        <w:spacing w:line="360" w:lineRule="auto"/>
        <w:ind w:firstLine="1590" w:firstLineChars="495"/>
        <w:rPr>
          <w:rFonts w:ascii="宋体" w:hAnsi="宋体"/>
          <w:b/>
          <w:sz w:val="32"/>
          <w:szCs w:val="32"/>
        </w:rPr>
      </w:pPr>
    </w:p>
    <w:p w14:paraId="1D303148">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2CBB4620">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0493340D">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1F0CC96C">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4A6E8470">
      <w:pPr>
        <w:spacing w:line="360" w:lineRule="auto"/>
        <w:ind w:firstLine="1928" w:firstLineChars="600"/>
        <w:rPr>
          <w:rFonts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5B5D5E1F">
      <w:pPr>
        <w:spacing w:line="360" w:lineRule="auto"/>
        <w:jc w:val="center"/>
        <w:rPr>
          <w:rFonts w:ascii="宋体" w:hAnsi="宋体"/>
          <w:b/>
          <w:sz w:val="32"/>
          <w:szCs w:val="32"/>
        </w:rPr>
        <w:sectPr>
          <w:pgSz w:w="11907" w:h="16840"/>
          <w:pgMar w:top="1440" w:right="1077" w:bottom="1440" w:left="1247" w:header="936" w:footer="992" w:gutter="0"/>
          <w:cols w:space="720" w:num="1"/>
          <w:titlePg/>
          <w:docGrid w:linePitch="312" w:charSpace="0"/>
        </w:sectPr>
      </w:pPr>
    </w:p>
    <w:p w14:paraId="043761DB">
      <w:pPr>
        <w:spacing w:line="360" w:lineRule="auto"/>
        <w:jc w:val="center"/>
        <w:rPr>
          <w:rFonts w:ascii="宋体" w:hAnsi="宋体"/>
          <w:b/>
          <w:sz w:val="32"/>
          <w:szCs w:val="32"/>
        </w:rPr>
      </w:pPr>
      <w:r>
        <w:rPr>
          <w:rFonts w:hint="eastAsia" w:ascii="宋体" w:hAnsi="宋体"/>
          <w:b/>
          <w:sz w:val="32"/>
          <w:szCs w:val="32"/>
        </w:rPr>
        <w:t>合同专用条款</w:t>
      </w:r>
    </w:p>
    <w:p w14:paraId="2532CD03">
      <w:pPr>
        <w:spacing w:line="360" w:lineRule="auto"/>
        <w:jc w:val="center"/>
        <w:rPr>
          <w:rFonts w:ascii="宋体" w:hAnsi="宋体"/>
          <w:b/>
          <w:sz w:val="32"/>
          <w:szCs w:val="32"/>
        </w:rPr>
      </w:pPr>
    </w:p>
    <w:p w14:paraId="270254C1">
      <w:pPr>
        <w:spacing w:line="360" w:lineRule="auto"/>
        <w:ind w:firstLine="560" w:firstLineChars="200"/>
        <w:rPr>
          <w:rFonts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（成交供应商名称）</w:t>
      </w:r>
      <w:r>
        <w:rPr>
          <w:rFonts w:hint="eastAsia" w:ascii="宋体" w:hAnsi="宋体" w:cs="宋体"/>
          <w:sz w:val="28"/>
          <w:szCs w:val="28"/>
        </w:rPr>
        <w:t>为该项目成交供应商。</w:t>
      </w:r>
    </w:p>
    <w:p w14:paraId="7824656F">
      <w:pPr>
        <w:spacing w:line="360" w:lineRule="auto"/>
        <w:ind w:firstLine="560" w:firstLineChars="200"/>
        <w:rPr>
          <w:rFonts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（成交供应商名称）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32A4B8CF">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14:paraId="510E7D8F">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14:paraId="2BB9E2D7">
      <w:pPr>
        <w:spacing w:line="360" w:lineRule="auto"/>
        <w:ind w:firstLine="560" w:firstLineChars="200"/>
        <w:jc w:val="left"/>
        <w:rPr>
          <w:rFonts w:ascii="宋体" w:hAnsi="宋体" w:cs="宋体"/>
          <w:sz w:val="28"/>
          <w:szCs w:val="28"/>
        </w:rPr>
      </w:pPr>
      <w:r>
        <w:rPr>
          <w:rFonts w:hint="eastAsia" w:ascii="宋体" w:hAnsi="宋体" w:cs="宋体"/>
          <w:sz w:val="28"/>
          <w:szCs w:val="28"/>
        </w:rPr>
        <w:t>1.磋商文件（含澄清或者修改文件）；</w:t>
      </w:r>
    </w:p>
    <w:p w14:paraId="1417AF74">
      <w:pPr>
        <w:spacing w:line="360" w:lineRule="auto"/>
        <w:ind w:firstLine="560" w:firstLineChars="200"/>
        <w:jc w:val="left"/>
        <w:rPr>
          <w:rFonts w:ascii="宋体" w:hAnsi="宋体" w:cs="宋体"/>
          <w:sz w:val="28"/>
          <w:szCs w:val="28"/>
        </w:rPr>
      </w:pPr>
      <w:r>
        <w:rPr>
          <w:rFonts w:hint="eastAsia" w:ascii="宋体" w:hAnsi="宋体" w:cs="宋体"/>
          <w:sz w:val="28"/>
          <w:szCs w:val="28"/>
        </w:rPr>
        <w:t>2.磋商文件的更正公告、变更公告；</w:t>
      </w:r>
    </w:p>
    <w:p w14:paraId="445E3920">
      <w:pPr>
        <w:spacing w:line="360" w:lineRule="auto"/>
        <w:ind w:firstLine="560" w:firstLineChars="200"/>
        <w:jc w:val="left"/>
        <w:rPr>
          <w:rFonts w:ascii="宋体" w:hAnsi="宋体" w:cs="宋体"/>
          <w:sz w:val="28"/>
          <w:szCs w:val="28"/>
        </w:rPr>
      </w:pPr>
      <w:r>
        <w:rPr>
          <w:rFonts w:hint="eastAsia" w:ascii="宋体" w:hAnsi="宋体" w:cs="宋体"/>
          <w:sz w:val="28"/>
          <w:szCs w:val="28"/>
        </w:rPr>
        <w:t>3.乙方提交的响应文件（含澄清或者修改文件）；</w:t>
      </w:r>
    </w:p>
    <w:p w14:paraId="30D12EBF">
      <w:pPr>
        <w:spacing w:line="360" w:lineRule="auto"/>
        <w:ind w:firstLine="560" w:firstLineChars="200"/>
        <w:jc w:val="left"/>
        <w:rPr>
          <w:rFonts w:ascii="宋体" w:hAnsi="宋体" w:cs="宋体"/>
          <w:sz w:val="28"/>
          <w:szCs w:val="28"/>
        </w:rPr>
      </w:pPr>
      <w:r>
        <w:rPr>
          <w:rFonts w:hint="eastAsia" w:ascii="宋体" w:hAnsi="宋体" w:cs="宋体"/>
          <w:sz w:val="28"/>
          <w:szCs w:val="28"/>
        </w:rPr>
        <w:t>4.政府采购合同条款；</w:t>
      </w:r>
    </w:p>
    <w:p w14:paraId="5BBC60D5">
      <w:pPr>
        <w:spacing w:line="360" w:lineRule="auto"/>
        <w:ind w:firstLine="560" w:firstLineChars="200"/>
        <w:jc w:val="left"/>
        <w:rPr>
          <w:rFonts w:ascii="宋体" w:hAnsi="宋体" w:cs="宋体"/>
          <w:sz w:val="28"/>
          <w:szCs w:val="28"/>
        </w:rPr>
      </w:pPr>
      <w:r>
        <w:rPr>
          <w:rFonts w:hint="eastAsia" w:ascii="宋体" w:hAnsi="宋体" w:cs="宋体"/>
          <w:sz w:val="28"/>
          <w:szCs w:val="28"/>
        </w:rPr>
        <w:t>5.成交通知书；</w:t>
      </w:r>
    </w:p>
    <w:p w14:paraId="4CD45CA3">
      <w:pPr>
        <w:spacing w:line="360" w:lineRule="auto"/>
        <w:ind w:firstLine="560" w:firstLineChars="200"/>
        <w:jc w:val="left"/>
        <w:rPr>
          <w:rFonts w:ascii="宋体" w:hAnsi="宋体" w:cs="宋体"/>
          <w:sz w:val="28"/>
          <w:szCs w:val="28"/>
        </w:rPr>
      </w:pPr>
      <w:r>
        <w:rPr>
          <w:rFonts w:hint="eastAsia" w:ascii="宋体" w:hAnsi="宋体" w:cs="宋体"/>
          <w:sz w:val="28"/>
          <w:szCs w:val="28"/>
        </w:rPr>
        <w:t>6.政府采购合同的其它附件。</w:t>
      </w:r>
    </w:p>
    <w:p w14:paraId="2AD12E5A">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14:paraId="44DBF4EE">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14:paraId="1FF23C63">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14:paraId="3F8BE703">
      <w:pPr>
        <w:spacing w:line="360" w:lineRule="auto"/>
        <w:ind w:firstLine="560"/>
        <w:jc w:val="left"/>
        <w:rPr>
          <w:rFonts w:ascii="宋体" w:hAnsi="宋体" w:cs="宋体"/>
          <w:sz w:val="28"/>
          <w:szCs w:val="28"/>
        </w:rPr>
      </w:pPr>
      <w:r>
        <w:rPr>
          <w:rFonts w:hint="eastAsia" w:ascii="宋体" w:hAnsi="宋体" w:cs="宋体"/>
          <w:sz w:val="28"/>
          <w:szCs w:val="28"/>
        </w:rPr>
        <w:t>本政府采购合同的标的为政府采购合同货物清单(同响应文件中的报价表/明细报价表)中所列货物及相关服务。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47B6FC0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4BA91F34">
            <w:pPr>
              <w:spacing w:line="360" w:lineRule="auto"/>
              <w:jc w:val="center"/>
              <w:rPr>
                <w:rFonts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4ECD3121">
            <w:pPr>
              <w:spacing w:line="360" w:lineRule="auto"/>
              <w:jc w:val="center"/>
              <w:rPr>
                <w:rFonts w:ascii="宋体" w:hAnsi="宋体" w:cs="宋体"/>
                <w:b/>
                <w:bCs/>
                <w:sz w:val="24"/>
              </w:rPr>
            </w:pPr>
            <w:r>
              <w:rPr>
                <w:rFonts w:hint="eastAsia" w:ascii="宋体" w:hAnsi="宋体" w:cs="宋体"/>
                <w:b/>
                <w:bCs/>
                <w:sz w:val="24"/>
              </w:rPr>
              <w:t>货物名称</w:t>
            </w:r>
          </w:p>
        </w:tc>
        <w:tc>
          <w:tcPr>
            <w:tcW w:w="2019" w:type="dxa"/>
            <w:tcBorders>
              <w:top w:val="single" w:color="auto" w:sz="4" w:space="0"/>
              <w:left w:val="single" w:color="auto" w:sz="4" w:space="0"/>
              <w:bottom w:val="single" w:color="auto" w:sz="4" w:space="0"/>
              <w:right w:val="single" w:color="auto" w:sz="4" w:space="0"/>
            </w:tcBorders>
            <w:vAlign w:val="center"/>
          </w:tcPr>
          <w:p w14:paraId="5567DD0D">
            <w:pPr>
              <w:spacing w:line="360" w:lineRule="auto"/>
              <w:jc w:val="center"/>
              <w:rPr>
                <w:rFonts w:ascii="宋体" w:hAnsi="宋体" w:cs="宋体"/>
                <w:b/>
                <w:bCs/>
                <w:sz w:val="24"/>
              </w:rPr>
            </w:pPr>
            <w:r>
              <w:rPr>
                <w:rFonts w:hint="eastAsia" w:ascii="宋体" w:hAnsi="宋体" w:cs="宋体"/>
                <w:b/>
                <w:bCs/>
                <w:sz w:val="24"/>
              </w:rPr>
              <w:t>品牌、规格型号</w:t>
            </w:r>
          </w:p>
          <w:p w14:paraId="5F98D76C">
            <w:pPr>
              <w:spacing w:line="360" w:lineRule="auto"/>
              <w:jc w:val="center"/>
              <w:rPr>
                <w:rFonts w:ascii="宋体" w:hAnsi="宋体" w:cs="宋体"/>
                <w:b/>
                <w:bCs/>
                <w:sz w:val="24"/>
              </w:rPr>
            </w:pPr>
            <w:r>
              <w:rPr>
                <w:rFonts w:hint="eastAsia" w:ascii="宋体" w:hAnsi="宋体" w:cs="宋体"/>
                <w:b/>
                <w:bCs/>
                <w:sz w:val="24"/>
              </w:rPr>
              <w:t>（或服务要求）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78FC927B">
            <w:pPr>
              <w:spacing w:line="360" w:lineRule="auto"/>
              <w:jc w:val="center"/>
              <w:rPr>
                <w:rFonts w:ascii="宋体" w:hAnsi="宋体" w:cs="宋体"/>
                <w:b/>
                <w:bCs/>
                <w:sz w:val="24"/>
              </w:rPr>
            </w:pPr>
            <w:r>
              <w:rPr>
                <w:rFonts w:hint="eastAsia" w:ascii="宋体" w:hAnsi="宋体"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4533BFAB">
            <w:pPr>
              <w:spacing w:line="360" w:lineRule="auto"/>
              <w:jc w:val="center"/>
              <w:rPr>
                <w:rFonts w:ascii="宋体" w:hAnsi="宋体" w:cs="宋体"/>
                <w:b/>
                <w:bCs/>
                <w:sz w:val="24"/>
              </w:rPr>
            </w:pPr>
            <w:r>
              <w:rPr>
                <w:rFonts w:hint="eastAsia" w:ascii="宋体" w:hAnsi="宋体" w:cs="宋体"/>
                <w:b/>
                <w:bCs/>
                <w:sz w:val="24"/>
              </w:rPr>
              <w:t>单价</w:t>
            </w:r>
          </w:p>
          <w:p w14:paraId="6ABAFE86">
            <w:pPr>
              <w:spacing w:line="360" w:lineRule="auto"/>
              <w:jc w:val="center"/>
              <w:rPr>
                <w:rFonts w:ascii="宋体" w:hAnsi="宋体" w:cs="宋体"/>
                <w:b/>
                <w:bCs/>
                <w:sz w:val="24"/>
              </w:rPr>
            </w:pPr>
            <w:r>
              <w:rPr>
                <w:rFonts w:hint="eastAsia" w:ascii="宋体" w:hAnsi="宋体" w:cs="宋体"/>
                <w:b/>
                <w:bCs/>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1DEFE970">
            <w:pPr>
              <w:spacing w:line="360" w:lineRule="auto"/>
              <w:jc w:val="center"/>
              <w:rPr>
                <w:rFonts w:ascii="宋体" w:hAnsi="宋体" w:cs="宋体"/>
                <w:b/>
                <w:bCs/>
                <w:sz w:val="24"/>
              </w:rPr>
            </w:pPr>
            <w:r>
              <w:rPr>
                <w:rFonts w:hint="eastAsia" w:ascii="宋体" w:hAnsi="宋体" w:cs="宋体"/>
                <w:b/>
                <w:bCs/>
                <w:sz w:val="24"/>
              </w:rPr>
              <w:t>单项总价</w:t>
            </w:r>
          </w:p>
          <w:p w14:paraId="61DB9672">
            <w:pPr>
              <w:spacing w:line="360" w:lineRule="auto"/>
              <w:jc w:val="center"/>
              <w:rPr>
                <w:rFonts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1436E899">
            <w:pPr>
              <w:spacing w:line="360" w:lineRule="auto"/>
              <w:jc w:val="center"/>
              <w:rPr>
                <w:rFonts w:ascii="宋体" w:hAnsi="宋体" w:cs="宋体"/>
                <w:b/>
                <w:bCs/>
                <w:sz w:val="24"/>
              </w:rPr>
            </w:pPr>
            <w:r>
              <w:rPr>
                <w:rFonts w:hint="eastAsia" w:ascii="宋体" w:hAnsi="宋体" w:cs="宋体"/>
                <w:b/>
                <w:bCs/>
                <w:sz w:val="24"/>
              </w:rPr>
              <w:t>备注</w:t>
            </w:r>
          </w:p>
        </w:tc>
      </w:tr>
      <w:tr w14:paraId="30082E57">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04E59CD">
            <w:pPr>
              <w:spacing w:line="360" w:lineRule="auto"/>
              <w:jc w:val="left"/>
              <w:rPr>
                <w:rFonts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F5DB06C">
            <w:pPr>
              <w:spacing w:line="360" w:lineRule="auto"/>
              <w:jc w:val="left"/>
              <w:rPr>
                <w:rFonts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33918E6B">
            <w:pPr>
              <w:spacing w:line="360" w:lineRule="auto"/>
              <w:jc w:val="left"/>
              <w:rPr>
                <w:rFonts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45E44956">
            <w:pPr>
              <w:spacing w:line="360" w:lineRule="auto"/>
              <w:jc w:val="left"/>
              <w:rPr>
                <w:rFonts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C286B5E">
            <w:pPr>
              <w:spacing w:line="360" w:lineRule="auto"/>
              <w:jc w:val="left"/>
              <w:rPr>
                <w:rFonts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36CB3325">
            <w:pPr>
              <w:spacing w:line="360" w:lineRule="auto"/>
              <w:jc w:val="left"/>
              <w:rPr>
                <w:rFonts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2F13BA24">
            <w:pPr>
              <w:spacing w:line="360" w:lineRule="auto"/>
              <w:jc w:val="left"/>
              <w:rPr>
                <w:rFonts w:ascii="宋体" w:hAnsi="宋体" w:cs="宋体"/>
                <w:sz w:val="28"/>
                <w:szCs w:val="28"/>
              </w:rPr>
            </w:pPr>
          </w:p>
        </w:tc>
      </w:tr>
      <w:tr w14:paraId="3977E3F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D66F5C5">
            <w:pPr>
              <w:spacing w:line="360" w:lineRule="auto"/>
              <w:jc w:val="left"/>
              <w:rPr>
                <w:rFonts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68C4D98E">
            <w:pPr>
              <w:spacing w:line="360" w:lineRule="auto"/>
              <w:jc w:val="left"/>
              <w:rPr>
                <w:rFonts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16E6A6F6">
            <w:pPr>
              <w:spacing w:line="360" w:lineRule="auto"/>
              <w:jc w:val="left"/>
              <w:rPr>
                <w:rFonts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89E9110">
            <w:pPr>
              <w:spacing w:line="360" w:lineRule="auto"/>
              <w:jc w:val="left"/>
              <w:rPr>
                <w:rFonts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012C048">
            <w:pPr>
              <w:spacing w:line="360" w:lineRule="auto"/>
              <w:jc w:val="left"/>
              <w:rPr>
                <w:rFonts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577A6F89">
            <w:pPr>
              <w:spacing w:line="360" w:lineRule="auto"/>
              <w:jc w:val="left"/>
              <w:rPr>
                <w:rFonts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76FEE5D8">
            <w:pPr>
              <w:spacing w:line="360" w:lineRule="auto"/>
              <w:jc w:val="left"/>
              <w:rPr>
                <w:rFonts w:ascii="宋体" w:hAnsi="宋体" w:cs="宋体"/>
                <w:sz w:val="28"/>
                <w:szCs w:val="28"/>
              </w:rPr>
            </w:pPr>
          </w:p>
        </w:tc>
      </w:tr>
      <w:tr w14:paraId="13AD270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E44AE4A">
            <w:pPr>
              <w:spacing w:line="360" w:lineRule="auto"/>
              <w:jc w:val="left"/>
              <w:rPr>
                <w:rFonts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B59F440">
            <w:pPr>
              <w:spacing w:line="360" w:lineRule="auto"/>
              <w:jc w:val="left"/>
              <w:rPr>
                <w:rFonts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46101E6F">
            <w:pPr>
              <w:spacing w:line="360" w:lineRule="auto"/>
              <w:jc w:val="left"/>
              <w:rPr>
                <w:rFonts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64CB94DE">
            <w:pPr>
              <w:spacing w:line="360" w:lineRule="auto"/>
              <w:jc w:val="left"/>
              <w:rPr>
                <w:rFonts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2724192">
            <w:pPr>
              <w:spacing w:line="360" w:lineRule="auto"/>
              <w:jc w:val="left"/>
              <w:rPr>
                <w:rFonts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C0BCC78">
            <w:pPr>
              <w:spacing w:line="360" w:lineRule="auto"/>
              <w:jc w:val="left"/>
              <w:rPr>
                <w:rFonts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77453E21">
            <w:pPr>
              <w:spacing w:line="360" w:lineRule="auto"/>
              <w:jc w:val="left"/>
              <w:rPr>
                <w:rFonts w:ascii="宋体" w:hAnsi="宋体" w:cs="宋体"/>
                <w:sz w:val="28"/>
                <w:szCs w:val="28"/>
              </w:rPr>
            </w:pPr>
          </w:p>
        </w:tc>
      </w:tr>
      <w:tr w14:paraId="4617778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5AC7238">
            <w:pPr>
              <w:spacing w:line="360" w:lineRule="auto"/>
              <w:jc w:val="left"/>
              <w:rPr>
                <w:rFonts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374B594A">
            <w:pPr>
              <w:spacing w:line="360" w:lineRule="auto"/>
              <w:jc w:val="left"/>
              <w:rPr>
                <w:rFonts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34085DE">
            <w:pPr>
              <w:spacing w:line="360" w:lineRule="auto"/>
              <w:jc w:val="left"/>
              <w:rPr>
                <w:rFonts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5260CDD8">
            <w:pPr>
              <w:spacing w:line="360" w:lineRule="auto"/>
              <w:jc w:val="left"/>
              <w:rPr>
                <w:rFonts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F16ED99">
            <w:pPr>
              <w:spacing w:line="360" w:lineRule="auto"/>
              <w:jc w:val="left"/>
              <w:rPr>
                <w:rFonts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529ABE0C">
            <w:pPr>
              <w:spacing w:line="360" w:lineRule="auto"/>
              <w:jc w:val="left"/>
              <w:rPr>
                <w:rFonts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D978C46">
            <w:pPr>
              <w:spacing w:line="360" w:lineRule="auto"/>
              <w:jc w:val="left"/>
              <w:rPr>
                <w:rFonts w:ascii="宋体" w:hAnsi="宋体" w:cs="宋体"/>
                <w:sz w:val="28"/>
                <w:szCs w:val="28"/>
              </w:rPr>
            </w:pPr>
          </w:p>
        </w:tc>
      </w:tr>
      <w:tr w14:paraId="2EC0E448">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3522EA4">
            <w:pPr>
              <w:spacing w:line="360" w:lineRule="auto"/>
              <w:jc w:val="center"/>
              <w:rPr>
                <w:rFonts w:ascii="宋体" w:hAnsi="宋体" w:cs="宋体"/>
                <w:sz w:val="28"/>
                <w:szCs w:val="28"/>
              </w:rPr>
            </w:pPr>
            <w:r>
              <w:rPr>
                <w:rFonts w:hint="eastAsia" w:ascii="宋体" w:hAnsi="宋体"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63EDF60D">
            <w:pPr>
              <w:spacing w:line="360" w:lineRule="auto"/>
              <w:jc w:val="left"/>
              <w:rPr>
                <w:rFonts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A3F4080">
            <w:pPr>
              <w:spacing w:line="360" w:lineRule="auto"/>
              <w:jc w:val="left"/>
              <w:rPr>
                <w:rFonts w:ascii="宋体" w:hAnsi="宋体" w:cs="宋体"/>
                <w:sz w:val="28"/>
                <w:szCs w:val="28"/>
              </w:rPr>
            </w:pPr>
          </w:p>
        </w:tc>
      </w:tr>
    </w:tbl>
    <w:p w14:paraId="2176952C">
      <w:pPr>
        <w:spacing w:before="120" w:beforeLines="50" w:line="360" w:lineRule="auto"/>
        <w:ind w:firstLine="422" w:firstLineChars="200"/>
        <w:jc w:val="left"/>
        <w:outlineLvl w:val="0"/>
      </w:pPr>
      <w:r>
        <w:rPr>
          <w:rFonts w:hint="eastAsia" w:ascii="宋体" w:hAnsi="宋体" w:cs="宋体"/>
          <w:b/>
          <w:szCs w:val="21"/>
        </w:rPr>
        <w:t>注：此表须备注核心产品。</w:t>
      </w:r>
    </w:p>
    <w:p w14:paraId="6EDD9539">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14:paraId="21367042">
      <w:pPr>
        <w:spacing w:line="360" w:lineRule="auto"/>
        <w:jc w:val="left"/>
        <w:rPr>
          <w:rFonts w:ascii="宋体" w:hAnsi="宋体" w:cs="宋体"/>
          <w:sz w:val="28"/>
          <w:szCs w:val="28"/>
        </w:rPr>
      </w:pPr>
      <w:r>
        <w:rPr>
          <w:rFonts w:hint="eastAsia" w:ascii="宋体" w:hAnsi="宋体" w:cs="宋体"/>
          <w:sz w:val="28"/>
          <w:szCs w:val="28"/>
        </w:rPr>
        <w:t xml:space="preserve">    根据上述政府采购合同文件要求，政府采购合同的总金额为人民币(大写) ，小写：  元。 （此合同价指验收合格并将货物送到交货地点的全部货款）</w:t>
      </w:r>
    </w:p>
    <w:p w14:paraId="3484F1A9">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五、付款方式</w:t>
      </w:r>
    </w:p>
    <w:p w14:paraId="33C3FF7C">
      <w:pPr>
        <w:spacing w:before="100" w:beforeAutospacing="1" w:line="360" w:lineRule="auto"/>
        <w:ind w:firstLine="560" w:firstLineChars="200"/>
        <w:jc w:val="left"/>
        <w:outlineLvl w:val="0"/>
        <w:rPr>
          <w:rFonts w:hint="eastAsia" w:ascii="宋体" w:hAnsi="宋体" w:cs="宋体"/>
          <w:b w:val="0"/>
          <w:bCs/>
          <w:sz w:val="28"/>
          <w:szCs w:val="28"/>
        </w:rPr>
      </w:pPr>
      <w:r>
        <w:rPr>
          <w:rFonts w:hint="eastAsia" w:ascii="宋体" w:hAnsi="宋体" w:cs="宋体"/>
          <w:b w:val="0"/>
          <w:bCs/>
          <w:sz w:val="28"/>
          <w:szCs w:val="28"/>
        </w:rPr>
        <w:t>预付款：本合同签订后，甲方在收到乙方开具的正式有效发票之日起5个工作日内向乙方支付合同总价的30%预付款；</w:t>
      </w:r>
    </w:p>
    <w:p w14:paraId="054BE040">
      <w:pPr>
        <w:spacing w:before="100" w:beforeAutospacing="1" w:line="360" w:lineRule="auto"/>
        <w:ind w:firstLine="560" w:firstLineChars="200"/>
        <w:jc w:val="left"/>
        <w:outlineLvl w:val="0"/>
        <w:rPr>
          <w:rFonts w:hint="eastAsia" w:ascii="宋体" w:hAnsi="宋体" w:cs="宋体"/>
          <w:b w:val="0"/>
          <w:bCs/>
          <w:sz w:val="28"/>
          <w:szCs w:val="28"/>
        </w:rPr>
      </w:pPr>
      <w:r>
        <w:rPr>
          <w:rFonts w:hint="eastAsia" w:ascii="宋体" w:hAnsi="宋体" w:cs="宋体"/>
          <w:b w:val="0"/>
          <w:bCs/>
          <w:sz w:val="28"/>
          <w:szCs w:val="28"/>
        </w:rPr>
        <w:t>进度款：适老化改完毕和设备全部到货送达指定地点并签收后，乙方按甲方要求，提供正式有效用于支付款所需的票据和资料，甲方向乙方支付合同价款的50%（累计支付达80%)；</w:t>
      </w:r>
    </w:p>
    <w:p w14:paraId="24B9A950">
      <w:pPr>
        <w:spacing w:before="100" w:beforeAutospacing="1" w:line="360" w:lineRule="auto"/>
        <w:ind w:firstLine="560" w:firstLineChars="200"/>
        <w:jc w:val="left"/>
        <w:outlineLvl w:val="0"/>
        <w:rPr>
          <w:rFonts w:hint="eastAsia" w:ascii="宋体" w:hAnsi="宋体" w:cs="宋体"/>
          <w:b w:val="0"/>
          <w:bCs/>
          <w:sz w:val="28"/>
          <w:szCs w:val="28"/>
        </w:rPr>
      </w:pPr>
      <w:r>
        <w:rPr>
          <w:rFonts w:hint="eastAsia" w:ascii="宋体" w:hAnsi="宋体" w:cs="宋体"/>
          <w:b w:val="0"/>
          <w:bCs/>
          <w:sz w:val="28"/>
          <w:szCs w:val="28"/>
        </w:rPr>
        <w:t>尾款:所有货物安装调试完成并验收合格后，乙方提交相关材料，甲方在收到乙方开具的正式有效发票(包括但不限于发票与金融机构开具的有效期为项目验收合格日期算起一年的质量保函，保函金额为合同价款的3%)之日起5个工作日内向乙方支付合同总价的20%。</w:t>
      </w:r>
    </w:p>
    <w:p w14:paraId="4B2AB28D">
      <w:pPr>
        <w:spacing w:before="100" w:beforeAutospacing="1" w:line="360" w:lineRule="auto"/>
        <w:ind w:firstLine="560" w:firstLineChars="200"/>
        <w:jc w:val="left"/>
        <w:outlineLvl w:val="0"/>
        <w:rPr>
          <w:rFonts w:hint="eastAsia" w:ascii="宋体" w:hAnsi="宋体" w:eastAsia="宋体" w:cs="宋体"/>
          <w:b w:val="0"/>
          <w:bCs/>
          <w:sz w:val="28"/>
          <w:szCs w:val="28"/>
          <w:lang w:eastAsia="zh-CN"/>
        </w:rPr>
      </w:pPr>
      <w:r>
        <w:rPr>
          <w:rFonts w:hint="eastAsia" w:ascii="宋体" w:hAnsi="宋体" w:cs="宋体"/>
          <w:b w:val="0"/>
          <w:bCs/>
          <w:sz w:val="28"/>
          <w:szCs w:val="28"/>
        </w:rPr>
        <w:t>要求</w:t>
      </w:r>
      <w:r>
        <w:rPr>
          <w:rFonts w:hint="eastAsia" w:ascii="宋体" w:hAnsi="宋体" w:cs="宋体"/>
          <w:b w:val="0"/>
          <w:bCs/>
          <w:sz w:val="28"/>
          <w:szCs w:val="28"/>
          <w:lang w:eastAsia="zh-CN"/>
        </w:rPr>
        <w:t>：</w:t>
      </w:r>
    </w:p>
    <w:p w14:paraId="29CC532A">
      <w:pPr>
        <w:spacing w:before="100" w:beforeAutospacing="1" w:line="360" w:lineRule="auto"/>
        <w:ind w:firstLine="560" w:firstLineChars="200"/>
        <w:jc w:val="left"/>
        <w:outlineLvl w:val="0"/>
        <w:rPr>
          <w:rFonts w:hint="eastAsia" w:ascii="宋体" w:hAnsi="宋体" w:cs="宋体"/>
          <w:b w:val="0"/>
          <w:bCs/>
          <w:sz w:val="28"/>
          <w:szCs w:val="28"/>
        </w:rPr>
      </w:pPr>
      <w:r>
        <w:rPr>
          <w:rFonts w:hint="eastAsia" w:ascii="宋体" w:hAnsi="宋体" w:cs="宋体"/>
          <w:b w:val="0"/>
          <w:bCs/>
          <w:sz w:val="28"/>
          <w:szCs w:val="28"/>
        </w:rPr>
        <w:t>质保期满后，经甲方复检无质量问题后，乙方根据复检合格验收证明向金融机构申请一次性结清质保金。</w:t>
      </w:r>
    </w:p>
    <w:p w14:paraId="71EE059A">
      <w:pPr>
        <w:spacing w:before="100" w:beforeAutospacing="1" w:line="360" w:lineRule="auto"/>
        <w:ind w:firstLine="560" w:firstLineChars="200"/>
        <w:jc w:val="left"/>
        <w:outlineLvl w:val="0"/>
        <w:rPr>
          <w:rFonts w:hint="eastAsia" w:ascii="宋体" w:hAnsi="宋体" w:cs="宋体"/>
          <w:b w:val="0"/>
          <w:bCs/>
          <w:sz w:val="28"/>
          <w:szCs w:val="28"/>
        </w:rPr>
      </w:pPr>
      <w:r>
        <w:rPr>
          <w:rFonts w:hint="eastAsia" w:ascii="宋体" w:hAnsi="宋体" w:cs="宋体"/>
          <w:b w:val="0"/>
          <w:bCs/>
          <w:sz w:val="28"/>
          <w:szCs w:val="28"/>
        </w:rPr>
        <w:t>在甲方付款前，乙方应当提供合法有效的发票。若乙方提供发票时间迟延或者发票不符合要求，甲方付款时间相应顺延且无需承担相应责任。因甲方财政拨款或内部审批的原因导致合同款项不能及时到账的，乙方不得要求甲方承担任何逾期付款的违约责任。</w:t>
      </w:r>
    </w:p>
    <w:p w14:paraId="1D7DBCFC">
      <w:pPr>
        <w:spacing w:before="100" w:beforeAutospacing="1" w:line="360" w:lineRule="auto"/>
        <w:ind w:firstLine="560" w:firstLineChars="200"/>
        <w:jc w:val="left"/>
        <w:outlineLvl w:val="0"/>
        <w:rPr>
          <w:rFonts w:ascii="宋体" w:hAnsi="宋体" w:cs="宋体"/>
          <w:b/>
          <w:sz w:val="28"/>
          <w:szCs w:val="28"/>
        </w:rPr>
      </w:pPr>
      <w:r>
        <w:rPr>
          <w:rFonts w:hint="eastAsia" w:ascii="宋体" w:hAnsi="宋体" w:cs="宋体"/>
          <w:b w:val="0"/>
          <w:bCs/>
          <w:sz w:val="28"/>
          <w:szCs w:val="28"/>
        </w:rPr>
        <w:t>若在合同签订之日起45天内成交供应商未按合同要求完成全部供货及安装调试，采购人有权单方面终止与成交供应商签订的采购合同，并将成交供应商违约信息录入政府采购信用评价系统，扣除全部履约保证金，同时抄送省级行政主管部门，一切后果成交供应商负责。</w:t>
      </w:r>
    </w:p>
    <w:p w14:paraId="3E4F57F8">
      <w:pPr>
        <w:spacing w:before="100" w:beforeAutospacing="1"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六、交付/履约时间、交付/履约地点和方式</w:t>
      </w:r>
    </w:p>
    <w:p w14:paraId="24C30E7B">
      <w:pPr>
        <w:spacing w:line="360" w:lineRule="auto"/>
        <w:ind w:right="40" w:firstLine="560" w:firstLineChars="200"/>
        <w:jc w:val="left"/>
        <w:rPr>
          <w:rFonts w:hint="eastAsia" w:ascii="宋体" w:hAnsi="宋体" w:cs="宋体"/>
          <w:bCs/>
          <w:sz w:val="28"/>
          <w:szCs w:val="28"/>
        </w:rPr>
      </w:pPr>
      <w:r>
        <w:rPr>
          <w:rFonts w:hint="eastAsia" w:ascii="宋体" w:hAnsi="宋体" w:cs="宋体"/>
          <w:bCs/>
          <w:sz w:val="28"/>
          <w:szCs w:val="28"/>
        </w:rPr>
        <w:t>交付/履约时间：合同签订之日起45天内须完成全部供货（成交供应商所投的全部货物和适老化改造、智能化改造等）及安装调试；</w:t>
      </w:r>
    </w:p>
    <w:p w14:paraId="57A81A9E">
      <w:pPr>
        <w:spacing w:line="360" w:lineRule="auto"/>
        <w:ind w:right="40" w:firstLine="560" w:firstLineChars="200"/>
        <w:jc w:val="left"/>
        <w:rPr>
          <w:rFonts w:ascii="宋体" w:hAnsi="宋体" w:cs="宋体"/>
          <w:sz w:val="28"/>
          <w:szCs w:val="28"/>
        </w:rPr>
      </w:pPr>
      <w:r>
        <w:rPr>
          <w:rFonts w:hint="eastAsia" w:ascii="宋体" w:hAnsi="宋体" w:cs="宋体"/>
          <w:bCs/>
          <w:sz w:val="28"/>
          <w:szCs w:val="28"/>
        </w:rPr>
        <w:t>交付/履约地点：</w:t>
      </w:r>
      <w:r>
        <w:rPr>
          <w:rFonts w:hint="eastAsia" w:ascii="宋体" w:hAnsi="宋体" w:cs="宋体"/>
          <w:bCs/>
          <w:sz w:val="28"/>
          <w:szCs w:val="28"/>
        </w:rPr>
        <w:t>海南省内采购人指定地点</w:t>
      </w:r>
    </w:p>
    <w:p w14:paraId="0258ADF1">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交付方式：按上述交货地点现场交货。乙方负责办理运输，将货物运抵现场。有关运输的一切费用由乙方承担。所有货物运抵现扬的日期为交货日期。</w:t>
      </w:r>
    </w:p>
    <w:p w14:paraId="438B6A4B">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七、售后服务</w:t>
      </w:r>
    </w:p>
    <w:p w14:paraId="5AAB33DE">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以成</w:t>
      </w:r>
      <w:r>
        <w:rPr>
          <w:rFonts w:ascii="宋体" w:hAnsi="宋体" w:cs="宋体"/>
          <w:b/>
          <w:sz w:val="28"/>
          <w:szCs w:val="28"/>
        </w:rPr>
        <w:t>交供应商实际响</w:t>
      </w:r>
      <w:r>
        <w:rPr>
          <w:rFonts w:hint="eastAsia" w:ascii="宋体" w:hAnsi="宋体" w:cs="宋体"/>
          <w:b/>
          <w:sz w:val="28"/>
          <w:szCs w:val="28"/>
        </w:rPr>
        <w:t>应内</w:t>
      </w:r>
      <w:r>
        <w:rPr>
          <w:rFonts w:ascii="宋体" w:hAnsi="宋体" w:cs="宋体"/>
          <w:b/>
          <w:sz w:val="28"/>
          <w:szCs w:val="28"/>
        </w:rPr>
        <w:t>容</w:t>
      </w:r>
      <w:r>
        <w:rPr>
          <w:rFonts w:hint="eastAsia" w:ascii="宋体" w:hAnsi="宋体" w:cs="宋体"/>
          <w:b/>
          <w:sz w:val="28"/>
          <w:szCs w:val="28"/>
        </w:rPr>
        <w:t>为</w:t>
      </w:r>
      <w:r>
        <w:rPr>
          <w:rFonts w:ascii="宋体" w:hAnsi="宋体" w:cs="宋体"/>
          <w:b/>
          <w:sz w:val="28"/>
          <w:szCs w:val="28"/>
        </w:rPr>
        <w:t>准。</w:t>
      </w:r>
    </w:p>
    <w:p w14:paraId="1001E4DA">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lang w:eastAsia="zh-CN"/>
        </w:rPr>
        <w:t>八</w:t>
      </w:r>
      <w:r>
        <w:rPr>
          <w:rFonts w:hint="eastAsia" w:ascii="宋体" w:hAnsi="宋体" w:cs="宋体"/>
          <w:b/>
          <w:sz w:val="28"/>
          <w:szCs w:val="28"/>
        </w:rPr>
        <w:t>、包装材料及运输环节</w:t>
      </w:r>
    </w:p>
    <w:p w14:paraId="5C37A1F5">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1.包装材料的具体要求：采购产品的塑料包装材料应符合海南禁塑制品名录要求，优先使用低（无）挥发性有机物（VOCs）含量油墨印刷标识和全生物降解塑料。</w:t>
      </w:r>
    </w:p>
    <w:p w14:paraId="211B1ED2">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2.运输环节的具体要求：采购产品的运输优先使用清洁能源汽车。</w:t>
      </w:r>
    </w:p>
    <w:p w14:paraId="7B772D7D">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lang w:eastAsia="zh-CN"/>
        </w:rPr>
        <w:t>九</w:t>
      </w:r>
      <w:r>
        <w:rPr>
          <w:rFonts w:hint="eastAsia" w:ascii="宋体" w:hAnsi="宋体" w:cs="宋体"/>
          <w:b/>
          <w:sz w:val="28"/>
          <w:szCs w:val="28"/>
        </w:rPr>
        <w:t>、违约责任</w:t>
      </w:r>
    </w:p>
    <w:p w14:paraId="087A03EE">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1.如甲方验收不符合产品目录或达不到国家标准，乙方无条件退货并偿付货款</w:t>
      </w:r>
      <w:r>
        <w:rPr>
          <w:rFonts w:hint="eastAsia" w:ascii="宋体" w:hAnsi="宋体" w:cs="宋体"/>
          <w:sz w:val="28"/>
          <w:szCs w:val="28"/>
          <w:u w:val="single"/>
          <w:lang w:val="en-US" w:eastAsia="zh-CN"/>
        </w:rPr>
        <w:t xml:space="preserve">  </w:t>
      </w:r>
      <w:r>
        <w:rPr>
          <w:rFonts w:hint="eastAsia" w:ascii="宋体" w:hAnsi="宋体" w:cs="宋体"/>
          <w:sz w:val="28"/>
          <w:szCs w:val="28"/>
        </w:rPr>
        <w:t>的违约金。</w:t>
      </w:r>
    </w:p>
    <w:p w14:paraId="23684831">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2.如乙方不能按期交货或甲方无正当理由中途退货，向对方偿付不能交货或中途退货货款每日</w:t>
      </w:r>
      <w:r>
        <w:rPr>
          <w:rFonts w:hint="eastAsia" w:ascii="宋体" w:hAnsi="宋体" w:cs="宋体"/>
          <w:sz w:val="28"/>
          <w:szCs w:val="28"/>
          <w:u w:val="single"/>
          <w:lang w:val="en-US" w:eastAsia="zh-CN"/>
        </w:rPr>
        <w:t xml:space="preserve">   </w:t>
      </w:r>
      <w:r>
        <w:rPr>
          <w:rFonts w:hint="eastAsia" w:ascii="宋体" w:hAnsi="宋体" w:cs="宋体"/>
          <w:sz w:val="28"/>
          <w:szCs w:val="28"/>
        </w:rPr>
        <w:t>的违约金。</w:t>
      </w:r>
    </w:p>
    <w:p w14:paraId="2927B210">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十、合同纠纷处理</w:t>
      </w:r>
    </w:p>
    <w:p w14:paraId="6E6AC087">
      <w:pPr>
        <w:tabs>
          <w:tab w:val="left" w:pos="1980"/>
        </w:tabs>
        <w:snapToGrid w:val="0"/>
        <w:spacing w:before="19" w:line="500" w:lineRule="exact"/>
        <w:ind w:firstLine="548" w:firstLineChars="196"/>
        <w:rPr>
          <w:rFonts w:ascii="宋体" w:hAns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种方式解决：</w:t>
      </w:r>
    </w:p>
    <w:p w14:paraId="3CE5973D">
      <w:pPr>
        <w:numPr>
          <w:ilvl w:val="0"/>
          <w:numId w:val="1"/>
        </w:numPr>
        <w:spacing w:line="360" w:lineRule="auto"/>
        <w:ind w:firstLine="560" w:firstLineChars="200"/>
        <w:jc w:val="left"/>
        <w:rPr>
          <w:rFonts w:ascii="宋体" w:hAnsi="宋体" w:cs="宋体"/>
          <w:sz w:val="28"/>
          <w:szCs w:val="28"/>
        </w:rPr>
      </w:pPr>
      <w:r>
        <w:rPr>
          <w:rFonts w:hint="eastAsia" w:ascii="宋体" w:hAnsi="宋体" w:cs="宋体"/>
          <w:sz w:val="28"/>
          <w:szCs w:val="28"/>
        </w:rPr>
        <w:t>将争议提交</w:t>
      </w:r>
      <w:r>
        <w:rPr>
          <w:rFonts w:hint="eastAsia" w:ascii="宋体" w:hAnsi="宋体" w:cs="宋体"/>
          <w:sz w:val="28"/>
          <w:szCs w:val="28"/>
          <w:u w:val="single"/>
        </w:rPr>
        <w:t xml:space="preserve">              </w:t>
      </w:r>
      <w:r>
        <w:rPr>
          <w:rFonts w:hint="eastAsia" w:ascii="宋体" w:hAnsi="宋体" w:cs="宋体"/>
          <w:sz w:val="28"/>
          <w:szCs w:val="28"/>
        </w:rPr>
        <w:t>仲裁委员会依申请仲裁时其现行有效的仲裁规则裁决；</w:t>
      </w:r>
    </w:p>
    <w:p w14:paraId="36C0AF28">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rPr>
        <w:t>（2） 向</w:t>
      </w:r>
      <w:r>
        <w:rPr>
          <w:rFonts w:hint="eastAsia" w:ascii="宋体" w:hAnsi="宋体" w:cs="宋体"/>
          <w:sz w:val="28"/>
          <w:szCs w:val="28"/>
          <w:u w:val="single"/>
        </w:rPr>
        <w:t xml:space="preserve">   （被告住所地、合同履行地、合同签订地、原告住所地、标的物所在地等与争议有实际联系的地点中选出的人民法院名称）    </w:t>
      </w:r>
      <w:r>
        <w:rPr>
          <w:rFonts w:hint="eastAsia" w:ascii="宋体" w:hAnsi="宋体" w:cs="宋体"/>
          <w:sz w:val="28"/>
          <w:szCs w:val="28"/>
        </w:rPr>
        <w:t>人民法院起诉。</w:t>
      </w:r>
    </w:p>
    <w:p w14:paraId="19529D8F">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十</w:t>
      </w:r>
      <w:r>
        <w:rPr>
          <w:rFonts w:hint="eastAsia" w:ascii="宋体" w:hAnsi="宋体" w:cs="宋体"/>
          <w:b/>
          <w:sz w:val="28"/>
          <w:szCs w:val="28"/>
          <w:lang w:eastAsia="zh-CN"/>
        </w:rPr>
        <w:t>一</w:t>
      </w:r>
      <w:r>
        <w:rPr>
          <w:rFonts w:hint="eastAsia" w:ascii="宋体" w:hAnsi="宋体" w:cs="宋体"/>
          <w:b/>
          <w:sz w:val="28"/>
          <w:szCs w:val="28"/>
        </w:rPr>
        <w:t>、政府采购合同生效</w:t>
      </w:r>
    </w:p>
    <w:p w14:paraId="4D21F95D">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本政府采购合同经甲乙双方授权代表签字盖章后生效。</w:t>
      </w:r>
    </w:p>
    <w:p w14:paraId="67C813F6">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w:t>
      </w:r>
      <w:bookmarkStart w:id="0" w:name="_GoBack"/>
      <w:bookmarkEnd w:id="0"/>
      <w:r>
        <w:rPr>
          <w:rFonts w:hint="eastAsia" w:ascii="宋体" w:hAnsi="宋体" w:cs="宋体"/>
          <w:sz w:val="28"/>
          <w:szCs w:val="28"/>
        </w:rPr>
        <w:t>甲方一份、乙方一份、海南省政府采购中心一份。</w:t>
      </w:r>
    </w:p>
    <w:p w14:paraId="39DB27AC">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十</w:t>
      </w:r>
      <w:r>
        <w:rPr>
          <w:rFonts w:hint="eastAsia" w:ascii="宋体" w:hAnsi="宋体" w:cs="宋体"/>
          <w:b/>
          <w:sz w:val="28"/>
          <w:szCs w:val="28"/>
          <w:lang w:eastAsia="zh-CN"/>
        </w:rPr>
        <w:t>二</w:t>
      </w:r>
      <w:r>
        <w:rPr>
          <w:rFonts w:hint="eastAsia" w:ascii="宋体" w:hAnsi="宋体" w:cs="宋体"/>
          <w:b/>
          <w:sz w:val="28"/>
          <w:szCs w:val="28"/>
        </w:rPr>
        <w:t>、其他</w:t>
      </w:r>
    </w:p>
    <w:p w14:paraId="1A55018F">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本合同未尽事宜，双方可以增加条款或补充协议的形式加以补充，但增加或补充协议的条款不得对磋商文件和响应文件约定的内容作实质性修改。补充协议与本合同具有相同的法律效力。</w:t>
      </w:r>
    </w:p>
    <w:p w14:paraId="385A5D3B">
      <w:pPr>
        <w:autoSpaceDE w:val="0"/>
        <w:autoSpaceDN w:val="0"/>
        <w:adjustRightInd w:val="0"/>
        <w:spacing w:line="360" w:lineRule="auto"/>
        <w:ind w:firstLine="700" w:firstLineChars="250"/>
        <w:jc w:val="left"/>
        <w:rPr>
          <w:rFonts w:ascii="宋体" w:hAnsi="宋体" w:cs="宋体"/>
          <w:sz w:val="28"/>
          <w:szCs w:val="28"/>
        </w:rPr>
      </w:pPr>
    </w:p>
    <w:p w14:paraId="4A5CDDEC">
      <w:pPr>
        <w:autoSpaceDE w:val="0"/>
        <w:autoSpaceDN w:val="0"/>
        <w:adjustRightInd w:val="0"/>
        <w:spacing w:line="360" w:lineRule="auto"/>
        <w:ind w:firstLine="700" w:firstLineChars="250"/>
        <w:jc w:val="left"/>
        <w:rPr>
          <w:rFonts w:ascii="宋体" w:hAnsi="宋体" w:cs="宋体"/>
          <w:sz w:val="28"/>
          <w:szCs w:val="28"/>
        </w:rPr>
      </w:pPr>
      <w:r>
        <w:rPr>
          <w:rFonts w:hint="eastAsia" w:ascii="宋体" w:hAnsi="宋体" w:cs="宋体"/>
          <w:sz w:val="28"/>
          <w:szCs w:val="28"/>
        </w:rPr>
        <w:t>附件：成交通知书。</w:t>
      </w:r>
    </w:p>
    <w:p w14:paraId="1B22D61C">
      <w:pPr>
        <w:spacing w:line="360" w:lineRule="auto"/>
        <w:ind w:firstLine="560" w:firstLineChars="200"/>
        <w:rPr>
          <w:rFonts w:ascii="宋体" w:hAnsi="宋体" w:cs="宋体"/>
          <w:sz w:val="28"/>
          <w:szCs w:val="28"/>
        </w:rPr>
      </w:pPr>
    </w:p>
    <w:p w14:paraId="5535EC4B">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14:paraId="4A0F1856">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14:paraId="532BA1DF">
      <w:pPr>
        <w:snapToGrid w:val="0"/>
        <w:ind w:firstLine="518" w:firstLineChars="185"/>
        <w:rPr>
          <w:rFonts w:ascii="宋体" w:hAnsi="宋体" w:cs="宋体"/>
          <w:sz w:val="28"/>
          <w:szCs w:val="28"/>
        </w:rPr>
      </w:pPr>
      <w:r>
        <w:rPr>
          <w:rFonts w:hint="eastAsia" w:ascii="宋体" w:hAnsi="宋体" w:cs="宋体"/>
          <w:sz w:val="28"/>
          <w:szCs w:val="28"/>
        </w:rPr>
        <w:t>法定代表人                           法定代表人</w:t>
      </w:r>
    </w:p>
    <w:p w14:paraId="632924C0">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14:paraId="3F8E5E3E">
      <w:pPr>
        <w:snapToGrid w:val="0"/>
        <w:ind w:firstLine="518" w:firstLineChars="185"/>
        <w:rPr>
          <w:rFonts w:ascii="宋体" w:hAnsi="宋体" w:cs="宋体"/>
          <w:sz w:val="28"/>
          <w:szCs w:val="28"/>
        </w:rPr>
      </w:pPr>
      <w:r>
        <w:rPr>
          <w:rFonts w:hint="eastAsia" w:ascii="宋体" w:hAnsi="宋体" w:cs="宋体"/>
          <w:sz w:val="28"/>
          <w:szCs w:val="28"/>
        </w:rPr>
        <w:t>联系人：                             联系人：</w:t>
      </w:r>
    </w:p>
    <w:p w14:paraId="154DC73F">
      <w:pPr>
        <w:snapToGrid w:val="0"/>
        <w:ind w:firstLine="518" w:firstLineChars="185"/>
        <w:rPr>
          <w:rFonts w:ascii="宋体" w:hAnsi="宋体" w:cs="宋体"/>
          <w:sz w:val="28"/>
          <w:szCs w:val="28"/>
        </w:rPr>
      </w:pPr>
      <w:r>
        <w:rPr>
          <w:rFonts w:hint="eastAsia" w:ascii="宋体" w:hAnsi="宋体" w:cs="宋体"/>
          <w:sz w:val="28"/>
          <w:szCs w:val="28"/>
        </w:rPr>
        <w:t>电话：                               电话：</w:t>
      </w:r>
    </w:p>
    <w:p w14:paraId="0051A56A">
      <w:pPr>
        <w:snapToGrid w:val="0"/>
        <w:ind w:firstLine="518" w:firstLineChars="185"/>
        <w:rPr>
          <w:rFonts w:ascii="宋体" w:hAnsi="宋体" w:cs="宋体"/>
          <w:sz w:val="28"/>
          <w:szCs w:val="28"/>
          <w:lang w:val="zh-CN"/>
        </w:rPr>
      </w:pPr>
      <w:r>
        <w:rPr>
          <w:rFonts w:hint="eastAsia" w:ascii="宋体" w:hAnsi="宋体" w:cs="宋体"/>
          <w:sz w:val="28"/>
          <w:szCs w:val="28"/>
          <w:lang w:val="zh-CN"/>
        </w:rPr>
        <w:t>传真:                                传真:</w:t>
      </w:r>
    </w:p>
    <w:p w14:paraId="47439E18">
      <w:pPr>
        <w:snapToGrid w:val="0"/>
        <w:ind w:firstLine="518" w:firstLineChars="185"/>
        <w:rPr>
          <w:rFonts w:ascii="宋体" w:hAnsi="宋体" w:cs="宋体"/>
          <w:sz w:val="28"/>
          <w:szCs w:val="28"/>
        </w:rPr>
      </w:pPr>
      <w:r>
        <w:rPr>
          <w:rFonts w:hint="eastAsia" w:ascii="宋体" w:hAnsi="宋体" w:cs="宋体"/>
          <w:sz w:val="28"/>
          <w:szCs w:val="28"/>
          <w:lang w:val="zh-CN"/>
        </w:rPr>
        <w:t>电子邮箱：                           电子邮箱：</w:t>
      </w:r>
    </w:p>
    <w:p w14:paraId="710C0E72">
      <w:pPr>
        <w:snapToGrid w:val="0"/>
        <w:ind w:firstLine="518" w:firstLineChars="185"/>
        <w:rPr>
          <w:rFonts w:ascii="宋体" w:hAnsi="宋体" w:cs="宋体"/>
          <w:sz w:val="28"/>
          <w:szCs w:val="28"/>
        </w:rPr>
      </w:pPr>
      <w:r>
        <w:rPr>
          <w:rFonts w:hint="eastAsia" w:ascii="宋体" w:hAnsi="宋体" w:cs="宋体"/>
          <w:sz w:val="28"/>
          <w:szCs w:val="28"/>
        </w:rPr>
        <w:t xml:space="preserve">开户银行：                           开户银行： </w:t>
      </w:r>
    </w:p>
    <w:p w14:paraId="3FE5C538">
      <w:pPr>
        <w:snapToGrid w:val="0"/>
        <w:ind w:firstLine="518" w:firstLineChars="185"/>
        <w:rPr>
          <w:rFonts w:ascii="宋体" w:hAnsi="宋体" w:cs="宋体"/>
          <w:sz w:val="28"/>
          <w:szCs w:val="28"/>
        </w:rPr>
      </w:pPr>
      <w:r>
        <w:rPr>
          <w:rFonts w:hint="eastAsia" w:ascii="宋体" w:hAnsi="宋体" w:cs="宋体"/>
          <w:sz w:val="28"/>
          <w:szCs w:val="28"/>
        </w:rPr>
        <w:t xml:space="preserve">开户名称：                           开户名称： </w:t>
      </w:r>
    </w:p>
    <w:p w14:paraId="0F64D102">
      <w:pPr>
        <w:snapToGrid w:val="0"/>
        <w:ind w:firstLine="518" w:firstLineChars="185"/>
        <w:rPr>
          <w:rFonts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p w14:paraId="0B010411">
      <w:pPr>
        <w:snapToGrid w:val="0"/>
        <w:spacing w:before="19"/>
        <w:ind w:firstLine="1120" w:firstLineChars="400"/>
        <w:rPr>
          <w:rFonts w:ascii="宋体" w:hAnsi="宋体" w:cs="宋体"/>
          <w:sz w:val="28"/>
          <w:szCs w:val="28"/>
        </w:rPr>
      </w:pPr>
    </w:p>
    <w:p w14:paraId="02B93490">
      <w:pPr>
        <w:spacing w:before="120" w:beforeLines="50" w:line="360" w:lineRule="auto"/>
        <w:ind w:firstLine="560" w:firstLineChars="200"/>
        <w:jc w:val="left"/>
        <w:outlineLvl w:val="0"/>
        <w:rPr>
          <w:rFonts w:ascii="宋体" w:hAnsi="宋体" w:cs="宋体"/>
          <w:sz w:val="28"/>
          <w:szCs w:val="28"/>
        </w:rPr>
      </w:pPr>
    </w:p>
    <w:p w14:paraId="32B8D8B6">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合同鉴证：</w:t>
      </w:r>
    </w:p>
    <w:p w14:paraId="50CCD661">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政府集中采购机构：</w:t>
      </w:r>
      <w:r>
        <w:rPr>
          <w:rFonts w:hint="eastAsia" w:ascii="宋体" w:hAnsi="宋体" w:cs="宋体"/>
          <w:sz w:val="28"/>
          <w:szCs w:val="28"/>
          <w:u w:val="single"/>
        </w:rPr>
        <w:t>海南省政府采购中心（盖章）</w:t>
      </w:r>
    </w:p>
    <w:p w14:paraId="742B3E05">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地  址：海口市国兴大道9号会展楼2楼</w:t>
      </w:r>
    </w:p>
    <w:p w14:paraId="35C2A072">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 xml:space="preserve">经办人：       </w:t>
      </w:r>
    </w:p>
    <w:p w14:paraId="37C4560F">
      <w:pPr>
        <w:spacing w:before="120" w:beforeLines="50" w:line="360" w:lineRule="auto"/>
        <w:ind w:firstLine="1120" w:firstLineChars="400"/>
        <w:jc w:val="left"/>
        <w:outlineLvl w:val="0"/>
        <w:rPr>
          <w:rFonts w:ascii="宋体" w:hAnsi="宋体" w:cs="宋体"/>
          <w:sz w:val="28"/>
          <w:szCs w:val="28"/>
        </w:rPr>
      </w:pPr>
      <w:r>
        <w:rPr>
          <w:rFonts w:hint="eastAsia" w:ascii="宋体" w:hAnsi="宋体" w:cs="宋体"/>
          <w:sz w:val="28"/>
          <w:szCs w:val="28"/>
        </w:rPr>
        <w:t>年   月    日</w:t>
      </w:r>
    </w:p>
    <w:p w14:paraId="1F295E3C">
      <w:pPr>
        <w:spacing w:before="120" w:beforeLines="50" w:line="360" w:lineRule="auto"/>
        <w:ind w:firstLine="560" w:firstLineChars="200"/>
        <w:jc w:val="left"/>
        <w:outlineLvl w:val="0"/>
        <w:rPr>
          <w:rFonts w:ascii="宋体" w:hAnsi="宋体" w:cs="宋体"/>
          <w:sz w:val="28"/>
          <w:szCs w:val="28"/>
        </w:rPr>
      </w:pPr>
    </w:p>
    <w:p w14:paraId="009173AD">
      <w:pPr>
        <w:spacing w:before="120" w:beforeLines="50" w:line="360" w:lineRule="auto"/>
        <w:ind w:firstLine="560" w:firstLineChars="200"/>
        <w:jc w:val="left"/>
        <w:outlineLvl w:val="0"/>
        <w:rPr>
          <w:rFonts w:ascii="宋体" w:hAnsi="宋体" w:cs="宋体"/>
          <w:sz w:val="28"/>
          <w:szCs w:val="28"/>
        </w:rPr>
        <w:sectPr>
          <w:pgSz w:w="11907" w:h="16840"/>
          <w:pgMar w:top="1440" w:right="1077" w:bottom="1440" w:left="1247" w:header="936" w:footer="992" w:gutter="0"/>
          <w:cols w:space="720" w:num="1"/>
          <w:titlePg/>
          <w:docGrid w:linePitch="312" w:charSpace="0"/>
        </w:sectPr>
      </w:pPr>
    </w:p>
    <w:p w14:paraId="37F420AA">
      <w:pPr>
        <w:pStyle w:val="2"/>
        <w:adjustRightInd w:val="0"/>
        <w:snapToGrid w:val="0"/>
        <w:spacing w:line="360" w:lineRule="auto"/>
        <w:rPr>
          <w:rFonts w:ascii="宋体" w:hAnsi="宋体" w:cs="宋体"/>
          <w:sz w:val="32"/>
          <w:szCs w:val="32"/>
        </w:rPr>
      </w:pPr>
      <w:r>
        <w:rPr>
          <w:rFonts w:hint="eastAsia" w:ascii="宋体" w:hAnsi="宋体" w:cs="宋体"/>
          <w:sz w:val="32"/>
          <w:szCs w:val="32"/>
        </w:rPr>
        <w:t>合同通用条款</w:t>
      </w:r>
    </w:p>
    <w:p w14:paraId="3CC3C535">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1．定义</w:t>
      </w:r>
    </w:p>
    <w:p w14:paraId="1BAAB08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本合同下列术语应解释为：</w:t>
      </w:r>
    </w:p>
    <w:p w14:paraId="20D4A0D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（l）“合同”系指甲方和乙方（以下简称合同双方）签署的、合同格式中列明的合同双方所达成的协议，包括所有的附件、附录和构成合同的所有文件。</w:t>
      </w:r>
    </w:p>
    <w:p w14:paraId="41F558F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（2）“合同价”系指根据合同规定，乙方在完全履行合同义务后甲方应付给乙方的价格。</w:t>
      </w:r>
    </w:p>
    <w:p w14:paraId="1867BF8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（3）“货物（含软件及相关服务）”系指乙方按合同要求，须向甲方提供的一切设备、机械、仪器、备件、工具、技术及手册等有关资料。“工程”系指按合同要求进行施工。</w:t>
      </w:r>
    </w:p>
    <w:p w14:paraId="10D03B79">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（4）“服务”系指根据合同规定乙方承担与供货有关的所有辅助服务，如运输、保险以及其它的服务，如安装、调试、提供技术援助、培训及其他类似的义务。</w:t>
      </w:r>
    </w:p>
    <w:p w14:paraId="10BDA85D">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（5）“甲方”系指购买货物（含软件及相关服务）的单位。</w:t>
      </w:r>
    </w:p>
    <w:p w14:paraId="72D413BE">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（6）“乙方”系指根据合同规定提供货物（含软件及相关服务）和服务的制造商或代理商。</w:t>
      </w:r>
    </w:p>
    <w:p w14:paraId="4F4B32D5">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（7）“现场”系指将要进行货物（含软件及相关服务）安装和调试的地点。</w:t>
      </w:r>
    </w:p>
    <w:p w14:paraId="0D4C12F1">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2．技术规范</w:t>
      </w:r>
    </w:p>
    <w:p w14:paraId="02F81C4E">
      <w:pPr>
        <w:keepNext/>
        <w:autoSpaceDE w:val="0"/>
        <w:autoSpaceDN w:val="0"/>
        <w:adjustRightInd w:val="0"/>
        <w:snapToGrid w:val="0"/>
        <w:spacing w:line="360" w:lineRule="auto"/>
        <w:ind w:firstLine="548" w:firstLineChars="196"/>
        <w:rPr>
          <w:rFonts w:ascii="宋体" w:hAnsi="宋体" w:cs="宋体"/>
          <w:b/>
          <w:sz w:val="28"/>
          <w:szCs w:val="28"/>
        </w:rPr>
      </w:pPr>
      <w:r>
        <w:rPr>
          <w:rFonts w:hint="eastAsia" w:ascii="宋体" w:hAnsi="宋体" w:cs="宋体"/>
          <w:sz w:val="28"/>
          <w:szCs w:val="28"/>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4AF21306">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3．专利权</w:t>
      </w:r>
    </w:p>
    <w:p w14:paraId="50B9286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D1E682C">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4．包装要求</w:t>
      </w:r>
    </w:p>
    <w:p w14:paraId="3015B90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9F8F2F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4.2 每件包装箱内应附一份详细装箱单和质量合格证。</w:t>
      </w:r>
    </w:p>
    <w:p w14:paraId="6B465FC8">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5．装运标志</w:t>
      </w:r>
    </w:p>
    <w:p w14:paraId="1ED2255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5.1 乙方应在每一包装箱邻接的四侧用不褪色的油漆以醒目的中文字样做出下列标记：</w:t>
      </w:r>
    </w:p>
    <w:p w14:paraId="7FAF2BC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（l）收货人</w:t>
      </w:r>
    </w:p>
    <w:p w14:paraId="56A0545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（2）合同号</w:t>
      </w:r>
    </w:p>
    <w:p w14:paraId="69C471F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（3）装运标志</w:t>
      </w:r>
    </w:p>
    <w:p w14:paraId="549AD0D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（4）收货人代号</w:t>
      </w:r>
    </w:p>
    <w:p w14:paraId="0999040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（5）目的地</w:t>
      </w:r>
    </w:p>
    <w:p w14:paraId="24B0A27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（6）货物（含软件及相关服务）名称、品目号和箱号</w:t>
      </w:r>
    </w:p>
    <w:p w14:paraId="71187A8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（7）毛重／净重</w:t>
      </w:r>
    </w:p>
    <w:p w14:paraId="7A853F3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（8）尺寸（长X宽X高，以厘米计）</w:t>
      </w:r>
    </w:p>
    <w:p w14:paraId="0FBF4F2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5342160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5.3因缺少装运标志或者装运标志不明确导致货物在运输、装卸过程中产生的损失，乙方应承担相应的过错责任。</w:t>
      </w:r>
    </w:p>
    <w:p w14:paraId="0513BD38">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6．交货方式</w:t>
      </w:r>
    </w:p>
    <w:p w14:paraId="260CA6B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 交货方式一般为下列其中一种，具体在合同专用条款中规定。</w:t>
      </w:r>
    </w:p>
    <w:p w14:paraId="0A827A4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6.1.1 现场交货：乙方负责办理运输和保险，将货物（含软件及相关服务）运抵现场。有关运输和保险的一切费用由乙方承担。所有货物（含软件及相关服务）运抵现扬的日期为交货日期。</w:t>
      </w:r>
    </w:p>
    <w:p w14:paraId="6003706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6.1.2 工厂交货：由乙方负责办理运输和保险事宜。运输费和保险费由甲方承担。运输部门出具收据的日期为交货日期。</w:t>
      </w:r>
    </w:p>
    <w:p w14:paraId="3DADB8E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6.1.3 甲方自提货物（含软件及相关服务）：由甲方在合同规定地点自行办理提货。提单日期为交货日期。</w:t>
      </w:r>
    </w:p>
    <w:p w14:paraId="2F971A7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21E4C31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6.3 在现场交货和工厂交货条件下，乙方装运的货物（含软件及相关服务）不应超过合同规定的数量或重量。否则，乙方应对超运部分的数量或重量而引起的一切后果负责。</w:t>
      </w:r>
    </w:p>
    <w:p w14:paraId="27CA0E2A">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7．装运通知</w:t>
      </w:r>
    </w:p>
    <w:p w14:paraId="6A7FCA8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218A3BE4">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8．保险</w:t>
      </w:r>
    </w:p>
    <w:p w14:paraId="3831F6E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1E9FA774">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9．付款方式</w:t>
      </w:r>
    </w:p>
    <w:p w14:paraId="4210C4DE">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付款方式见合同专用条款。</w:t>
      </w:r>
    </w:p>
    <w:p w14:paraId="108EBCD6">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10．技术资料</w:t>
      </w:r>
    </w:p>
    <w:p w14:paraId="74F538E6">
      <w:pPr>
        <w:keepNext/>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 xml:space="preserve">   合同项下技术资料（除合同专用条款规定外）将以下列方式交付：</w:t>
      </w:r>
    </w:p>
    <w:p w14:paraId="6B6B0E3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10.1 合同生效后60天之内，乙方应将每台设备和仪器的中文技术资料一套，如目录索引、图纸、操作手册、使用指南、维修指南和服务手册等交给甲方。</w:t>
      </w:r>
    </w:p>
    <w:p w14:paraId="45F1860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10.2 另外一套完整的上述资料应包装好随每批货物（含软件及相关服务）一起发运。</w:t>
      </w:r>
    </w:p>
    <w:p w14:paraId="7FCAFB4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10.3 如果甲方确认乙方提供的技术资料不完整或在运输过程中丢失，乙方将在收到甲方通知后3天内将这些资料免费交给甲方。</w:t>
      </w:r>
    </w:p>
    <w:p w14:paraId="48361047">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11．质量保证</w:t>
      </w:r>
    </w:p>
    <w:p w14:paraId="316BF7C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0514E82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258138E5">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11.3 乙方在收到通知后三十天内应免费维修或更换有缺陷的货物（含软件及相关服务）或部件，并无偿为甲方提供替代产品。</w:t>
      </w:r>
    </w:p>
    <w:p w14:paraId="605816E4">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11.4 如果乙方在收到通知后三十天内没有弥补缺陷，甲方可采取必要的补救措施，但风险和费用将由乙方承担。</w:t>
      </w:r>
    </w:p>
    <w:p w14:paraId="5A8A09DE">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11.5 除合同专用条款规定外，合同项下货物（含软件及相关服务）的质量保证期为自货物（含软件及相关服务）通过最终验收起12个月。</w:t>
      </w:r>
    </w:p>
    <w:p w14:paraId="216F2F3D">
      <w:pPr>
        <w:keepNext/>
        <w:autoSpaceDE w:val="0"/>
        <w:autoSpaceDN w:val="0"/>
        <w:adjustRightInd w:val="0"/>
        <w:snapToGrid w:val="0"/>
        <w:spacing w:line="360" w:lineRule="auto"/>
        <w:ind w:firstLine="560" w:firstLineChars="200"/>
        <w:rPr>
          <w:rFonts w:ascii="宋体" w:hAnsi="宋体" w:cs="宋体"/>
          <w:sz w:val="28"/>
          <w:szCs w:val="28"/>
          <w:u w:val="single"/>
        </w:rPr>
      </w:pPr>
    </w:p>
    <w:p w14:paraId="60319DDF">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12.检验及安装</w:t>
      </w:r>
    </w:p>
    <w:p w14:paraId="79D1354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2B3E9E6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供应商负责，除责任由保险公司或运输部门承担的之外，同时甲方有权单方终止执行合同。</w:t>
      </w:r>
    </w:p>
    <w:p w14:paraId="7927831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7416A99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12.4 甲方有权提出在货物（含软件及相关服务）制造过程中派人到制造厂进行监造，乙方有义务为甲方监造人员提乙方便。</w:t>
      </w:r>
    </w:p>
    <w:p w14:paraId="4D4902A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12.5 制造厂对所供货物（含软件及相关服务）进行机械运转试验和性能试验时，必须提前通知甲方。</w:t>
      </w:r>
    </w:p>
    <w:p w14:paraId="627BD83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12.6 货物（含软件及相关服务）的安装按采购文件要求进行。</w:t>
      </w:r>
    </w:p>
    <w:p w14:paraId="12B0BA8C">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13．索赔</w:t>
      </w:r>
    </w:p>
    <w:p w14:paraId="026AA59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13.1 除责任应由保险公司或运输部门承担的之外，甲方有权根据甲方按检验标准自己检验的结果或当地商检部门出具的商检证书向乙方提出索赔。</w:t>
      </w:r>
    </w:p>
    <w:p w14:paraId="3267F70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13.2 在第 11条和第 12条规定的检验期和质量保证期内，如果乙方对甲方提出的索赔和差异负有责任，乙方应按照甲方同意的下列一种或多种方式解决索赔事宜：</w:t>
      </w:r>
    </w:p>
    <w:p w14:paraId="723BCD0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26D486AB">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（2）根据货物（含软件及相关服务）的低劣程度、损坏程度以及甲方遭受损失的数额，经买卖双方商定降低货物（含软件及相关服务）的价格。</w:t>
      </w:r>
    </w:p>
    <w:p w14:paraId="549E19F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2BDD68F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416DA3C5">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14．拖延交货</w:t>
      </w:r>
    </w:p>
    <w:p w14:paraId="6615837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14.l 乙方应按照合同专用条款中规定的交货期交货和提供服务。</w:t>
      </w:r>
    </w:p>
    <w:p w14:paraId="678B46D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14.2 如果乙方毫无理由地拖延交货达1个月以上的，将受到以下制裁：没收履约保证金，加收违约损失赔偿和／或终止合同。</w:t>
      </w:r>
    </w:p>
    <w:p w14:paraId="1C88E93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4CC2B8C2">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15．违约赔偿</w:t>
      </w:r>
    </w:p>
    <w:p w14:paraId="7249F06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3DEC58F9">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16．不可抗力</w:t>
      </w:r>
    </w:p>
    <w:p w14:paraId="5EEA292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3DEE4CC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374B71CC">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17．税费</w:t>
      </w:r>
    </w:p>
    <w:p w14:paraId="00C3335D">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17.l 中国政府根据现行税法对甲方征收的与本合同有关的一切税费均由甲方承担。</w:t>
      </w:r>
    </w:p>
    <w:p w14:paraId="55ECCC01">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17.2 中国政府根据现行税法对乙方征收的与本合同有关的一切税费均由乙方承担。</w:t>
      </w:r>
    </w:p>
    <w:p w14:paraId="359C55D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17.3 在中国境外发生的与执行本合同有关的一切税费均由乙方承担。</w:t>
      </w:r>
    </w:p>
    <w:p w14:paraId="6A76B48B">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18．仲裁</w:t>
      </w:r>
    </w:p>
    <w:p w14:paraId="3F90A02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18.l 买卖双方应通过友好协商，解决在执行本合同中所发生的或与本合同有关的一切争端，如果协商仍得不到解决，任何一方均可按“中华人民共和国民法典”规定提交调解和仲裁。</w:t>
      </w:r>
    </w:p>
    <w:p w14:paraId="2056793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18.2 仲裁裁决应为终局裁决，对双方均具有约束力。</w:t>
      </w:r>
    </w:p>
    <w:p w14:paraId="692188BF">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18.3 仲裁费除仲裁机构另有裁决外应由败诉方负担。</w:t>
      </w:r>
    </w:p>
    <w:p w14:paraId="1FB2731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18.4 在仲裁期间，除正在进行仲裁的部分外，合同其它部分继续执行。</w:t>
      </w:r>
    </w:p>
    <w:p w14:paraId="74343175">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19．违约终止合同</w:t>
      </w:r>
    </w:p>
    <w:p w14:paraId="126EF14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A017EF9">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（l）如果乙方未能在合同规定的期限或甲方同意延期的限期内提供全部或部分货物（含软件及相关服务）；</w:t>
      </w:r>
    </w:p>
    <w:p w14:paraId="26B889DA">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（2）如果乙方未能履行合同规定的其它义务。</w:t>
      </w:r>
    </w:p>
    <w:p w14:paraId="1DF68170">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AC768EE">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20．破产终止合同</w:t>
      </w:r>
    </w:p>
    <w:p w14:paraId="686E26D3">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如果乙方破产或无清偿能力，甲方可在任何时候以书面通知乙方终止合同，该终止合同以不损害或影响甲方已经采取或将采取补救措施的权利。</w:t>
      </w:r>
    </w:p>
    <w:p w14:paraId="2684B33B">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21．转让与分包</w:t>
      </w:r>
    </w:p>
    <w:p w14:paraId="629D9B18">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21.1 未经甲方事先书面同意，乙方不得部分转让或全部转让其应履行的合同义务。</w:t>
      </w:r>
    </w:p>
    <w:p w14:paraId="099069AC">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21.2 对投标中没有明确分包的合同，乙方应书面通知甲方本合同中将分包的全部分包合同，在原投标/响应文件中或后来发出的分包通知均不能解除乙方履行本合同的义务。</w:t>
      </w:r>
    </w:p>
    <w:p w14:paraId="5A0E8996">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22．适用法律</w:t>
      </w:r>
    </w:p>
    <w:p w14:paraId="19E076F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本合同应按中华人民共和国的法律进行解释。</w:t>
      </w:r>
    </w:p>
    <w:p w14:paraId="63C212F9">
      <w:pPr>
        <w:pStyle w:val="3"/>
        <w:keepLines w:val="0"/>
        <w:autoSpaceDE w:val="0"/>
        <w:autoSpaceDN w:val="0"/>
        <w:adjustRightInd w:val="0"/>
        <w:snapToGrid w:val="0"/>
        <w:spacing w:line="360" w:lineRule="auto"/>
        <w:rPr>
          <w:rFonts w:ascii="宋体" w:hAnsi="宋体" w:cs="宋体"/>
          <w:sz w:val="28"/>
          <w:szCs w:val="28"/>
        </w:rPr>
      </w:pPr>
      <w:r>
        <w:rPr>
          <w:rFonts w:hint="eastAsia" w:ascii="宋体" w:hAnsi="宋体" w:cs="宋体"/>
          <w:sz w:val="28"/>
          <w:szCs w:val="28"/>
        </w:rPr>
        <w:t>23．合同生效及其它</w:t>
      </w:r>
    </w:p>
    <w:p w14:paraId="0DE2C547">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23.1 合同在双方签字盖章后生效。</w:t>
      </w:r>
    </w:p>
    <w:p w14:paraId="4CD958F2">
      <w:pPr>
        <w:keepNext/>
        <w:autoSpaceDE w:val="0"/>
        <w:autoSpaceDN w:val="0"/>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23.2 如需修改或补充合同内容，经协商，双方应签署书面修改或补充协议并经采购单位鉴证，该协议将作为本合同的一个组成部分。</w:t>
      </w:r>
    </w:p>
    <w:p w14:paraId="3FE1FC3A">
      <w:pPr>
        <w:keepNext/>
        <w:autoSpaceDE w:val="0"/>
        <w:autoSpaceDN w:val="0"/>
        <w:adjustRightInd w:val="0"/>
        <w:snapToGrid w:val="0"/>
        <w:spacing w:line="360" w:lineRule="auto"/>
        <w:rPr>
          <w:rFonts w:ascii="宋体" w:hAnsi="宋体" w:cs="宋体"/>
          <w:b/>
          <w:sz w:val="28"/>
          <w:szCs w:val="28"/>
        </w:rPr>
      </w:pPr>
    </w:p>
    <w:p w14:paraId="0B4164F8">
      <w:pPr>
        <w:keepNext/>
        <w:autoSpaceDE w:val="0"/>
        <w:autoSpaceDN w:val="0"/>
        <w:adjustRightInd w:val="0"/>
        <w:snapToGrid w:val="0"/>
        <w:spacing w:line="360" w:lineRule="auto"/>
        <w:rPr>
          <w:rFonts w:ascii="宋体" w:hAnsi="宋体" w:cs="宋体"/>
          <w:dstrike/>
          <w:sz w:val="28"/>
          <w:szCs w:val="28"/>
        </w:rPr>
      </w:pPr>
    </w:p>
    <w:p w14:paraId="07657B93">
      <w:pPr>
        <w:keepNext/>
        <w:autoSpaceDE w:val="0"/>
        <w:autoSpaceDN w:val="0"/>
        <w:adjustRightInd w:val="0"/>
        <w:snapToGrid w:val="0"/>
        <w:spacing w:line="360" w:lineRule="auto"/>
        <w:rPr>
          <w:rFonts w:ascii="宋体" w:hAnsi="宋体" w:cs="宋体"/>
          <w:b/>
          <w:sz w:val="28"/>
          <w:szCs w:val="28"/>
        </w:rPr>
      </w:pPr>
      <w:r>
        <w:rPr>
          <w:rFonts w:hint="eastAsia" w:ascii="宋体" w:hAnsi="宋体" w:cs="宋体"/>
          <w:b/>
          <w:sz w:val="28"/>
          <w:szCs w:val="28"/>
        </w:rPr>
        <w:t>备注：合同通用条款与合同专用条款不一致的，以合同专用条款为准。</w:t>
      </w:r>
    </w:p>
    <w:p w14:paraId="446366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822CA"/>
    <w:rsid w:val="18B8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jc w:val="center"/>
      <w:outlineLvl w:val="0"/>
    </w:pPr>
    <w:rPr>
      <w:b/>
      <w:bCs/>
      <w:sz w:val="30"/>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2025-06-05T00:53:00Z</dcterms:created>
  <dc:creator>AOC</dc:creator>
  <cp:lastModifiedBy>AOC</cp:lastModifiedBy>
  <dcterms:modified xsi:type="dcterms:W3CDTF">2025-06-05T00:58:15Z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C27AC6711E944DB9960300B6C9FFB857_11</vt:lpwstr>
  </property>
</Properties>
</file>