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2025年度骨科医疗设备采购项目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HNYY2025-011-1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海南耀悦项目管理有限公司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海南耀悦项目管理有限公司</w:t>
      </w:r>
      <w:r>
        <w:rPr>
          <w:rFonts w:ascii="仿宋_GB2312" w:hAnsi="仿宋_GB2312" w:cs="仿宋_GB2312" w:eastAsia="仿宋_GB2312"/>
        </w:rPr>
        <w:t xml:space="preserve"> 对 </w:t>
      </w:r>
      <w:r>
        <w:rPr>
          <w:rFonts w:ascii="仿宋_GB2312" w:hAnsi="仿宋_GB2312" w:cs="仿宋_GB2312" w:eastAsia="仿宋_GB2312"/>
        </w:rPr>
        <w:t>2025年度骨科医疗设备采购项目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HNYY2025-011-1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2025年度骨科医疗设备采购项目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3,027,340.37元</w:t>
      </w:r>
      <w:r>
        <w:rPr>
          <w:rFonts w:ascii="仿宋_GB2312" w:hAnsi="仿宋_GB2312" w:cs="仿宋_GB2312" w:eastAsia="仿宋_GB2312"/>
        </w:rPr>
        <w:t>叁佰零贰万柒仟叁佰肆拾元零叁角柒分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合同签订生效之日起，进口设备90日内，国产设备30日内，完成交付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2、特定资格2：所投货物属于二、三类医疗器械产品的须具有医疗器械注册证、医疗器械生产许可证（进口设备除外），属于一类医疗器械产品的须具有产品备案登记凭证（提供证书扫描件加盖公章）。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3、特定资格3：如投标人所投产品为进口设备的，须提供完整的产品授权资料（提供相关资料并加盖公章）。</w:t>
      </w:r>
    </w:p>
    <w:p>
      <w:pPr>
        <w:pStyle w:val="null3"/>
        <w:jc w:val="left"/>
      </w:pPr>
      <w:r>
        <w:rPr>
          <w:rFonts w:ascii="仿宋_GB2312" w:hAnsi="仿宋_GB2312" w:cs="仿宋_GB2312" w:eastAsia="仿宋_GB2312"/>
        </w:rPr>
        <w:t>4、特定资格4：参加政府采购活动前三年内，无环保类行政处罚记录（提供声明函，格式自拟）。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海南耀悦项目管理有限公司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海南省海口市美兰区蓝天街道大英山西三街2号法苑里小区第四幢第一单元1801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0898-65330710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采购包1：3,027,340.37元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代理服务费收费标准：1、以《海南省物价局关于降低部分招标代理服务收费标准的通知》(琼价费管[2011]225号)标准 收取代理费用。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联系电话：0898-65330710</w:t>
      </w:r>
    </w:p>
    <w:p>
      <w:pPr>
        <w:pStyle w:val="null3"/>
        <w:jc w:val="left"/>
      </w:pPr>
      <w:r>
        <w:rPr>
          <w:rFonts w:ascii="仿宋_GB2312" w:hAnsi="仿宋_GB2312" w:cs="仿宋_GB2312" w:eastAsia="仿宋_GB2312"/>
        </w:rPr>
        <w:t>地址：海南省海口市美兰区蓝天街道大英山西三街2号法苑里小区第四幢第一单元1801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 xml:space="preserve">1、采购单位: </w:t>
      </w:r>
      <w:r>
        <w:rPr>
          <w:rFonts w:ascii="仿宋_GB2312" w:hAnsi="仿宋_GB2312" w:cs="仿宋_GB2312" w:eastAsia="仿宋_GB2312"/>
          <w:sz w:val="28"/>
        </w:rPr>
        <w:t>陵水黎族自治县中医院（陵水黎族自治县中医院医共体总院）</w:t>
      </w:r>
    </w:p>
    <w:p>
      <w:pPr>
        <w:pStyle w:val="null3"/>
        <w:ind w:firstLine="560"/>
        <w:jc w:val="both"/>
      </w:pPr>
      <w:r>
        <w:rPr>
          <w:rFonts w:ascii="仿宋_GB2312" w:hAnsi="仿宋_GB2312" w:cs="仿宋_GB2312" w:eastAsia="仿宋_GB2312"/>
          <w:sz w:val="28"/>
        </w:rPr>
        <w:t>2、项目名称：</w:t>
      </w:r>
      <w:r>
        <w:rPr>
          <w:rFonts w:ascii="仿宋_GB2312" w:hAnsi="仿宋_GB2312" w:cs="仿宋_GB2312" w:eastAsia="仿宋_GB2312"/>
        </w:rPr>
        <w:t xml:space="preserve"> </w:t>
      </w:r>
      <w:r>
        <w:rPr>
          <w:rFonts w:ascii="仿宋_GB2312" w:hAnsi="仿宋_GB2312" w:cs="仿宋_GB2312" w:eastAsia="仿宋_GB2312"/>
          <w:sz w:val="28"/>
        </w:rPr>
        <w:t>2025年度骨科医疗设备采购项目</w:t>
      </w:r>
    </w:p>
    <w:p>
      <w:pPr>
        <w:pStyle w:val="null3"/>
        <w:ind w:firstLine="560"/>
        <w:jc w:val="both"/>
      </w:pPr>
      <w:r>
        <w:rPr>
          <w:rFonts w:ascii="仿宋_GB2312" w:hAnsi="仿宋_GB2312" w:cs="仿宋_GB2312" w:eastAsia="仿宋_GB2312"/>
          <w:sz w:val="28"/>
        </w:rPr>
        <w:t>3、资金来源：财政资金</w:t>
      </w:r>
    </w:p>
    <w:p>
      <w:pPr>
        <w:pStyle w:val="null3"/>
        <w:ind w:firstLine="560"/>
        <w:jc w:val="both"/>
      </w:pPr>
      <w:r>
        <w:rPr>
          <w:rFonts w:ascii="仿宋_GB2312" w:hAnsi="仿宋_GB2312" w:cs="仿宋_GB2312" w:eastAsia="仿宋_GB2312"/>
          <w:sz w:val="28"/>
        </w:rPr>
        <w:t>4、采购预算：</w:t>
      </w:r>
      <w:r>
        <w:rPr>
          <w:rFonts w:ascii="仿宋_GB2312" w:hAnsi="仿宋_GB2312" w:cs="仿宋_GB2312" w:eastAsia="仿宋_GB2312"/>
        </w:rPr>
        <w:t xml:space="preserve"> </w:t>
      </w:r>
      <w:r>
        <w:rPr>
          <w:rFonts w:ascii="仿宋_GB2312" w:hAnsi="仿宋_GB2312" w:cs="仿宋_GB2312" w:eastAsia="仿宋_GB2312"/>
          <w:sz w:val="28"/>
        </w:rPr>
        <w:t>3027340.37</w:t>
      </w:r>
      <w:r>
        <w:rPr>
          <w:rFonts w:ascii="仿宋_GB2312" w:hAnsi="仿宋_GB2312" w:cs="仿宋_GB2312" w:eastAsia="仿宋_GB2312"/>
          <w:sz w:val="28"/>
        </w:rPr>
        <w:t>元</w:t>
      </w:r>
    </w:p>
    <w:p>
      <w:pPr>
        <w:pStyle w:val="null3"/>
        <w:ind w:firstLine="560"/>
        <w:jc w:val="both"/>
      </w:pPr>
      <w:r>
        <w:rPr>
          <w:rFonts w:ascii="仿宋_GB2312" w:hAnsi="仿宋_GB2312" w:cs="仿宋_GB2312" w:eastAsia="仿宋_GB2312"/>
          <w:sz w:val="28"/>
        </w:rPr>
        <w:t>5、最高限价：</w:t>
      </w:r>
      <w:r>
        <w:rPr>
          <w:rFonts w:ascii="仿宋_GB2312" w:hAnsi="仿宋_GB2312" w:cs="仿宋_GB2312" w:eastAsia="仿宋_GB2312"/>
        </w:rPr>
        <w:t xml:space="preserve"> </w:t>
      </w:r>
      <w:r>
        <w:rPr>
          <w:rFonts w:ascii="仿宋_GB2312" w:hAnsi="仿宋_GB2312" w:cs="仿宋_GB2312" w:eastAsia="仿宋_GB2312"/>
          <w:sz w:val="28"/>
        </w:rPr>
        <w:t>3027340.37</w:t>
      </w:r>
      <w:r>
        <w:rPr>
          <w:rFonts w:ascii="仿宋_GB2312" w:hAnsi="仿宋_GB2312" w:cs="仿宋_GB2312" w:eastAsia="仿宋_GB2312"/>
          <w:sz w:val="28"/>
        </w:rPr>
        <w:t>元</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注：超出采购预算金额（最高限价）的报价，按无效投标处理。</w:t>
      </w:r>
    </w:p>
    <w:p>
      <w:pPr>
        <w:pStyle w:val="null3"/>
        <w:ind w:firstLine="560"/>
        <w:jc w:val="both"/>
      </w:pPr>
      <w:r>
        <w:rPr>
          <w:rFonts w:ascii="仿宋_GB2312" w:hAnsi="仿宋_GB2312" w:cs="仿宋_GB2312" w:eastAsia="仿宋_GB2312"/>
          <w:sz w:val="28"/>
        </w:rPr>
        <w:t>6、用途：工作需要</w:t>
      </w:r>
    </w:p>
    <w:p>
      <w:pPr>
        <w:pStyle w:val="null3"/>
        <w:ind w:firstLine="560"/>
        <w:jc w:val="both"/>
      </w:pPr>
      <w:r>
        <w:rPr>
          <w:rFonts w:ascii="仿宋_GB2312" w:hAnsi="仿宋_GB2312" w:cs="仿宋_GB2312" w:eastAsia="仿宋_GB2312"/>
          <w:sz w:val="28"/>
        </w:rPr>
        <w:t>7、本项目分包情况：不分包</w:t>
      </w:r>
    </w:p>
    <w:p>
      <w:pPr>
        <w:pStyle w:val="null3"/>
        <w:ind w:firstLine="560"/>
        <w:jc w:val="both"/>
      </w:pPr>
      <w:r>
        <w:rPr>
          <w:rFonts w:ascii="仿宋_GB2312" w:hAnsi="仿宋_GB2312" w:cs="仿宋_GB2312" w:eastAsia="仿宋_GB2312"/>
          <w:sz w:val="28"/>
        </w:rPr>
        <w:t>8、交付时间：</w:t>
      </w:r>
      <w:r>
        <w:rPr>
          <w:rFonts w:ascii="仿宋_GB2312" w:hAnsi="仿宋_GB2312" w:cs="仿宋_GB2312" w:eastAsia="仿宋_GB2312"/>
          <w:sz w:val="28"/>
        </w:rPr>
        <w:t>合同签订生效之日起，进口设备</w:t>
      </w:r>
      <w:r>
        <w:rPr>
          <w:rFonts w:ascii="仿宋_GB2312" w:hAnsi="仿宋_GB2312" w:cs="仿宋_GB2312" w:eastAsia="仿宋_GB2312"/>
          <w:sz w:val="28"/>
        </w:rPr>
        <w:t>90日内，国产设备30日内，完成交付</w:t>
      </w:r>
    </w:p>
    <w:p>
      <w:pPr>
        <w:pStyle w:val="null3"/>
        <w:ind w:firstLine="560"/>
        <w:jc w:val="both"/>
      </w:pPr>
      <w:r>
        <w:rPr>
          <w:rFonts w:ascii="仿宋_GB2312" w:hAnsi="仿宋_GB2312" w:cs="仿宋_GB2312" w:eastAsia="仿宋_GB2312"/>
          <w:sz w:val="28"/>
        </w:rPr>
        <w:t>9、交付地点：用户指定地点</w:t>
      </w:r>
    </w:p>
    <w:p>
      <w:pPr>
        <w:pStyle w:val="null3"/>
        <w:ind w:firstLine="560"/>
        <w:jc w:val="both"/>
      </w:pPr>
      <w:r>
        <w:rPr>
          <w:rFonts w:ascii="仿宋_GB2312" w:hAnsi="仿宋_GB2312" w:cs="仿宋_GB2312" w:eastAsia="仿宋_GB2312"/>
          <w:sz w:val="28"/>
        </w:rPr>
        <w:t>10、付款方式：设备安装完毕调试能正常使用且经甲方验收合格后，甲方凭乙方开具的正式有效发票向乙方支付合同金额的95%，质保期满后，质保期间正常运行无出现质量问题，支付合同金额的5%。</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3,027,340.37</w:t>
      </w:r>
    </w:p>
    <w:p>
      <w:pPr>
        <w:pStyle w:val="null3"/>
        <w:jc w:val="left"/>
      </w:pPr>
      <w:r>
        <w:rPr>
          <w:rFonts w:ascii="仿宋_GB2312" w:hAnsi="仿宋_GB2312" w:cs="仿宋_GB2312" w:eastAsia="仿宋_GB2312"/>
        </w:rPr>
        <w:t>采购包最高限价（元）: 3,027,340.37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3,027,340.37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颈椎后路专用手术器械包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49,348.33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关节腔镜椎间孔镜主机及镜子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2,923,333.33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陪人椅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组织剪</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458.71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海绵钳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组织钳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纹弯钳</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（一）颈椎后路专用手术器械包 本套器械主要用在骨科颈椎后路专用手术。包内最低要配有吸引管、椎板咬骨钳超硬膜、髓核钳超硬膜、神经剥离器、颈椎后缘牵开器、后颅凹牵开器、带钩带槽神经剥离器、双关节咬骨剪及双关节咬骨钳等共有9个品种，19个规格，20件产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（二）关节腔镜椎间孔镜主机及镜子 一、整体要求： 4K摄像主机、光源主机、显示器、关节镜镜子（镜头）、动力系统、关节镜工具、均为同一品牌（如需端口，需免费安装） 二、具体参数要求：注册证产品名称具有4K描述 （一） 基础参数： 1 影像系统-摄像控制主机 1.1 一体机设计，安装操作简单便捷， 1.2 符合I 类 CF 型应用、显示器分辨率：≥3,840 x 2,160，10-bit 全色深显示 1.3 具有中文界面，4K显示器尺寸：≥32吋 1.4影像主机视频输出端口：具备4K/UHD影像传输标准的Display Port 接口，支持3840*2160p信号输出； 1.5 主机系统具有≥8种预设手术模式，根据不同科室内镜类型（腹腔镜10mm镜头、腹腔镜5mm镜头、宫腔镜、膀胱镜、小关节镜、关节镜、鼻窦镜，各类软镜）快捷切换； 1.6 具备峰均比调节功能，可以根据不同部位手术显示需求设置画面色彩动态平衡，≥10级调节； 2 影像系统-摄像头 2.1 一体化钛合金3CMOS摄像头，摄像头功能按键≥3个； 2.2 图像传感器类型≥3 个 1/3 英寸CMOS 传感器，耦合器不可拆卸，非C-MOUNT接口； 2.3 摄像头按键可设置功能或参数不少于20种； 2.4 摄像头按键可设置≥7种快捷操作，也可以选择关闭按键功能； 2.5 摄像头按键具备一键显示全部按键设置功能，默认预设功能包括亮度、图像缩放、光源待机、预设手术模式选择、录像、拍照、白平衡和关闭/打开按键功能，以上设置也可以通过屏幕主菜单进行设置； 2.6 手术医生可自定义功能设置，包括亮度、图像缩放、光源待机、预设手术模式选择、录像、拍照、白平衡和关闭/打开按键功能； 2.7 摄像头防震抗摔； 2.8 摄像头重量≤1.40 磅； 2.9 摄像头具备镜管锁定功能； 2.10 摄像头具备≥IPX7高级别防水性能、支持自动清洗机或消毒机清洗； 2.11 具备电子变焦功能； 2.12 最近调焦距离：≤155mm； 2.13 最小照度≤1Lux； 2.14 系统具备内窥镜尺寸选择功能，可根据内窥镜实际尺寸进行设置，系统自动匹配预设参数； 2.15 摄像头可永久高温高压灭菌，无次数限制 3 影像系统-LED光源 3.1 色温：≥4600K； 3.2 导光束长度≥3.6m，≥IPX7防水性能，支持高温高压灭菌； 3.3 拥有多种适配接口，具有快接头； 4 影像系统-内窥镜影像工作站； 4.1 通过摄像头按键控制录像和拍照； 4.2 触屏操作，工作站自带硬盘≥1T； 5 关节镜镜头及配套镜鞘 5.1 镜头有UHD或4K标志，可高温高压灭菌； 5.2 关节镜4mm 30°，长度≥150mm；关节镜2.5mm30°，长度≥60mm 5.3 照度≥1500Lx，有效景深：≥4-50mm； 5.4 蓝宝石镜片，高硬度，耐磨、防腐蚀； 5.5 套管采用一键式快速卡口，双阀门四通道设计全面满足关节镜手术需要，穿刺锥采用精钢材料； 5.6 关节镜4mm专用镜鞘直径≤5.7mm，关节镜2.5mm专用镜鞘直径≤3.7mm，满足手术的同时减少对患者损伤； 6 关节镜专用台车一辆 7 刨削系统-动力系统主机 7.1 智能型动力刨削主机，双动力输出，内置独立的两套动力系统，可单独运行和同时运行，动力输出无主次之分； 7.2 一机多用，可兼容8种以上手柄，包括大骨动力和高速磨钻、摆锯、矢状锯、往复锯等，适用于各类骨科手术，最高支持≥20000rpm； 7.3 彩色触控显示屏≥3英寸，可显示所连接的手柄类型、转速、模式、方向等； 7.4 彩色触摸显示屏可设定：提示音、屏幕亮度、参数记忆、窗口大小、往复转比例、手柄按键开关、脚踏开关、语言等功能； 7.5 双手柄模式，支持2个手柄同时独立工作，并保证100%动力(速度及扭矩)； 7.6 带有吸引接口，并配有多段式吸引流量的控制开关； 7.7 往复转频率具有≥5级的调节，可任意设定； 7.8 具有窗锁功能，可在面板设定刀头的窗开和窗锁，可任意调整刀头窗开大小； 7.9 具有医生自我编程功能，医生可根据自己手术习惯设定转速等参数； 8 刨削系统-刨削手持件 8.1 手柄采用按键式的人体工学设计； 8.2 可高温高压消毒刨削手柄，带有吸引接口，单向转速最高支持≥10,000rpm； 8.3 扭力: ≥33 in. oz.； 8.4 正反转速度范围：500-2,500rpm； 8.5 刨削手柄噪声≤56dB； 8.6 所投标刨削手柄可接同品牌髋关节、肩关节、膝关节、小骨关节、手外科等术式的刨削刀头和磨头，最小规格≤2.9mm，最大≥5.5mm； 8.7 刀头采用ECG（电解磨削）的制造技术，具有更好的表面光洁度。小关节刨削刀头≥8cm，肩/膝刀头≥13cm,髋关节刀头≥19cm； 8.8 刀头具有自动识别功能，不同刀头自动匹配转速和模式，内芯和外鞘接近完全同心，减少摩擦产生的金属屑，哑光外鞘，减少反光，使镜下视野更好； 8.9 投标手柄可接同品牌刀头直径≥7种，有直型、预弯型、加长型等、直径包含2.0 mm、2.9 mm、3.5 mm、3.7 mm、4.2 mm、4.8 mm、5.5 mm等，注册证刀头种类≥100种； 8.10 不同颜色标识不同刀头，利于辨别，缩短手术时间。优化的刀齿角度来切除软组织和骨，避免撕扯； 8.11 刀头在转动时做往复运动，切割力更强、减少组织损伤、缩短手术时间； 8.12 刨削刀头基体芯杆圆跳动偏差≤0.01mm； 8.13 刨削刀头采用符合ASTM标准不锈钢材质； 9、等离子系统 9.1电极子针采用先进的钛、钨、钼合金原材料，外套管采用医用不锈钢， 均具有优异的生物相容性和电气性能，生物相容性良好的金属促进伤口部位的愈合。 9.2、刀头选择性多：根据不同病人需求设计了不同规格直径、角度（15°、20°30°、35°、45°、90°）、粗细和弧度的刀头，选择范围广。 9.3、应用手术部位广：不仅可应用于常规肩关节、膝关节，还可应用于腕、踝、肘等小关节部位。 9.4、可吸引：刀头配备抽吸功能，可有效吸引手术中产生的气泡和杂质，提高术区视野清晰度。 9.5、操作便捷：刀头实行双极设计，低温，不损伤周围组织，操作更便捷、更安全。 9.6、等离子行业标准制定者：与国家食品药品监督管理局天津医疗器械质量监督检验中心共同起草了：《YY/T 1409-2015等离子手术设备》行业标准文件。 9.7、治疗温度低：通过低温等离子技术，使刀头工作时消融、汽化、切割、止血温度控制在40-70℃，对周围正常组织几乎没有热损伤，愈后快。 9.8 安全性性高：解决激光等传统设备治疗过程中温度高、高温损伤周围正常组织等缺点。 10、膝关节镜工具（基础工具），膝关节镜工具（交叉韧带工具），肩关节镜工具， 10.1、交叉韧带重建工具中必须含7.5mm股骨钻和7.5mm胫骨钻 10.2、提供一套各种角度可重复消毒的缝合钩 10.3、采用符合ASTM F899标准的精钢制造，硬度高，韧度强； 11、UBE器械30件以上 12、肩关节牵引架装置、盐水液压架 13、电动骨组织手术设备 13.1、主机：尺寸≤260×260×130mm(小巧为宜)，液晶屏显示，输入功率≥200VA。微电脑控制系统，手柄、脚踏连接故障诊断功能，转速可调。 13.2、脚踏：无级调速，IPX8防水等级，金属底座，更稳固，更耐用，防滑、防侧翻。 13.3、手柄：转速≥50000 r/min，电机最大功率100W，可高温灭菌。外径≤19mm，主体长度≤90mm，重量：≤140g（不含线缆），手柄内注水水冷结构，长时间使用，手柄不发热。 13.4、环形骨刀：刀杆直径≤7mm，长度≥100mm，环形刀刃，前端有齿，刃部直径≥5mm，刀头往复运动转速≥50000r/min。 13.5、一体式弯曲刀头：弯曲一体刀头，刀杆弯曲，刀杆内注水设计，杆径≤5mm，工作转速≥50000 r/min。具有金刚砂和不锈钢切削刃两种。 13.6、动力骨刀：刀杆直径≤5mm，内注水设计，刀头齿部长度≥8mm，刀头前后往复运动，转速≥50000r/min。 13.7、带护鞘磨头：弯曲一体式护鞘刀头，前端刀杆弯曲，刀杆内注水设计，杆径≤5mm，工作转速≥50000 r/min。 13.8、摆动形动力骨刀：刀杆直径≤7mm，长度≥100mm，扁平刀刃，前端有齿，刃部直径≥5mm，刀头往复运动转速≥50000r/min 13.9、增速磨头：前端刀杆弯曲，刀杆内注水设计，杆径≤5mm，刀具转速≥100000 r/min。"</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（三）陪人椅 1.椅架.内框采用冷轧钢管，折弯焊接.除油除锈.抛光后静电喷涂而成； 2.软包采用木板.高回弹海绵及耐刮西皮钉制而成, 配有10CM厚枕头； 3.床下有隐藏式支撑脚； 4.座位下面有四个ABS轮子，方便拉开和收起，坐卧两用结实大方； 5.坐姿尺寸约60*70*98CM；躺姿尺寸约60*190*39CM。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（四）组织剪 1.长度约160mm，弯型。 2.与患者接触部分采用医用不锈钢30Cr13制造，该材料化学成分符合YY/T 0294.1-2016《外科器械金属材料第1部分：不锈钢》，应经热处理，硬度为48-56HRC。 3.器械外表面电镀，不得有锋棱.毛刺及明显的碰伤和划痕，其表面粗糙度不大于0.4μm。 4.应有良好的耐腐蚀性能：产品按YY/T 0149–2006《不锈钢医用器械耐腐蚀性能试验方法》规定的“5 沸水试验法”进行试验时，外表面应达到“b级”。 5.适用高温高压.低温等离子.环氧乙烷灭菌。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（五）海绵钳 1.总长约250mm，直形，有齿，头宽约12mm。 2.与患者接触部分采用医用不锈钢20Cr13制造，该材料化学成分符合YY/T 0294.1-2016《外科器械金属材料第1部分：不锈钢》，应经热处理，硬度为40-48HRC。 3.器械外表面电镀，不得有锋棱.毛刺及明显的碰伤和划痕，其表面粗糙度不大于0.4μm。 4.应有良好的耐腐蚀性能：产品按YY/T 0149–2006《不锈钢医用器械耐腐蚀性能试验方法》规定的“5 沸水试验法”进行试验时，外表面应达到“b级”。 5.适用高温高压.低温等离子.环氧乙烷灭菌。</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（六）组织钳 1.总长约180mm，直型。 2.与患者接触部分采用医用不锈钢20Cr13制造，该材料化学成分符合YY/T 0294.1-2016《外科器械金属材料第1部分：不锈钢》，应经热处理，硬度为40-48HRC。 3.器械外表面电镀，不得有锋棱.毛刺及明显的碰伤和划痕，其表面粗糙度不大于0.4μm。 4.应有良好的耐腐蚀性能：产品按YY/T 0149–2006《不锈钢医用器械耐腐蚀性能试验方法》规定的“5 沸水试验法”进行试验时，外表面应达到“b级”。 5.适用高温高压.低温等离子.环氧乙烷灭菌。</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（七）纹弯钳 1.纹式止血钳：尖端直径约2mm,总长度约12.5cm 2.与患者接触部分采用医用不锈钢20Cr13制造，该材料化学成分符合YY/T 0294.1-2016《外科器械金属材料第1部分：不锈钢》，应经热处理，硬度为40-48HRC。 3.器械外表面电镀，不得有锋棱.毛刺及明显的碰伤和划痕，其表面粗糙度不大于0.4μm。 4.应有良好的耐腐蚀性能：产品按YY/T 0149–2006《不锈钢医用器械耐腐蚀性能试验方法》规定的“5 沸水试验法”进行试验时，外表面应达到“b级”。 5.适用高温高压.低温等离子.环氧乙烷灭菌。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（一）交货方式</w:t>
            </w:r>
          </w:p>
          <w:p>
            <w:pPr>
              <w:pStyle w:val="null3"/>
              <w:ind w:firstLine="560"/>
              <w:jc w:val="both"/>
            </w:pPr>
            <w:r>
              <w:rPr>
                <w:rFonts w:ascii="仿宋_GB2312" w:hAnsi="仿宋_GB2312" w:cs="仿宋_GB2312" w:eastAsia="仿宋_GB2312"/>
                <w:sz w:val="28"/>
              </w:rPr>
              <w:t>1.交货期：</w:t>
            </w:r>
            <w:r>
              <w:rPr>
                <w:rFonts w:ascii="仿宋_GB2312" w:hAnsi="仿宋_GB2312" w:cs="仿宋_GB2312" w:eastAsia="仿宋_GB2312"/>
                <w:sz w:val="28"/>
              </w:rPr>
              <w:t>合同签订生效之日起，进口设备</w:t>
            </w:r>
            <w:r>
              <w:rPr>
                <w:rFonts w:ascii="仿宋_GB2312" w:hAnsi="仿宋_GB2312" w:cs="仿宋_GB2312" w:eastAsia="仿宋_GB2312"/>
                <w:sz w:val="28"/>
              </w:rPr>
              <w:t>90日内，国产设备30日内，完成交付。</w:t>
            </w:r>
          </w:p>
          <w:p>
            <w:pPr>
              <w:pStyle w:val="null3"/>
              <w:ind w:firstLine="560"/>
              <w:jc w:val="both"/>
            </w:pPr>
            <w:r>
              <w:rPr>
                <w:rFonts w:ascii="仿宋_GB2312" w:hAnsi="仿宋_GB2312" w:cs="仿宋_GB2312" w:eastAsia="仿宋_GB2312"/>
                <w:sz w:val="28"/>
              </w:rPr>
              <w:t>2.指定到货地点：</w:t>
            </w:r>
            <w:r>
              <w:rPr>
                <w:rFonts w:ascii="仿宋_GB2312" w:hAnsi="仿宋_GB2312" w:cs="仿宋_GB2312" w:eastAsia="仿宋_GB2312"/>
                <w:sz w:val="28"/>
              </w:rPr>
              <w:t>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0"/>
              <w:jc w:val="both"/>
            </w:pPr>
            <w:r>
              <w:rPr>
                <w:rFonts w:ascii="仿宋_GB2312" w:hAnsi="仿宋_GB2312" w:cs="仿宋_GB2312" w:eastAsia="仿宋_GB2312"/>
                <w:sz w:val="28"/>
              </w:rPr>
              <w:t>（二）安装验收</w:t>
            </w:r>
          </w:p>
          <w:p>
            <w:pPr>
              <w:pStyle w:val="null3"/>
              <w:ind w:firstLine="560"/>
              <w:jc w:val="both"/>
            </w:pPr>
            <w:r>
              <w:rPr>
                <w:rFonts w:ascii="仿宋_GB2312" w:hAnsi="仿宋_GB2312" w:cs="仿宋_GB2312" w:eastAsia="仿宋_GB2312"/>
                <w:sz w:val="28"/>
              </w:rPr>
              <w:t>1. 开箱检验，采购人和投标人双方应共同对设备的包装、外观、设备品牌、原厂商、产地、规格型号、数量进行检验。如在开箱检验中发现所交付的合同设备有短缺、损坏、不合格产品等或与合同、随机文件不相符的情形，投标人应于约定交货时间内、最长不超过交货截止时间5个工作日予以无条件补足、更换,并承担由此造成的一切损失。待设备补 足或更换后，采购人和投标人双方重新对合同设备进行检验后再组织安装调试。</w:t>
            </w:r>
          </w:p>
          <w:p>
            <w:pPr>
              <w:pStyle w:val="null3"/>
              <w:ind w:firstLine="560"/>
              <w:jc w:val="both"/>
            </w:pPr>
            <w:r>
              <w:rPr>
                <w:rFonts w:ascii="仿宋_GB2312" w:hAnsi="仿宋_GB2312" w:cs="仿宋_GB2312" w:eastAsia="仿宋_GB2312"/>
                <w:sz w:val="28"/>
              </w:rPr>
              <w:t>2. 投标人应派专业工程师到现场进行安装、调试设备，并对相关人员进行培训。在安装过程中，采购人工程师负责对设备安装调试予以配合和相应的协调工作。</w:t>
            </w:r>
          </w:p>
          <w:p>
            <w:pPr>
              <w:pStyle w:val="null3"/>
              <w:ind w:firstLine="560"/>
              <w:jc w:val="both"/>
            </w:pPr>
            <w:r>
              <w:rPr>
                <w:rFonts w:ascii="仿宋_GB2312" w:hAnsi="仿宋_GB2312" w:cs="仿宋_GB2312" w:eastAsia="仿宋_GB2312"/>
                <w:sz w:val="28"/>
              </w:rPr>
              <w:t>3. 投标人对设备所进行的安装调试应与招标文件约定的性能完全一致，且不能低于相应的国家标准及行业标准。安装调试完毕，双方根据招标文件的技术标准共同进行验收，投标人向采购人交付合同设备的质量合格证、保修单、使用说明书、维修手册等相关资料。在验收过程中，如合同设备的一项或数项指标未达到设备技术资料所规定要求，投标人应于约定交货时间内、最长不超过交货截止时间5个工作日予以无条件补足、更换,并承担由此造成的一切损失，由此产生的费用由投标人承担。验收合格后，双方签署验收报告，并加盖公章确认。验收报告仅证明投标人所提供的设备截止出具检验报告之日时可以按招标文件、合同要求予以接受，但不能视为投标人对设备存在的潜在质量缺陷所应负的责任的解除，此验收报告不作为对设备质量认定的依据。</w:t>
            </w:r>
          </w:p>
          <w:p>
            <w:pPr>
              <w:pStyle w:val="null3"/>
              <w:ind w:firstLine="560"/>
              <w:jc w:val="both"/>
            </w:pPr>
            <w:r>
              <w:rPr>
                <w:rFonts w:ascii="仿宋_GB2312" w:hAnsi="仿宋_GB2312" w:cs="仿宋_GB2312" w:eastAsia="仿宋_GB2312"/>
                <w:sz w:val="28"/>
              </w:rPr>
              <w:t>4. 验收标准以招标文件技术参数及要求和相关行业标准为准，属于强检或需要校准的设备，安装后第一次计量检定费用由投标人承担，若达不到标准采购人可以要求退货或者换货。</w:t>
            </w:r>
          </w:p>
          <w:p>
            <w:pPr>
              <w:pStyle w:val="null3"/>
              <w:ind w:firstLine="560"/>
              <w:jc w:val="both"/>
            </w:pPr>
            <w:r>
              <w:rPr>
                <w:rFonts w:ascii="仿宋_GB2312" w:hAnsi="仿宋_GB2312" w:cs="仿宋_GB2312" w:eastAsia="仿宋_GB2312"/>
                <w:sz w:val="28"/>
              </w:rPr>
              <w:t>5. 提供的资料：提供主机及配套设备的相关技术资料。</w:t>
            </w:r>
          </w:p>
          <w:p>
            <w:pPr>
              <w:pStyle w:val="null3"/>
              <w:ind w:firstLine="560"/>
              <w:jc w:val="both"/>
            </w:pPr>
            <w:r>
              <w:rPr>
                <w:rFonts w:ascii="仿宋_GB2312" w:hAnsi="仿宋_GB2312" w:cs="仿宋_GB2312" w:eastAsia="仿宋_GB2312"/>
                <w:sz w:val="28"/>
              </w:rPr>
              <w:t>6. 安装调试设备完后及时清理现场垃圾。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560"/>
              <w:jc w:val="both"/>
            </w:pPr>
            <w:r>
              <w:rPr>
                <w:rFonts w:ascii="仿宋_GB2312" w:hAnsi="仿宋_GB2312" w:cs="仿宋_GB2312" w:eastAsia="仿宋_GB2312"/>
                <w:sz w:val="28"/>
              </w:rPr>
              <w:t>（三）质量保证和售后服务</w:t>
            </w:r>
          </w:p>
          <w:p>
            <w:pPr>
              <w:pStyle w:val="null3"/>
              <w:ind w:firstLine="560"/>
              <w:jc w:val="both"/>
            </w:pPr>
            <w:r>
              <w:rPr>
                <w:rFonts w:ascii="仿宋_GB2312" w:hAnsi="仿宋_GB2312" w:cs="仿宋_GB2312" w:eastAsia="仿宋_GB2312"/>
                <w:sz w:val="28"/>
              </w:rPr>
              <w:t>1. 投标人保证提供的设备必须为正规渠道销售的设备，并为全新未使用过的。设备必须符合国家检测标准，投标人承诺所供设备与成交所示设备明细完全一致，不存在任何偏差。</w:t>
            </w:r>
          </w:p>
          <w:p>
            <w:pPr>
              <w:pStyle w:val="null3"/>
              <w:ind w:firstLine="560"/>
              <w:jc w:val="both"/>
            </w:pPr>
            <w:r>
              <w:rPr>
                <w:rFonts w:ascii="仿宋_GB2312" w:hAnsi="仿宋_GB2312" w:cs="仿宋_GB2312" w:eastAsia="仿宋_GB2312"/>
                <w:sz w:val="28"/>
              </w:rPr>
              <w:t>2. 如因设备的质量问题发生纠纷，应由具有鉴定资质的鉴定机构进行质量鉴定，鉴定费用由投标人承担。</w:t>
            </w:r>
          </w:p>
          <w:p>
            <w:pPr>
              <w:pStyle w:val="null3"/>
              <w:ind w:firstLine="560"/>
              <w:jc w:val="both"/>
            </w:pPr>
            <w:r>
              <w:rPr>
                <w:rFonts w:ascii="仿宋_GB2312" w:hAnsi="仿宋_GB2312" w:cs="仿宋_GB2312" w:eastAsia="仿宋_GB2312"/>
                <w:sz w:val="28"/>
              </w:rPr>
              <w:t>3. 投标人保证合同设备不侵犯任何第三方的专利、商标或版权。否则，投标人须承担由此对第三方的专利或版权的侵权责任并承担因此而发生的所有费用。</w:t>
            </w:r>
          </w:p>
          <w:p>
            <w:pPr>
              <w:pStyle w:val="null3"/>
              <w:ind w:firstLine="560"/>
              <w:jc w:val="both"/>
            </w:pPr>
            <w:r>
              <w:rPr>
                <w:rFonts w:ascii="仿宋_GB2312" w:hAnsi="仿宋_GB2312" w:cs="仿宋_GB2312" w:eastAsia="仿宋_GB2312"/>
                <w:sz w:val="28"/>
              </w:rPr>
              <w:t>4. 投标人负责指导和培训采购人维修及使用规范，主要内容为设备的基本结构、性能、主要部件的构造及修理，日常使用保养与管理，常见故障的排除、紧急情况的处理等，培训地点在设备安装现场或按采购人安排。</w:t>
            </w:r>
          </w:p>
          <w:p>
            <w:pPr>
              <w:pStyle w:val="null3"/>
              <w:ind w:firstLine="560"/>
              <w:jc w:val="both"/>
            </w:pPr>
            <w:r>
              <w:rPr>
                <w:rFonts w:ascii="仿宋_GB2312" w:hAnsi="仿宋_GB2312" w:cs="仿宋_GB2312" w:eastAsia="仿宋_GB2312"/>
                <w:sz w:val="28"/>
              </w:rPr>
              <w:t>5. 投标人提供的质保期从设备安装验收合格之日算起。在此期间所有维修费用由投标人承担。生产厂家若提供更长的保修期限，应由生产厂家出具盖章的售后服务承诺函及厂家资质材料。</w:t>
            </w:r>
          </w:p>
          <w:p>
            <w:pPr>
              <w:pStyle w:val="null3"/>
              <w:ind w:firstLine="560"/>
              <w:jc w:val="both"/>
            </w:pPr>
            <w:r>
              <w:rPr>
                <w:rFonts w:ascii="仿宋_GB2312" w:hAnsi="仿宋_GB2312" w:cs="仿宋_GB2312" w:eastAsia="仿宋_GB2312"/>
                <w:sz w:val="28"/>
              </w:rPr>
              <w:t>6. 投标人接到采购人设备故障报修，须在24小时内到现场检修（不可抗力因素除外），迅速解决问题。如因投标人无法及时到场检修或者不配合进行检修，采购人有权聘请第三方进行检修，由此产生的费用由投标人承担。</w:t>
            </w:r>
          </w:p>
          <w:p>
            <w:pPr>
              <w:pStyle w:val="null3"/>
              <w:jc w:val="both"/>
            </w:pPr>
            <w:r>
              <w:rPr>
                <w:rFonts w:ascii="仿宋_GB2312" w:hAnsi="仿宋_GB2312" w:cs="仿宋_GB2312" w:eastAsia="仿宋_GB2312"/>
                <w:sz w:val="28"/>
              </w:rPr>
              <w:t>7. 投标人保证年开机率大于95%（按365天计算），若≤95%则每少一天，相应延长保修期七天。保修期满后，投标人可以继续为设备提供有偿维修服务。</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付款方式：设备安装完毕调试能正常使用且经甲方验收合格后，甲方凭乙方开具的正式有效发票向乙方支付合同金额的95%，质保期满后，质保期间正常运行无出现质量问题，支付合同金额的5%。</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如投标人所投产品为进口设备的，须提供完整的产品授权资料（提供相关资料并加盖公章）。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特定资格4</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主要规格及技术性能</w:t>
            </w:r>
          </w:p>
        </w:tc>
        <w:tc>
          <w:tcPr>
            <w:tcW w:type="dxa" w:w="2492"/>
          </w:tcPr>
          <w:p>
            <w:pPr>
              <w:pStyle w:val="null3"/>
              <w:jc w:val="both"/>
            </w:pPr>
            <w:r>
              <w:rPr>
                <w:rFonts w:ascii="仿宋_GB2312" w:hAnsi="仿宋_GB2312" w:cs="仿宋_GB2312" w:eastAsia="仿宋_GB2312"/>
              </w:rPr>
              <w:t>完全满足招标文件技术参数要求得满分（40分），不满足一项扣1分，分值扣完为止。 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实施计划方案</w:t>
            </w:r>
          </w:p>
        </w:tc>
        <w:tc>
          <w:tcPr>
            <w:tcW w:type="dxa" w:w="2492"/>
          </w:tcPr>
          <w:p>
            <w:pPr>
              <w:pStyle w:val="null3"/>
              <w:jc w:val="both"/>
            </w:pPr>
            <w:r>
              <w:rPr>
                <w:rFonts w:ascii="仿宋_GB2312" w:hAnsi="仿宋_GB2312" w:cs="仿宋_GB2312" w:eastAsia="仿宋_GB2312"/>
              </w:rPr>
              <w:t>根据供应商提交的项目实施方案进行综合评分，内容包括但不限于：（1）项目实施进度计划；（2）项目人员配备方案；（3）到货安装调试校验以及对使用和维护人员的规范技术培训；（4）供货方案；（5）应急保障方案；供应商提交完整的项目实施方案得10分，每缺少一项内容扣 2 分，扣完为止；项目实施方案每一项内容存在一处缺陷（缺陷是指方案内容不符合项目实际要求、描述不详细、缺乏针对性、缺乏可操作性、不合理、相关标准引用错误、前后相互矛盾、存在无法实现预期目标的风险等）扣1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售后服务及履约方案</w:t>
            </w:r>
          </w:p>
        </w:tc>
        <w:tc>
          <w:tcPr>
            <w:tcW w:type="dxa" w:w="2492"/>
          </w:tcPr>
          <w:p>
            <w:pPr>
              <w:pStyle w:val="null3"/>
              <w:jc w:val="both"/>
            </w:pPr>
            <w:r>
              <w:rPr>
                <w:rFonts w:ascii="仿宋_GB2312" w:hAnsi="仿宋_GB2312" w:cs="仿宋_GB2312" w:eastAsia="仿宋_GB2312"/>
              </w:rPr>
              <w:t>根据供应商提交的售后服务方案进行综合评分，内容包括但不限于：（1）售后服务承诺、服务内容；（2）维修响应时间；（3）售后服务回访；（4）保修期外售后维护；（5）售后服务团队；供应商提交完整的售后服务方案得10分，每缺少一项内容扣 2 分，扣完为止；售后服务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根据供应商提交的质量保证方案进行综合评分，内容包括但不限于：（1）质量保证承诺；（2）质量保证措施；（3）质量保证体系；（4）产品运输及安装质量控制；供应商提交完整的质量保证方案得 8分，每缺少一项内容扣 2 分，扣完为止；质量保证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提供前三年（2022年至今）的同类项目成功案例，须提供合同复印件，同一业主单位的合同视为同一个业绩，每提供一份得1分，满分2分，不提供不得分。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HNYY2025-011-1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2025年度骨科医疗设备采购项目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颈椎后路专用手术器械包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49348.33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关节腔镜椎间孔镜主机及镜子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2923333.33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陪人椅</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组织剪</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458.71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海绵钳</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组织钳</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纹弯钳</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