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陵河南片区城市更新项目五期(原县毛纺厂)</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sdzb2025-024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陵水黎族自治县椰林镇人民政府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海南双达项目管理有限公司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陵水黎族自治县椰林镇人民政府</w:t>
      </w:r>
      <w:r>
        <w:rPr>
          <w:rFonts w:ascii="仿宋_GB2312" w:hAnsi="仿宋_GB2312" w:cs="仿宋_GB2312" w:eastAsia="仿宋_GB2312"/>
        </w:rPr>
        <w:t xml:space="preserve"> 的委托， </w:t>
      </w:r>
      <w:r>
        <w:rPr>
          <w:rFonts w:ascii="仿宋_GB2312" w:hAnsi="仿宋_GB2312" w:cs="仿宋_GB2312" w:eastAsia="仿宋_GB2312"/>
        </w:rPr>
        <w:t>海南双达项目管理有限公司</w:t>
      </w:r>
      <w:r>
        <w:rPr>
          <w:rFonts w:ascii="仿宋_GB2312" w:hAnsi="仿宋_GB2312" w:cs="仿宋_GB2312" w:eastAsia="仿宋_GB2312"/>
        </w:rPr>
        <w:t xml:space="preserve"> 对 </w:t>
      </w:r>
      <w:r>
        <w:rPr>
          <w:rFonts w:ascii="仿宋_GB2312" w:hAnsi="仿宋_GB2312" w:cs="仿宋_GB2312" w:eastAsia="仿宋_GB2312"/>
        </w:rPr>
        <w:t>陵河南片区城市更新项目五期(原县毛纺厂)</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sdzb2025-024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陵河南片区城市更新项目五期(原县毛纺厂)</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3,404,000.00元</w:t>
      </w:r>
      <w:r>
        <w:rPr>
          <w:rFonts w:ascii="仿宋_GB2312" w:hAnsi="仿宋_GB2312" w:cs="仿宋_GB2312" w:eastAsia="仿宋_GB2312"/>
        </w:rPr>
        <w:t>叁佰肆拾万零肆仟元整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签订合同之日起至征收工作完成时移交项目资料止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2、本项目为远程不见面开标，供应商无须到达开标现场，但开标前必须登录海南省政府采购智慧云平台，进入本项目电子开标大厅在线签到，远程按时参加在线开标解密即可。 3、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 4、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陵水黎族自治县椰林镇人民政府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陵水黎族自治县椰林镇人民政府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0898-83316858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海南双达项目管理有限公司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海南省海口美兰区蓝天街道国兴大道3号互联网金融大厦A栋23层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0898-68652125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采购包1：3,404,000.00元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提交投标文件截止之日起计算的90日历天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代理服务费收费标准：本项目招标代理服务费参考《招标代理服务收费管理暂行办法》计价格[2002]1980号文和发改价格[2011]534号文的计 算标准收取，并以8折优惠计费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16.1.本项目以供应商成功加密后递交至海南省政府采购智慧云平台的电子响应文件为准，因投标人自身原因导致无法解密或解密失败的，自行承担不利后果。 16.2.本项目采用的是竞争性磋商采购方式，其中磋商及最终报价程序均采用在线方式，供应商如遇技术问题自行联系海南省政府采购智慧云平台客服。 16.3.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注：磋商小组认为供应商的报价明显低于其他通过符合性审查供应商，有可能影响产品质量或者不能诚信履约的，且供应商不能按磋商小组的要求证明其报价合理性的，磋商小组应当将其作为无效响应处理。16.4.中标供应商在领取中标通知书时向采购代理机构提供3份胶装版纸质投标文件，须与在系统递交的电子版文件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联系电话：0898-68652125</w:t>
      </w:r>
    </w:p>
    <w:p>
      <w:pPr>
        <w:pStyle w:val="null3"/>
        <w:jc w:val="left"/>
      </w:pPr>
      <w:r>
        <w:rPr>
          <w:rFonts w:ascii="仿宋_GB2312" w:hAnsi="仿宋_GB2312" w:cs="仿宋_GB2312" w:eastAsia="仿宋_GB2312"/>
        </w:rPr>
        <w:t>地址：海南省海口市美兰区蓝天街道国兴大道 3 号互联网金融大厦 A 栋 23 层</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b/>
          <w:color w:val="000000"/>
        </w:rPr>
        <w:t>一、项目背景</w:t>
      </w:r>
    </w:p>
    <w:p>
      <w:pPr>
        <w:pStyle w:val="null3"/>
        <w:ind w:firstLine="704"/>
        <w:jc w:val="both"/>
      </w:pPr>
      <w:r>
        <w:rPr>
          <w:rFonts w:ascii="仿宋_GB2312" w:hAnsi="仿宋_GB2312" w:cs="仿宋_GB2312" w:eastAsia="仿宋_GB2312"/>
          <w:sz w:val="32"/>
        </w:rPr>
        <w:t>坚持以习近平新时代中国特色社会主义思想为指导，深入贯彻落实国家新型城镇化战略和</w:t>
      </w:r>
      <w:r>
        <w:rPr>
          <w:rFonts w:ascii="仿宋_GB2312" w:hAnsi="仿宋_GB2312" w:cs="仿宋_GB2312" w:eastAsia="仿宋_GB2312"/>
          <w:sz w:val="32"/>
        </w:rPr>
        <w:t>“十四五”规划目标，“统筹推进城市功能完善、生态修复、文化传承与产业升级，打造宜居、韧性、智慧、人文的现代化城市”精神，加快推进我县城市结构优化、功能完善和品质提升，改善人居环境，着力打造热带海岛滨海精致城市和创新创业活力城市。</w:t>
      </w:r>
      <w:r>
        <w:rPr>
          <w:rFonts w:ascii="仿宋_GB2312" w:hAnsi="仿宋_GB2312" w:cs="仿宋_GB2312" w:eastAsia="仿宋_GB2312"/>
          <w:sz w:val="32"/>
        </w:rPr>
        <w:t>县城市更新工作领导小组</w:t>
      </w:r>
      <w:r>
        <w:rPr>
          <w:rFonts w:ascii="仿宋_GB2312" w:hAnsi="仿宋_GB2312" w:cs="仿宋_GB2312" w:eastAsia="仿宋_GB2312"/>
          <w:sz w:val="32"/>
        </w:rPr>
        <w:t>2</w:t>
      </w:r>
      <w:r>
        <w:rPr>
          <w:rFonts w:ascii="仿宋_GB2312" w:hAnsi="仿宋_GB2312" w:cs="仿宋_GB2312" w:eastAsia="仿宋_GB2312"/>
          <w:sz w:val="32"/>
        </w:rPr>
        <w:t>02</w:t>
      </w:r>
      <w:r>
        <w:rPr>
          <w:rFonts w:ascii="仿宋_GB2312" w:hAnsi="仿宋_GB2312" w:cs="仿宋_GB2312" w:eastAsia="仿宋_GB2312"/>
          <w:sz w:val="32"/>
        </w:rPr>
        <w:t>5</w:t>
      </w:r>
      <w:r>
        <w:rPr>
          <w:rFonts w:ascii="仿宋_GB2312" w:hAnsi="仿宋_GB2312" w:cs="仿宋_GB2312" w:eastAsia="仿宋_GB2312"/>
          <w:sz w:val="32"/>
        </w:rPr>
        <w:t>年第</w:t>
      </w:r>
      <w:r>
        <w:rPr>
          <w:rFonts w:ascii="仿宋_GB2312" w:hAnsi="仿宋_GB2312" w:cs="仿宋_GB2312" w:eastAsia="仿宋_GB2312"/>
          <w:sz w:val="32"/>
        </w:rPr>
        <w:t>1</w:t>
      </w:r>
      <w:r>
        <w:rPr>
          <w:rFonts w:ascii="仿宋_GB2312" w:hAnsi="仿宋_GB2312" w:cs="仿宋_GB2312" w:eastAsia="仿宋_GB2312"/>
          <w:sz w:val="32"/>
        </w:rPr>
        <w:t>次专题会议讨论，同意陵河南片区城市更新项目五期（原县毛纺厂）列入年度实施计划，启动该项目房屋征收等工作。</w:t>
      </w:r>
      <w:r>
        <w:rPr>
          <w:rFonts w:ascii="仿宋_GB2312" w:hAnsi="仿宋_GB2312" w:cs="仿宋_GB2312" w:eastAsia="仿宋_GB2312"/>
          <w:sz w:val="32"/>
        </w:rPr>
        <w:t>本次实施范围为陵河南片区城市更新项目五期（原县毛纺厂），建筑及土地总面积（征收总面积）约为</w:t>
      </w:r>
      <w:r>
        <w:rPr>
          <w:rFonts w:ascii="仿宋_GB2312" w:hAnsi="仿宋_GB2312" w:cs="仿宋_GB2312" w:eastAsia="仿宋_GB2312"/>
          <w:sz w:val="32"/>
        </w:rPr>
        <w:t>25.73万㎡，建筑面积约为4.3万㎡，土地面积约为21.43万㎡。</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3,404,000.00</w:t>
      </w:r>
    </w:p>
    <w:p>
      <w:pPr>
        <w:pStyle w:val="null3"/>
        <w:jc w:val="left"/>
      </w:pPr>
      <w:r>
        <w:rPr>
          <w:rFonts w:ascii="仿宋_GB2312" w:hAnsi="仿宋_GB2312" w:cs="仿宋_GB2312" w:eastAsia="仿宋_GB2312"/>
        </w:rPr>
        <w:t>采购包最高限价（元）: 3,404,000.00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3,404,000.00</w:t>
            </w:r>
          </w:p>
        </w:tc>
        <w:tc>
          <w:tcPr>
            <w:tcW w:type="dxa" w:w="831"/>
          </w:tcPr>
          <w:p>
            <w:pPr>
              <w:pStyle w:val="null3"/>
              <w:jc w:val="left"/>
            </w:pPr>
            <w:r>
              <w:rPr>
                <w:rFonts w:ascii="仿宋_GB2312" w:hAnsi="仿宋_GB2312" w:cs="仿宋_GB2312" w:eastAsia="仿宋_GB2312"/>
              </w:rPr>
              <w:t>平方米</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color w:val="000000"/>
              </w:rPr>
              <w:t>项目详细服务</w:t>
            </w:r>
            <w:r>
              <w:rPr>
                <w:rFonts w:ascii="仿宋_GB2312" w:hAnsi="仿宋_GB2312" w:cs="仿宋_GB2312" w:eastAsia="仿宋_GB2312"/>
                <w:sz w:val="28"/>
                <w:b/>
                <w:color w:val="000000"/>
              </w:rPr>
              <w:t>内容</w:t>
            </w:r>
            <w:r>
              <w:rPr>
                <w:rFonts w:ascii="仿宋_GB2312" w:hAnsi="仿宋_GB2312" w:cs="仿宋_GB2312" w:eastAsia="仿宋_GB2312"/>
                <w:sz w:val="28"/>
                <w:b/>
                <w:color w:val="000000"/>
              </w:rPr>
              <w:t>及工作量占比</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项目</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内容</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%（占比）</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征收前期手续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办理和完善征收调查手续，签订委托协议，申报征收管理部门批准实施调查</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房屋产权调查</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协助发布调查通告，对房屋、土地及附属物丈量、清点；按单位、个人、房屋结构、附属物、房屋性质等统计造表提交评估公司</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8</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编制征收预算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根据征收方案和征收有关规定编制征收补偿经费预算，方案、预算送审报批</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征收决定发布及宣传</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根据征收规定协助发布征收决定、宣传征收政策</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产权登记确认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核对证件，登记建档，向国土、规划、房产等部门核查档案，协助进行产权认定</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核算补偿数额</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依方案计算出每个被征收人的补偿结果</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7</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动迁签订协议</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舆论宣传，开动员会，讲解政策，计算各项补偿，协助签订征收补偿安置协议</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20</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8</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整理征收档案</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按档案管理规范整理资料，逐户建档，及时送业主单位存档</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9</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提出办结报告</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按规范格式、内容总结本项目征收工作，及时上报办结报告</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说明：</w:t>
                  </w:r>
                  <w:r>
                    <w:rPr>
                      <w:rFonts w:ascii="仿宋_GB2312" w:hAnsi="仿宋_GB2312" w:cs="仿宋_GB2312" w:eastAsia="仿宋_GB2312"/>
                      <w:sz w:val="28"/>
                      <w:color w:val="000000"/>
                    </w:rPr>
                    <w:t>①本表以一个完整的征收项目，按工作和时间顺序，将整个过程分解，并按工作量和难度进行量化，计算单项工作占总工作量的百分比。</w:t>
                  </w:r>
                </w:p>
                <w:p>
                  <w:pPr>
                    <w:pStyle w:val="null3"/>
                    <w:jc w:val="left"/>
                  </w:pPr>
                  <w:r>
                    <w:rPr>
                      <w:rFonts w:ascii="仿宋_GB2312" w:hAnsi="仿宋_GB2312" w:cs="仿宋_GB2312" w:eastAsia="仿宋_GB2312"/>
                      <w:sz w:val="28"/>
                      <w:color w:val="000000"/>
                    </w:rPr>
                    <w:t>②此9项内容包含的工作量、工作力度计量占整个项目征收服务比例的42%，在此基础上按35%折扣率进行招标。</w:t>
                  </w:r>
                </w:p>
                <w:p>
                  <w:pPr>
                    <w:pStyle w:val="null3"/>
                    <w:jc w:val="left"/>
                  </w:pPr>
                  <w:r>
                    <w:rPr>
                      <w:rFonts w:ascii="仿宋_GB2312" w:hAnsi="仿宋_GB2312" w:cs="仿宋_GB2312" w:eastAsia="仿宋_GB2312"/>
                      <w:sz w:val="28"/>
                      <w:color w:val="000000"/>
                    </w:rPr>
                    <w:t>③</w:t>
                  </w:r>
                  <w:r>
                    <w:rPr>
                      <w:rFonts w:ascii="仿宋_GB2312" w:hAnsi="仿宋_GB2312" w:cs="仿宋_GB2312" w:eastAsia="仿宋_GB2312"/>
                      <w:sz w:val="28"/>
                      <w:color w:val="000000"/>
                    </w:rPr>
                    <w:t>征收服务工作经费标准为</w:t>
                  </w:r>
                  <w:r>
                    <w:rPr>
                      <w:rFonts w:ascii="仿宋_GB2312" w:hAnsi="仿宋_GB2312" w:cs="仿宋_GB2312" w:eastAsia="仿宋_GB2312"/>
                      <w:sz w:val="28"/>
                      <w:color w:val="000000"/>
                    </w:rPr>
                    <w:t>90元/m</w:t>
                  </w:r>
                  <w:r>
                    <w:rPr>
                      <w:rFonts w:ascii="仿宋_GB2312" w:hAnsi="仿宋_GB2312" w:cs="仿宋_GB2312" w:eastAsia="仿宋_GB2312"/>
                      <w:sz w:val="28"/>
                      <w:color w:val="000000"/>
                      <w:vertAlign w:val="superscript"/>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9项服务总收费=25.73万㎡（以实际征收总面积为准）×工作经费90元/㎡×42%×35%,最终服务收费金额以实际完成的服务内容为准。</w:t>
                  </w:r>
                </w:p>
                <w:p>
                  <w:pPr>
                    <w:pStyle w:val="null3"/>
                    <w:jc w:val="left"/>
                  </w:pPr>
                  <w:r>
                    <w:rPr>
                      <w:rFonts w:ascii="仿宋_GB2312" w:hAnsi="仿宋_GB2312" w:cs="仿宋_GB2312" w:eastAsia="仿宋_GB2312"/>
                      <w:sz w:val="28"/>
                      <w:color w:val="000000"/>
                    </w:rPr>
                    <w:t>④本项目财政审核后的总预算价格为340.40万元 。</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、项目</w:t>
            </w:r>
            <w:r>
              <w:rPr>
                <w:rFonts w:ascii="仿宋_GB2312" w:hAnsi="仿宋_GB2312" w:cs="仿宋_GB2312" w:eastAsia="仿宋_GB2312"/>
                <w:sz w:val="28"/>
                <w:b/>
                <w:color w:val="000000"/>
              </w:rPr>
              <w:t>预算</w:t>
            </w:r>
            <w:r>
              <w:rPr>
                <w:rFonts w:ascii="仿宋_GB2312" w:hAnsi="仿宋_GB2312" w:cs="仿宋_GB2312" w:eastAsia="仿宋_GB2312"/>
                <w:sz w:val="21"/>
                <w:b/>
              </w:rPr>
              <w:t xml:space="preserve"> </w:t>
            </w:r>
          </w:p>
          <w:p>
            <w:pPr>
              <w:pStyle w:val="null3"/>
              <w:jc w:val="left"/>
            </w:pPr>
            <w:r>
              <w:rPr>
                <w:rFonts w:ascii="仿宋_GB2312" w:hAnsi="仿宋_GB2312" w:cs="仿宋_GB2312" w:eastAsia="仿宋_GB2312"/>
                <w:sz w:val="28"/>
                <w:color w:val="000000"/>
              </w:rPr>
              <w:t>预算金额：</w:t>
            </w:r>
            <w:r>
              <w:rPr>
                <w:rFonts w:ascii="仿宋_GB2312" w:hAnsi="仿宋_GB2312" w:cs="仿宋_GB2312" w:eastAsia="仿宋_GB2312"/>
                <w:sz w:val="28"/>
                <w:color w:val="000000"/>
              </w:rPr>
              <w:t>340.40万元</w:t>
            </w:r>
            <w:r>
              <w:rPr>
                <w:rFonts w:ascii="仿宋_GB2312" w:hAnsi="仿宋_GB2312" w:cs="仿宋_GB2312" w:eastAsia="仿宋_GB2312"/>
                <w:sz w:val="28"/>
                <w:color w:val="000000"/>
              </w:rPr>
              <w:t>（</w:t>
            </w:r>
            <w:r>
              <w:rPr>
                <w:rFonts w:ascii="仿宋_GB2312" w:hAnsi="仿宋_GB2312" w:cs="仿宋_GB2312" w:eastAsia="仿宋_GB2312"/>
                <w:sz w:val="28"/>
                <w:color w:val="000000"/>
              </w:rPr>
              <w:t>所有投标的供应商总报价不得高于预算总价，征收服务工作经费标准报价不得高于</w:t>
            </w:r>
            <w:r>
              <w:rPr>
                <w:rFonts w:ascii="仿宋_GB2312" w:hAnsi="仿宋_GB2312" w:cs="仿宋_GB2312" w:eastAsia="仿宋_GB2312"/>
                <w:sz w:val="28"/>
                <w:color w:val="000000"/>
              </w:rPr>
              <w:t>90元/m</w:t>
            </w:r>
            <w:r>
              <w:rPr>
                <w:rFonts w:ascii="仿宋_GB2312" w:hAnsi="仿宋_GB2312" w:cs="仿宋_GB2312" w:eastAsia="仿宋_GB2312"/>
                <w:sz w:val="28"/>
                <w:color w:val="000000"/>
                <w:vertAlign w:val="superscript"/>
              </w:rPr>
              <w:t>2 ，</w:t>
            </w:r>
            <w:r>
              <w:rPr>
                <w:rFonts w:ascii="仿宋_GB2312" w:hAnsi="仿宋_GB2312" w:cs="仿宋_GB2312" w:eastAsia="仿宋_GB2312"/>
                <w:sz w:val="28"/>
                <w:color w:val="000000"/>
              </w:rPr>
              <w:t>否则视为无效投标，按废标处理。</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sz w:val="28"/>
                <w:b/>
                <w:color w:val="000000"/>
              </w:rPr>
              <w:t>二、付款方式及步骤</w:t>
            </w:r>
          </w:p>
          <w:p>
            <w:pPr>
              <w:pStyle w:val="null3"/>
              <w:jc w:val="left"/>
            </w:pPr>
            <w:r>
              <w:rPr>
                <w:rFonts w:ascii="仿宋_GB2312" w:hAnsi="仿宋_GB2312" w:cs="仿宋_GB2312" w:eastAsia="仿宋_GB2312"/>
                <w:sz w:val="28"/>
                <w:color w:val="000000"/>
              </w:rPr>
              <w:t>确定中标人后，以采购人和中标供应商签订的合同为准。</w:t>
            </w:r>
          </w:p>
          <w:p>
            <w:pPr>
              <w:pStyle w:val="null3"/>
              <w:jc w:val="left"/>
            </w:pPr>
            <w:r>
              <w:rPr>
                <w:rFonts w:ascii="仿宋_GB2312" w:hAnsi="仿宋_GB2312" w:cs="仿宋_GB2312" w:eastAsia="仿宋_GB2312"/>
                <w:sz w:val="28"/>
                <w:b/>
                <w:color w:val="000000"/>
              </w:rPr>
              <w:t>三、合同履行期限</w:t>
            </w:r>
          </w:p>
          <w:p>
            <w:pPr>
              <w:pStyle w:val="null3"/>
              <w:jc w:val="left"/>
            </w:pPr>
            <w:r>
              <w:rPr>
                <w:rFonts w:ascii="仿宋_GB2312" w:hAnsi="仿宋_GB2312" w:cs="仿宋_GB2312" w:eastAsia="仿宋_GB2312"/>
                <w:sz w:val="28"/>
                <w:color w:val="000000"/>
              </w:rPr>
              <w:t>合同履行期限：签订合同之日起至征收工作完成时移交项目资料止</w:t>
            </w:r>
          </w:p>
          <w:p>
            <w:pPr>
              <w:pStyle w:val="null3"/>
              <w:jc w:val="left"/>
            </w:pPr>
            <w:r>
              <w:rPr>
                <w:rFonts w:ascii="仿宋_GB2312" w:hAnsi="仿宋_GB2312" w:cs="仿宋_GB2312" w:eastAsia="仿宋_GB2312"/>
                <w:sz w:val="28"/>
                <w:b/>
                <w:color w:val="000000"/>
              </w:rPr>
              <w:t>四、质量要求</w:t>
            </w:r>
          </w:p>
          <w:p>
            <w:pPr>
              <w:pStyle w:val="null3"/>
              <w:jc w:val="left"/>
            </w:pPr>
            <w:r>
              <w:rPr>
                <w:rFonts w:ascii="仿宋_GB2312" w:hAnsi="仿宋_GB2312" w:cs="仿宋_GB2312" w:eastAsia="仿宋_GB2312"/>
                <w:sz w:val="28"/>
                <w:color w:val="000000"/>
              </w:rPr>
              <w:t>质量要求：：合格</w:t>
            </w:r>
          </w:p>
          <w:p>
            <w:pPr>
              <w:pStyle w:val="null3"/>
              <w:jc w:val="left"/>
            </w:pPr>
            <w:r>
              <w:rPr>
                <w:rFonts w:ascii="仿宋_GB2312" w:hAnsi="仿宋_GB2312" w:cs="仿宋_GB2312" w:eastAsia="仿宋_GB2312"/>
                <w:sz w:val="28"/>
                <w:b/>
                <w:color w:val="000000"/>
              </w:rPr>
              <w:t>五、成果要求</w:t>
            </w:r>
          </w:p>
          <w:p>
            <w:pPr>
              <w:pStyle w:val="null3"/>
              <w:jc w:val="left"/>
            </w:pPr>
            <w:r>
              <w:rPr>
                <w:rFonts w:ascii="仿宋_GB2312" w:hAnsi="仿宋_GB2312" w:cs="仿宋_GB2312" w:eastAsia="仿宋_GB2312"/>
                <w:sz w:val="28"/>
                <w:color w:val="000000"/>
              </w:rPr>
              <w:t>成果要求：</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内容完成后交付成果为征收补偿安置档案材料和档案办结报告。征收原始档案</w:t>
            </w:r>
            <w:r>
              <w:rPr>
                <w:rFonts w:ascii="仿宋_GB2312" w:hAnsi="仿宋_GB2312" w:cs="仿宋_GB2312" w:eastAsia="仿宋_GB2312"/>
                <w:sz w:val="28"/>
                <w:color w:val="000000"/>
              </w:rPr>
              <w:t>1份，其他报告成果纸件两份，刻录光盘两份</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 法律、行政法规规定的其他条件的承诺函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商务应答表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分项报价明细表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分项报价明细表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其他材料 供应商应提交的相关证明材料 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对项目的认识</w:t>
            </w:r>
          </w:p>
        </w:tc>
        <w:tc>
          <w:tcPr>
            <w:tcW w:type="dxa" w:w="2492"/>
          </w:tcPr>
          <w:p>
            <w:pPr>
              <w:pStyle w:val="null3"/>
              <w:jc w:val="left"/>
            </w:pPr>
            <w:r>
              <w:rPr>
                <w:rFonts w:ascii="仿宋_GB2312" w:hAnsi="仿宋_GB2312" w:cs="仿宋_GB2312" w:eastAsia="仿宋_GB2312"/>
              </w:rPr>
              <w:t>A、对项目背景理解、现状分析到位、合理，非常符合 项目实际情况，得15分； B、对项目背景理解比较准确、现状分析比较到位及合理，比较符合项目实际情况，得10分； C、对项目背景理解不够、现状分析不到位、不够合 理，不符合项目实际情况，得5分 ； D、无此项得0分。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项目重难点分析</w:t>
            </w:r>
          </w:p>
        </w:tc>
        <w:tc>
          <w:tcPr>
            <w:tcW w:type="dxa" w:w="2492"/>
          </w:tcPr>
          <w:p>
            <w:pPr>
              <w:pStyle w:val="null3"/>
              <w:jc w:val="left"/>
            </w:pPr>
            <w:r>
              <w:rPr>
                <w:rFonts w:ascii="仿宋_GB2312" w:hAnsi="仿宋_GB2312" w:cs="仿宋_GB2312" w:eastAsia="仿宋_GB2312"/>
              </w:rPr>
              <w:t>A、对项目重难点把握非常准确、并能给出非常合理的 解决思路，得15分； B、对项目 重难点把握比较准确、可以给出比较合理的解决思路， 得10分； C、对项目重难点把握 不准确、不能给出合理的解决思路，得5分； D、无此项得0分。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服务工作方案</w:t>
            </w:r>
          </w:p>
        </w:tc>
        <w:tc>
          <w:tcPr>
            <w:tcW w:type="dxa" w:w="2492"/>
          </w:tcPr>
          <w:p>
            <w:pPr>
              <w:pStyle w:val="null3"/>
              <w:jc w:val="left"/>
            </w:pPr>
            <w:r>
              <w:rPr>
                <w:rFonts w:ascii="仿宋_GB2312" w:hAnsi="仿宋_GB2312" w:cs="仿宋_GB2312" w:eastAsia="仿宋_GB2312"/>
              </w:rPr>
              <w:t>A、服务工作方案详细、工作开展思路非常清晰、采取 的措施非常合理，得20分； B、服务工作方案比较详细、工作开展思路比较清晰、采取 的措施比较合理，得13分； C、服务工作方案不够详细、工作开展思路不够清晰、 采取的措施不够合理，得7分； D、无此项得0分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w:t>
            </w:r>
          </w:p>
        </w:tc>
        <w:tc>
          <w:tcPr>
            <w:tcW w:type="dxa" w:w="2492"/>
          </w:tcPr>
          <w:p>
            <w:pPr>
              <w:pStyle w:val="null3"/>
              <w:jc w:val="left"/>
            </w:pPr>
            <w:r>
              <w:rPr>
                <w:rFonts w:ascii="仿宋_GB2312" w:hAnsi="仿宋_GB2312" w:cs="仿宋_GB2312" w:eastAsia="仿宋_GB2312"/>
              </w:rPr>
              <w:t>A、服务质量保障方案详细、思路非常清晰、采取的措 施非常合理，得10分； B、服务质量保障方案比较详细、思路比较清晰、采取的措施比 较合理，得7分； C、服务质量保障方案不够详细、思路不够清晰、采取的措施不够合 理，得4分； D、无此项得0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风险防范与应对措施</w:t>
            </w:r>
          </w:p>
        </w:tc>
        <w:tc>
          <w:tcPr>
            <w:tcW w:type="dxa" w:w="2492"/>
          </w:tcPr>
          <w:p>
            <w:pPr>
              <w:pStyle w:val="null3"/>
              <w:jc w:val="left"/>
            </w:pPr>
            <w:r>
              <w:rPr>
                <w:rFonts w:ascii="仿宋_GB2312" w:hAnsi="仿宋_GB2312" w:cs="仿宋_GB2312" w:eastAsia="仿宋_GB2312"/>
              </w:rPr>
              <w:t>A、风险防范与应对措施方案详细、思路非常清晰、采取的措施非常合理，得10分； B、风险防范与应对措施方案比较详细、思路比较清晰、采取的措施比较合理，得7分 ； C、风险防范与应对措施方案不够详细、思路 不够清晰、采取的措施不够合理，得4分； D、无此项得0分。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项目团队实力</w:t>
            </w:r>
          </w:p>
        </w:tc>
        <w:tc>
          <w:tcPr>
            <w:tcW w:type="dxa" w:w="2492"/>
          </w:tcPr>
          <w:p>
            <w:pPr>
              <w:pStyle w:val="null3"/>
              <w:jc w:val="left"/>
            </w:pPr>
            <w:r>
              <w:rPr>
                <w:rFonts w:ascii="仿宋_GB2312" w:hAnsi="仿宋_GB2312" w:cs="仿宋_GB2312" w:eastAsia="仿宋_GB2312"/>
              </w:rPr>
              <w:t>1、服务团队配置人数： 服务团队配置人数满足10人的，得10分，每缺少一名扣一分，扣完为止。 2、服务团队专业性 服务团队人员具备注册咨询工程师（投资）登记证书一个得5分；满分10分。 备注:以上均须提供相关人员身份证复印件加盖单位公章及提供近期一个月的社保缴纳证明复印件并加盖单位公章， 注册咨询工程师（投资）的还需提供注册咨询工程师（投资）登记证书，不提供者不得分。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sdzb2025-024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陵河南片区城市更新项目五期(原县毛纺厂)</w:t>
      </w:r>
    </w:p>
    <w:p>
      <w:pPr>
        <w:pStyle w:val="null3"/>
        <w:jc w:val="left"/>
      </w:pPr>
      <w:r>
        <w:rPr>
          <w:rFonts w:ascii="仿宋_GB2312" w:hAnsi="仿宋_GB2312" w:cs="仿宋_GB2312" w:eastAsia="仿宋_GB2312"/>
        </w:rPr>
        <w:t>采购包：</w:t>
      </w:r>
      <w:r>
        <w:rPr>
          <w:rFonts w:ascii="仿宋_GB2312" w:hAnsi="仿宋_GB2312" w:cs="仿宋_GB2312" w:eastAsia="仿宋_GB2312"/>
        </w:rPr>
        <w:t>陵河南片区城市更新项目五期(原县毛纺厂)</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1.00平方米</w:t>
            </w:r>
          </w:p>
        </w:tc>
        <w:tc>
          <w:tcPr>
            <w:tcW w:type="dxa" w:w="1038"/>
          </w:tcPr>
          <w:p>
            <w:pPr>
              <w:pStyle w:val="null3"/>
              <w:jc w:val="left"/>
            </w:pPr>
            <w:r>
              <w:rPr>
                <w:rFonts w:ascii="仿宋_GB2312" w:hAnsi="仿宋_GB2312" w:cs="仿宋_GB2312" w:eastAsia="仿宋_GB2312"/>
              </w:rPr>
              <w:t xml:space="preserve"> 3404000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详见附件：开标（报价）一览表</w:t>
      </w:r>
    </w:p>
    <w:p>
      <w:pPr>
        <w:pStyle w:val="null3"/>
        <w:ind w:firstLine="960"/>
        <w:jc w:val="left"/>
      </w:pPr>
      <w:r>
        <w:rPr>
          <w:rFonts w:ascii="仿宋_GB2312" w:hAnsi="仿宋_GB2312" w:cs="仿宋_GB2312" w:eastAsia="仿宋_GB2312"/>
        </w:rPr>
        <w:t>详见附件：分项报价明细表</w:t>
      </w:r>
    </w:p>
    <w:p>
      <w:pPr>
        <w:pStyle w:val="null3"/>
        <w:ind w:firstLine="960"/>
        <w:jc w:val="left"/>
      </w:pPr>
      <w:r>
        <w:rPr>
          <w:rFonts w:ascii="仿宋_GB2312" w:hAnsi="仿宋_GB2312" w:cs="仿宋_GB2312" w:eastAsia="仿宋_GB2312"/>
        </w:rPr>
        <w:t>详见附件：法律、行政法规规定的其他条件的承诺函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