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正文</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（工程类）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乐东县千家库点新增储备仓容建设项目三期</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HNYY2025-C002</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乐东黎族自治县粮食服务中心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海南雅雅实业有限责任公司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乐东黎族自治县粮食服务中心</w:t>
      </w:r>
      <w:r>
        <w:rPr>
          <w:rFonts w:ascii="仿宋_GB2312" w:hAnsi="仿宋_GB2312" w:cs="仿宋_GB2312" w:eastAsia="仿宋_GB2312"/>
        </w:rPr>
        <w:t xml:space="preserve"> 的委托， </w:t>
      </w:r>
      <w:r>
        <w:rPr>
          <w:rFonts w:ascii="仿宋_GB2312" w:hAnsi="仿宋_GB2312" w:cs="仿宋_GB2312" w:eastAsia="仿宋_GB2312"/>
        </w:rPr>
        <w:t>海南雅雅实业有限责任公司</w:t>
      </w:r>
      <w:r>
        <w:rPr>
          <w:rFonts w:ascii="仿宋_GB2312" w:hAnsi="仿宋_GB2312" w:cs="仿宋_GB2312" w:eastAsia="仿宋_GB2312"/>
        </w:rPr>
        <w:t xml:space="preserve"> 对 </w:t>
      </w:r>
      <w:r>
        <w:rPr>
          <w:rFonts w:ascii="仿宋_GB2312" w:hAnsi="仿宋_GB2312" w:cs="仿宋_GB2312" w:eastAsia="仿宋_GB2312"/>
        </w:rPr>
        <w:t>乐东县千家库点新增储备仓容建设项目三期</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HNYY2025-C002</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乐东县千家库点新增储备仓容建设项目三期</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3,396,136.31元</w:t>
      </w:r>
      <w:r>
        <w:rPr>
          <w:rFonts w:ascii="仿宋_GB2312" w:hAnsi="仿宋_GB2312" w:cs="仿宋_GB2312" w:eastAsia="仿宋_GB2312"/>
        </w:rPr>
        <w:t>叁佰叁拾玖万陆仟壹佰叁拾陆元叁角壹分</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150日历天</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属于专门面向中小企业采购，预留比例为100%。</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1、具有有效的安全生产许可证：具备国家行政主管部门颁发的安全生产许可证且在有效期内(复印件加盖公章）</w:t>
      </w:r>
    </w:p>
    <w:p>
      <w:pPr>
        <w:pStyle w:val="null3"/>
        <w:jc w:val="left"/>
      </w:pPr>
      <w:r>
        <w:rPr>
          <w:rFonts w:ascii="仿宋_GB2312" w:hAnsi="仿宋_GB2312" w:cs="仿宋_GB2312" w:eastAsia="仿宋_GB2312"/>
        </w:rPr>
        <w:t>2、具备与本项目相应的施工企业资质：建筑工程施工总承包叁级（或以上）或换发新证的建筑工程施工总承包乙级（或以上）等资质提供有效的资质证书(复印件加盖公章)</w:t>
      </w:r>
    </w:p>
    <w:p>
      <w:pPr>
        <w:pStyle w:val="null3"/>
        <w:jc w:val="left"/>
      </w:pPr>
      <w:r>
        <w:rPr>
          <w:rFonts w:ascii="仿宋_GB2312" w:hAnsi="仿宋_GB2312" w:cs="仿宋_GB2312" w:eastAsia="仿宋_GB2312"/>
        </w:rPr>
        <w:t>3、担任施工单位项目负责人的，应当具有建筑工程专业贰级（或以上）注册建造师执业资格，且不得同时在两个及两个以上的建设工程项目上担任项目负责人：担任施工单位项目负责人的，应当具有建筑工程专业贰级（或以上）注册建造师执业资格，且不得同时在两个及两个以上的建设工程项目上担任项目负责人，提供有效的注册建造师执业资格证书（复印件加盖公章）</w:t>
      </w:r>
    </w:p>
    <w:p>
      <w:pPr>
        <w:pStyle w:val="null3"/>
        <w:jc w:val="left"/>
      </w:pPr>
      <w:r>
        <w:rPr>
          <w:rFonts w:ascii="仿宋_GB2312" w:hAnsi="仿宋_GB2312" w:cs="仿宋_GB2312" w:eastAsia="仿宋_GB2312"/>
        </w:rPr>
        <w:t>4、本项目的响应供应商必须持有《海南省建筑企业诚信档案手册》，施工项目部关键岗位人员数量不得低于《海南省住房和城乡建设厅关于印发&lt;海南省建筑工程施工现场关键岗位人员配备和在岗履职管理办法&gt;的通知》规定的标准：本项目的响应供应商必须持有《海南省建筑企业诚信档案手册》，施工项目部关键岗位人员数量不得低于《海南省住房和城乡建设厅关于印发&lt;海南省建筑工程施工现场关键岗位人员配备和在岗履职管理办法&gt;的通知》规定的标准；供应商通过省住房和城乡建设厅网站（http://zjt.hainan.gov.cn/）登录海南省房屋建筑工程全过程监管信息平台填报项目名称、项目地址、派驻的项目班子关键岗位人员信息，打印生成《海南省建筑企业诚信档案手册》（诚信档案手册复印件加盖公章）</w:t>
      </w:r>
    </w:p>
    <w:p>
      <w:pPr>
        <w:pStyle w:val="null3"/>
        <w:jc w:val="left"/>
      </w:pPr>
      <w:r>
        <w:rPr>
          <w:rFonts w:ascii="仿宋_GB2312" w:hAnsi="仿宋_GB2312" w:cs="仿宋_GB2312" w:eastAsia="仿宋_GB2312"/>
        </w:rPr>
        <w:t>5、参加政府采购活动前3年内没有环保类重大违法记录：参加政府采购活动前3年内没有环保类重大违法记录的书面声明，格式自拟加盖公章</w:t>
      </w:r>
    </w:p>
    <w:p>
      <w:pPr>
        <w:pStyle w:val="null3"/>
        <w:jc w:val="left"/>
      </w:pPr>
      <w:r>
        <w:rPr>
          <w:rFonts w:ascii="仿宋_GB2312" w:hAnsi="仿宋_GB2312" w:cs="仿宋_GB2312" w:eastAsia="仿宋_GB2312"/>
        </w:rPr>
        <w:t>6、本项目不接受联合体磋商：本项目不接受联合体磋商，提供承诺函，格式自拟加盖公章</w:t>
      </w:r>
    </w:p>
    <w:p>
      <w:pPr>
        <w:pStyle w:val="null3"/>
        <w:jc w:val="left"/>
      </w:pPr>
      <w:r>
        <w:rPr>
          <w:rFonts w:ascii="仿宋_GB2312" w:hAnsi="仿宋_GB2312" w:cs="仿宋_GB2312" w:eastAsia="仿宋_GB2312"/>
        </w:rPr>
        <w:t>7、成交供应商成交后不得将成交项目分包或转让给其他主体实施：成交供应商成交后不得将成交项目分包或转让给其他主体实施，提供承诺函，格式自拟加盖公章</w:t>
      </w:r>
    </w:p>
    <w:p>
      <w:pPr>
        <w:pStyle w:val="null3"/>
        <w:jc w:val="left"/>
      </w:pPr>
      <w:r>
        <w:rPr>
          <w:rFonts w:ascii="仿宋_GB2312" w:hAnsi="仿宋_GB2312" w:cs="仿宋_GB2312" w:eastAsia="仿宋_GB2312"/>
        </w:rPr>
        <w:t>8、供应商应当合法获得本项目的磋商文件：供应商应当合法获得本项目的磋商文件提供承诺函，格式自拟加盖公章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供应商应当自行在海南省政府采购智慧云平台-下载专区查看相应的系统操作指南，并严格按照操作指南要求进行系统操作，供应商使用交易系统遇到问题请拨打以下热线电话: 热线一:4001691288:本项目需使用CA锁，CA数字证书认证咨询电话:0898-65328224。</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乐东黎族自治县粮食服务中心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海南省乐东黎族自治县抱由镇乐祥路21号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572539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廖驰</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13876452549</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海南雅雅实业有限责任公司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海南省海口市龙华区海垦街道八一新村A2栋401房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570226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符佳瑾</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13807655368</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采购包1：3,396,136.31元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说明:成交供应商应当提交约保证金，供应商应当以支票、汇票、本票或者金融机构、担保机构出具的保函等非现金形式提交，约保证金的数额不超过政府采购合同金额的5%。履约保证金的退还方式在政府采购合同中予以约定。</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120日历天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代理服务费收费标准：双方协商约定招标代理服务费参照计价格相关文件收费标准向采购人优惠计取，代理服务费:¥16207.90(大写人民币:壹万陆仟贰佰零柒元玖角整</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（2）中国政府采购网海南分网（海南省政府采购网），网址https://ccgp-hainan.gov.cn/。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本项目可兼投1包，本项目可兼中1包</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1、根据海南省发展和改革委员会发布的琼发改投[2020]302号文规定，所有投标单 位参与投标时：在响应文件中须提供“若中标本项目，新招劳动力优先考虑贫困劳动 力，且贫困劳动力不低于新招录人员数量的 10%”的承诺（提供承诺函，格式自拟） 。2、农民工工资支付约定：根据海南省人民政府办公厅关于印发《海南省贯彻落实 〈保障农民工工资支付条例〉的实施意见》的通知（琼府办〔2021〕56 号）、海南 省人力资源和社会保障厅等八部门关于印发《海南省关于＜工程建设领域农民工工资 专用账户管理暂行办法＞的实施细则》的通知（（琼人社规〔2021〕10 号）的相关 文件规定和要求，结合实际，落实农民工工资支付管理，严格施工实名制管理，加强 施工现场人员全员登记考勤监管，设立农民工工资专用账户，按时足额支付农民工工 资，建立健全工程领域农民工工资保障工作等机制（提供承诺函，格式自拟）。 3、 根据《关于在相关自由贸易试验区和自由贸易港开展推动解决政府采购异常低价问题 试点工作的通知》的要求，评审委员会启动异常低价投标（响应）审查后，应当要求 相关供应商在评审现场合理的时间内提供书面说明及必要的证明材料，对投标（响应 ）价格作出解释【提供书面说明及必要的证明材料包括但不仅限于：供应商保质保量 、按时履约的承诺以及承担由于异常低价中标导致违约的罚金、同时提供类似工程量 单价的业绩合同等材料加以佐证（注：供应商应单独列明类似的工程量清单报价）， 否则评审委员会可以认定供应商有可能影响产品质量或者不能诚信履约或者不能证明 其报价合理性。】 4、本项目工程暂估价170000元，所属行业：建筑业 5、成交单 位成交后须提供纸质版响应文件3份（文件内容须与电子版响应文件内容完全一致）</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“采购单位”指磋商文件中所述所有工程、相关货物、相关服务的甲方。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 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 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供应商应在响应文件中提供证明其所投工程、相关货物、相关服务的合格性和符合磋商文件规定的相关证明文件。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供应商应在响应文件中完整表达履行本采购项目的相关工程量清单、技术方案、方法和措施，及证明其成交后具有良好履约能力的说明材料。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8.1.1根据采购人确定的成交结果，采购代理机构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联系人：符工</w:t>
      </w:r>
    </w:p>
    <w:p>
      <w:pPr>
        <w:pStyle w:val="null3"/>
        <w:jc w:val="left"/>
      </w:pPr>
      <w:r>
        <w:rPr>
          <w:rFonts w:ascii="仿宋_GB2312" w:hAnsi="仿宋_GB2312" w:cs="仿宋_GB2312" w:eastAsia="仿宋_GB2312"/>
        </w:rPr>
        <w:t>联系电话：13322065478</w:t>
      </w:r>
    </w:p>
    <w:p>
      <w:pPr>
        <w:pStyle w:val="null3"/>
        <w:jc w:val="left"/>
      </w:pPr>
      <w:r>
        <w:rPr>
          <w:rFonts w:ascii="仿宋_GB2312" w:hAnsi="仿宋_GB2312" w:cs="仿宋_GB2312" w:eastAsia="仿宋_GB2312"/>
        </w:rPr>
        <w:t>地址：海南省海口市龙华区海垦街道八一新村A2栋401房</w:t>
      </w:r>
    </w:p>
    <w:p>
      <w:pPr>
        <w:pStyle w:val="null3"/>
        <w:jc w:val="left"/>
      </w:pPr>
      <w:r>
        <w:rPr>
          <w:rFonts w:ascii="仿宋_GB2312" w:hAnsi="仿宋_GB2312" w:cs="仿宋_GB2312" w:eastAsia="仿宋_GB2312"/>
        </w:rPr>
        <w:t>邮编：570226</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rPr>
        <w:t>乐东县千家库点新增储备仓容建设项目三期</w:t>
      </w:r>
    </w:p>
    <w:p>
      <w:pPr>
        <w:pStyle w:val="null3"/>
        <w:jc w:val="left"/>
      </w:pPr>
      <w:r>
        <w:rPr>
          <w:rFonts w:ascii="仿宋_GB2312" w:hAnsi="仿宋_GB2312" w:cs="仿宋_GB2312" w:eastAsia="仿宋_GB2312"/>
        </w:rPr>
        <w:t>二、工程建设标准</w:t>
      </w:r>
    </w:p>
    <w:p>
      <w:pPr>
        <w:pStyle w:val="null3"/>
        <w:jc w:val="left"/>
      </w:pPr>
      <w:r>
        <w:rPr>
          <w:rFonts w:ascii="仿宋_GB2312" w:hAnsi="仿宋_GB2312" w:cs="仿宋_GB2312" w:eastAsia="仿宋_GB2312"/>
        </w:rPr>
        <w:t>依据设计文件的要求，本工程项目的建筑材料、施工须达到现行中华人民共和国以及省、自治区、直辖市或行业的工程建</w:t>
      </w:r>
      <w:r>
        <w:rPr>
          <w:rFonts w:ascii="仿宋_GB2312" w:hAnsi="仿宋_GB2312" w:cs="仿宋_GB2312" w:eastAsia="仿宋_GB2312"/>
        </w:rPr>
        <w:t>设标准、规范的要求。</w:t>
      </w:r>
    </w:p>
    <w:p>
      <w:pPr>
        <w:pStyle w:val="null3"/>
        <w:jc w:val="left"/>
      </w:pPr>
      <w:r>
        <w:rPr>
          <w:rFonts w:ascii="仿宋_GB2312" w:hAnsi="仿宋_GB2312" w:cs="仿宋_GB2312" w:eastAsia="仿宋_GB2312"/>
        </w:rPr>
        <w:t>本项目采购标的对应的中小企业划分标准所属行业：建筑业。</w:t>
      </w:r>
    </w:p>
    <w:p>
      <w:pPr>
        <w:pStyle w:val="null3"/>
        <w:jc w:val="left"/>
      </w:pPr>
      <w:r>
        <w:rPr>
          <w:rFonts w:ascii="仿宋_GB2312" w:hAnsi="仿宋_GB2312" w:cs="仿宋_GB2312" w:eastAsia="仿宋_GB2312"/>
        </w:rPr>
        <w:t>三、工程基本情况</w:t>
      </w:r>
    </w:p>
    <w:p>
      <w:pPr>
        <w:pStyle w:val="null3"/>
        <w:jc w:val="left"/>
      </w:pPr>
      <w:r>
        <w:rPr>
          <w:rFonts w:ascii="仿宋_GB2312" w:hAnsi="仿宋_GB2312" w:cs="仿宋_GB2312" w:eastAsia="仿宋_GB2312"/>
        </w:rPr>
        <w:t>1</w:t>
      </w:r>
      <w:r>
        <w:rPr>
          <w:rFonts w:ascii="仿宋_GB2312" w:hAnsi="仿宋_GB2312" w:cs="仿宋_GB2312" w:eastAsia="仿宋_GB2312"/>
        </w:rPr>
        <w:t>、工程概况：乐东县千家库点新增储备仓容建设项目三期，建设单位为乐东黎族自治县粮食服务中心。</w:t>
      </w:r>
    </w:p>
    <w:p>
      <w:pPr>
        <w:pStyle w:val="null3"/>
        <w:jc w:val="left"/>
      </w:pPr>
      <w:r>
        <w:rPr>
          <w:rFonts w:ascii="仿宋_GB2312" w:hAnsi="仿宋_GB2312" w:cs="仿宋_GB2312" w:eastAsia="仿宋_GB2312"/>
        </w:rPr>
        <w:t>2</w:t>
      </w:r>
      <w:r>
        <w:rPr>
          <w:rFonts w:ascii="仿宋_GB2312" w:hAnsi="仿宋_GB2312" w:cs="仿宋_GB2312" w:eastAsia="仿宋_GB2312"/>
        </w:rPr>
        <w:t>、主要内容和范围包括：建设</w:t>
      </w:r>
      <w:r>
        <w:rPr>
          <w:rFonts w:ascii="仿宋_GB2312" w:hAnsi="仿宋_GB2312" w:cs="仿宋_GB2312" w:eastAsia="仿宋_GB2312"/>
        </w:rPr>
        <w:t>1</w:t>
      </w:r>
      <w:r>
        <w:rPr>
          <w:rFonts w:ascii="仿宋_GB2312" w:hAnsi="仿宋_GB2312" w:cs="仿宋_GB2312" w:eastAsia="仿宋_GB2312"/>
        </w:rPr>
        <w:t>幢散装平房仓，仓容</w:t>
      </w:r>
      <w:r>
        <w:rPr>
          <w:rFonts w:ascii="仿宋_GB2312" w:hAnsi="仿宋_GB2312" w:cs="仿宋_GB2312" w:eastAsia="仿宋_GB2312"/>
        </w:rPr>
        <w:t>1800t(</w:t>
      </w:r>
      <w:r>
        <w:rPr>
          <w:rFonts w:ascii="仿宋_GB2312" w:hAnsi="仿宋_GB2312" w:cs="仿宋_GB2312" w:eastAsia="仿宋_GB2312"/>
        </w:rPr>
        <w:t>稻谷</w:t>
      </w:r>
      <w:r>
        <w:rPr>
          <w:rFonts w:ascii="仿宋_GB2312" w:hAnsi="仿宋_GB2312" w:cs="仿宋_GB2312" w:eastAsia="仿宋_GB2312"/>
        </w:rPr>
        <w:t>)</w:t>
      </w:r>
      <w:r>
        <w:rPr>
          <w:rFonts w:ascii="仿宋_GB2312" w:hAnsi="仿宋_GB2312" w:cs="仿宋_GB2312" w:eastAsia="仿宋_GB2312"/>
        </w:rPr>
        <w:t>及其室外配套工程</w:t>
      </w:r>
      <w:r>
        <w:rPr>
          <w:rFonts w:ascii="仿宋_GB2312" w:hAnsi="仿宋_GB2312" w:cs="仿宋_GB2312" w:eastAsia="仿宋_GB2312"/>
        </w:rPr>
        <w:t>(</w:t>
      </w:r>
      <w:r>
        <w:rPr>
          <w:rFonts w:ascii="仿宋_GB2312" w:hAnsi="仿宋_GB2312" w:cs="仿宋_GB2312" w:eastAsia="仿宋_GB2312"/>
        </w:rPr>
        <w:t>包括道路硬化、绿化、土石方、室</w:t>
      </w:r>
      <w:r>
        <w:rPr>
          <w:rFonts w:ascii="仿宋_GB2312" w:hAnsi="仿宋_GB2312" w:cs="仿宋_GB2312" w:eastAsia="仿宋_GB2312"/>
        </w:rPr>
        <w:t>外电气、室外给排水等工程</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具体以施工图及工程量清单的全部内容为准。</w:t>
      </w:r>
    </w:p>
    <w:p>
      <w:pPr>
        <w:pStyle w:val="null3"/>
        <w:jc w:val="left"/>
      </w:pPr>
      <w:r>
        <w:rPr>
          <w:rFonts w:ascii="仿宋_GB2312" w:hAnsi="仿宋_GB2312" w:cs="仿宋_GB2312" w:eastAsia="仿宋_GB2312"/>
        </w:rPr>
        <w:t>四、工期及质量要求</w:t>
      </w:r>
    </w:p>
    <w:p>
      <w:pPr>
        <w:pStyle w:val="null3"/>
        <w:jc w:val="left"/>
      </w:pPr>
      <w:r>
        <w:rPr>
          <w:rFonts w:ascii="仿宋_GB2312" w:hAnsi="仿宋_GB2312" w:cs="仿宋_GB2312" w:eastAsia="仿宋_GB2312"/>
        </w:rPr>
        <w:t>1</w:t>
      </w:r>
      <w:r>
        <w:rPr>
          <w:rFonts w:ascii="仿宋_GB2312" w:hAnsi="仿宋_GB2312" w:cs="仿宋_GB2312" w:eastAsia="仿宋_GB2312"/>
        </w:rPr>
        <w:t>、工期要求：</w:t>
      </w:r>
      <w:r>
        <w:rPr>
          <w:rFonts w:ascii="仿宋_GB2312" w:hAnsi="仿宋_GB2312" w:cs="仿宋_GB2312" w:eastAsia="仿宋_GB2312"/>
        </w:rPr>
        <w:t>150</w:t>
      </w:r>
      <w:r>
        <w:rPr>
          <w:rFonts w:ascii="仿宋_GB2312" w:hAnsi="仿宋_GB2312" w:cs="仿宋_GB2312" w:eastAsia="仿宋_GB2312"/>
        </w:rPr>
        <w:t>日历天。</w:t>
      </w:r>
    </w:p>
    <w:p>
      <w:pPr>
        <w:pStyle w:val="null3"/>
        <w:jc w:val="left"/>
      </w:pPr>
      <w:r>
        <w:rPr>
          <w:rFonts w:ascii="仿宋_GB2312" w:hAnsi="仿宋_GB2312" w:cs="仿宋_GB2312" w:eastAsia="仿宋_GB2312"/>
        </w:rPr>
        <w:t>2</w:t>
      </w:r>
      <w:r>
        <w:rPr>
          <w:rFonts w:ascii="仿宋_GB2312" w:hAnsi="仿宋_GB2312" w:cs="仿宋_GB2312" w:eastAsia="仿宋_GB2312"/>
        </w:rPr>
        <w:t>、质量标准：符合《工程施工质量验收规范》要求验收合格</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3,396,136.31</w:t>
      </w:r>
    </w:p>
    <w:p>
      <w:pPr>
        <w:pStyle w:val="null3"/>
        <w:jc w:val="left"/>
      </w:pPr>
      <w:r>
        <w:rPr>
          <w:rFonts w:ascii="仿宋_GB2312" w:hAnsi="仿宋_GB2312" w:cs="仿宋_GB2312" w:eastAsia="仿宋_GB2312"/>
        </w:rPr>
        <w:t>采购包最高限价（元）: 3,396,136.31</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B01022600-仓储用房施工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3,396,136.31</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建筑业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B01022600-仓储用房施工</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3,396,136.31</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标的名称：B01022600-仓储用房施工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19"/>
                <w:color w:val="000000"/>
              </w:rPr>
              <w:t>详见工程量清单及施工图</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rPr>
              <w:t>1、工期要求：</w:t>
            </w:r>
            <w:r>
              <w:rPr>
                <w:rFonts w:ascii="仿宋_GB2312" w:hAnsi="仿宋_GB2312" w:cs="仿宋_GB2312" w:eastAsia="仿宋_GB2312"/>
                <w:sz w:val="24"/>
              </w:rPr>
              <w:t>150日历天</w:t>
            </w:r>
          </w:p>
          <w:p>
            <w:pPr>
              <w:pStyle w:val="null3"/>
              <w:jc w:val="both"/>
            </w:pPr>
            <w:r>
              <w:rPr>
                <w:rFonts w:ascii="仿宋_GB2312" w:hAnsi="仿宋_GB2312" w:cs="仿宋_GB2312" w:eastAsia="仿宋_GB2312"/>
                <w:sz w:val="24"/>
              </w:rPr>
              <w:t>2、主要内容</w:t>
            </w:r>
            <w:r>
              <w:rPr>
                <w:rFonts w:ascii="仿宋_GB2312" w:hAnsi="仿宋_GB2312" w:cs="仿宋_GB2312" w:eastAsia="仿宋_GB2312"/>
                <w:sz w:val="24"/>
              </w:rPr>
              <w:t>和范围</w:t>
            </w:r>
            <w:r>
              <w:rPr>
                <w:rFonts w:ascii="仿宋_GB2312" w:hAnsi="仿宋_GB2312" w:cs="仿宋_GB2312" w:eastAsia="仿宋_GB2312"/>
                <w:sz w:val="24"/>
              </w:rPr>
              <w:t>包括：建设</w:t>
            </w:r>
            <w:r>
              <w:rPr>
                <w:rFonts w:ascii="仿宋_GB2312" w:hAnsi="仿宋_GB2312" w:cs="仿宋_GB2312" w:eastAsia="仿宋_GB2312"/>
                <w:sz w:val="24"/>
              </w:rPr>
              <w:t>1幢散装平房仓，仓容1800t(稻谷)及其室外配套工程(包括道路硬化、绿化、土石方、室外电气、室外给排水等工程)。</w:t>
            </w:r>
            <w:r>
              <w:rPr>
                <w:rFonts w:ascii="仿宋_GB2312" w:hAnsi="仿宋_GB2312" w:cs="仿宋_GB2312" w:eastAsia="仿宋_GB2312"/>
                <w:sz w:val="24"/>
              </w:rPr>
              <w:t>具体以施工图及工程量清单的全部内容为准。</w:t>
            </w:r>
          </w:p>
          <w:p>
            <w:pPr>
              <w:pStyle w:val="null3"/>
              <w:jc w:val="both"/>
            </w:pPr>
            <w:r>
              <w:rPr>
                <w:rFonts w:ascii="仿宋_GB2312" w:hAnsi="仿宋_GB2312" w:cs="仿宋_GB2312" w:eastAsia="仿宋_GB2312"/>
                <w:sz w:val="24"/>
              </w:rPr>
              <w:t>3、交付（服务）地点：：乐东黎族自治县。</w:t>
            </w:r>
          </w:p>
          <w:p>
            <w:pPr>
              <w:pStyle w:val="null3"/>
              <w:jc w:val="both"/>
            </w:pPr>
            <w:r>
              <w:rPr>
                <w:rFonts w:ascii="仿宋_GB2312" w:hAnsi="仿宋_GB2312" w:cs="仿宋_GB2312" w:eastAsia="仿宋_GB2312"/>
              </w:rPr>
              <w:t>4、</w:t>
            </w:r>
            <w:r>
              <w:rPr>
                <w:rFonts w:ascii="仿宋_GB2312" w:hAnsi="仿宋_GB2312" w:cs="仿宋_GB2312" w:eastAsia="仿宋_GB2312"/>
                <w:sz w:val="24"/>
              </w:rPr>
              <w:t>质量标准：符合《工程施工质量验收规范》要求验收合格。</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19"/>
          <w:color w:val="000000"/>
        </w:rPr>
        <w:t>除磋商文件另有规定外，若出现有关法律、法规和规章有强制性规定但磋商文件未列明的情形，则供应商应按照有关法律</w:t>
      </w:r>
      <w:r>
        <w:rPr>
          <w:rFonts w:ascii="仿宋_GB2312" w:hAnsi="仿宋_GB2312" w:cs="仿宋_GB2312" w:eastAsia="仿宋_GB2312"/>
          <w:sz w:val="19"/>
          <w:color w:val="000000"/>
        </w:rPr>
        <w:t>、法规和规章强制性规定执行</w:t>
      </w:r>
      <w:r>
        <w:rPr>
          <w:rFonts w:ascii="仿宋_GB2312" w:hAnsi="仿宋_GB2312" w:cs="仿宋_GB2312" w:eastAsia="仿宋_GB2312"/>
          <w:sz w:val="19"/>
          <w:color w:val="000000"/>
        </w:rPr>
        <w:t>。</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采购资金的支付方式、时间、条件： 严格按照《海南省财政厅关于进一步加强政府采购支持中小企业发展的通知》（2022年6月17日印发）、《海南省财政厅关于进一步优化政府采购营商环境的通知》（琼财采〔2022〕68号）以及《海南省财政厅关于印发〈海南省政府采购领域优化营商环境提升措施〉的通知》（琼财采〔2023〕981号）的规定执行： 1、对于满足合同约定支付条件的，采购人原则上应当自收到发票后5个工作日内将资金支付到合同约定的供应商账户，不得以机构变动、人员更替、政策调整等理由延迟付款，不得将采购文件和合同中未规定的义务作为向供应商付款的条件，鼓励支付预付款，采购人结合项目特点和供应商资信情况，在签订合同后即预付一定比例的合同款项给中标（成交）供应商，预付款比例原则上不低于合同金额的30%；对于资信状况良好、履约能力较强的中标（成交）供应商，可适当提高预付款比例，但最高不超过合同金额的70%，建议工程项目预付款有特殊规定的除外。 2、进一步加强政府采购支持中小企业发展的力度。（1）严格按照批准的预算开展政府采购，按时足额支付中小企业款项。若满足合同约定支付条件，采购人自收到发票后3-5个工作日将资金支付到合同约定的供应商账户。采购人不得以机构变动、人员更替、政策调整等理由延迟付款，不得将采购文件和合同中未规定的义务作为向供应商（或承接主体）付款的条件。（2）对于有预留安排的合同，采购人将合同预付款比例提高到30%以上；对于资信状况良好、履约能力较强的中标（成交）供应商，可适当提高预付款比例，但最高不超过合同金额的70%，建议工程项目预付款有特殊规定的除外。 3、采购人和供应商对资金支付产生争议的，应当按照法律规定和合同约定及时解决，保证资金支付效率。 4、采购人逾期支付资金应承担违约责任。采购人若存在逾期支付资金情形的，供应商有权向相关财政部门报告，由财政部门启动政府采购合同资金支付预警监控机制，发现逾期支付资金问题的，视情况进行通报、约谈，依法依规追究责任。</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具有有效的安全生产许可证</w:t>
            </w:r>
          </w:p>
        </w:tc>
        <w:tc>
          <w:tcPr>
            <w:tcW w:type="dxa" w:w="3322"/>
          </w:tcPr>
          <w:p>
            <w:pPr>
              <w:pStyle w:val="null3"/>
              <w:jc w:val="left"/>
            </w:pPr>
            <w:r>
              <w:rPr>
                <w:rFonts w:ascii="仿宋_GB2312" w:hAnsi="仿宋_GB2312" w:cs="仿宋_GB2312" w:eastAsia="仿宋_GB2312"/>
              </w:rPr>
              <w:t>具备国家行政主管部门颁发的安全生产许可证且在有效期内(复印件加盖公章）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具备与本项目相应的施工企业资质</w:t>
            </w:r>
          </w:p>
        </w:tc>
        <w:tc>
          <w:tcPr>
            <w:tcW w:type="dxa" w:w="3322"/>
          </w:tcPr>
          <w:p>
            <w:pPr>
              <w:pStyle w:val="null3"/>
              <w:jc w:val="left"/>
            </w:pPr>
            <w:r>
              <w:rPr>
                <w:rFonts w:ascii="仿宋_GB2312" w:hAnsi="仿宋_GB2312" w:cs="仿宋_GB2312" w:eastAsia="仿宋_GB2312"/>
              </w:rPr>
              <w:t>建筑工程施工总承包叁级（或以上）或换发新证的建筑工程施工总承包乙级（或以上）等资质提供有效的资质证书(复印件加盖公章)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担任施工单位项目负责人的，应当具有建筑工程专业贰级（或以上）注册建造师执业资格，且不得同时在两个及两个以上的建设工程项目上担任项目负责人</w:t>
            </w:r>
          </w:p>
        </w:tc>
        <w:tc>
          <w:tcPr>
            <w:tcW w:type="dxa" w:w="3322"/>
          </w:tcPr>
          <w:p>
            <w:pPr>
              <w:pStyle w:val="null3"/>
              <w:jc w:val="left"/>
            </w:pPr>
            <w:r>
              <w:rPr>
                <w:rFonts w:ascii="仿宋_GB2312" w:hAnsi="仿宋_GB2312" w:cs="仿宋_GB2312" w:eastAsia="仿宋_GB2312"/>
              </w:rPr>
              <w:t>担任施工单位项目负责人的，应当具有建筑工程专业贰级（或以上）注册建造师执业资格，且不得同时在两个及两个以上的建设工程项目上担任项目负责人，提供有效的注册建造师执业资格证书（复印件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本项目的响应供应商必须持有《海南省建筑企业诚信档案手册》，施工项目部关键岗位人员数量不得低于《海南省住房和城乡建设厅关于印发&lt;海南省建筑工程施工现场关键岗位人员配备和在岗履职管理办法&gt;的通知》规定的标准</w:t>
            </w:r>
          </w:p>
        </w:tc>
        <w:tc>
          <w:tcPr>
            <w:tcW w:type="dxa" w:w="3322"/>
          </w:tcPr>
          <w:p>
            <w:pPr>
              <w:pStyle w:val="null3"/>
              <w:jc w:val="left"/>
            </w:pPr>
            <w:r>
              <w:rPr>
                <w:rFonts w:ascii="仿宋_GB2312" w:hAnsi="仿宋_GB2312" w:cs="仿宋_GB2312" w:eastAsia="仿宋_GB2312"/>
              </w:rPr>
              <w:t>本项目的响应供应商必须持有《海南省建筑企业诚信档案手册》，施工项目部关键岗位人员数量不得低于《海南省住房和城乡建设厅关于印发&lt;海南省建筑工程施工现场关键岗位人员配备和在岗履职管理办法&gt;的通知》规定的标准；供应商通过省住房和城乡建设厅网站（http://zjt.hainan.gov.cn/）登录海南省房屋建筑工程全过程监管信息平台填报项目名称、项目地址、派驻的项目班子关键岗位人员信息，打印生成《海南省建筑企业诚信档案手册》（诚信档案手册复印件加盖公章）</w:t>
            </w:r>
          </w:p>
        </w:tc>
        <w:tc>
          <w:tcPr>
            <w:tcW w:type="dxa" w:w="1661"/>
          </w:tcPr>
          <w:p>
            <w:pPr>
              <w:pStyle w:val="null3"/>
              <w:jc w:val="left"/>
            </w:pPr>
            <w:r>
              <w:rPr>
                <w:rFonts w:ascii="仿宋_GB2312" w:hAnsi="仿宋_GB2312" w:cs="仿宋_GB2312" w:eastAsia="仿宋_GB2312"/>
              </w:rPr>
              <w:t>项目管理人员情况表 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参加政府采购活动前3年内没有环保类重大违法记录</w:t>
            </w:r>
          </w:p>
        </w:tc>
        <w:tc>
          <w:tcPr>
            <w:tcW w:type="dxa" w:w="3322"/>
          </w:tcPr>
          <w:p>
            <w:pPr>
              <w:pStyle w:val="null3"/>
              <w:jc w:val="left"/>
            </w:pPr>
            <w:r>
              <w:rPr>
                <w:rFonts w:ascii="仿宋_GB2312" w:hAnsi="仿宋_GB2312" w:cs="仿宋_GB2312" w:eastAsia="仿宋_GB2312"/>
              </w:rPr>
              <w:t>参加政府采购活动前3年内没有环保类重大违法记录的书面声明，格式自拟加盖公章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本项目不接受联合体磋商</w:t>
            </w:r>
          </w:p>
        </w:tc>
        <w:tc>
          <w:tcPr>
            <w:tcW w:type="dxa" w:w="3322"/>
          </w:tcPr>
          <w:p>
            <w:pPr>
              <w:pStyle w:val="null3"/>
              <w:jc w:val="left"/>
            </w:pPr>
            <w:r>
              <w:rPr>
                <w:rFonts w:ascii="仿宋_GB2312" w:hAnsi="仿宋_GB2312" w:cs="仿宋_GB2312" w:eastAsia="仿宋_GB2312"/>
              </w:rPr>
              <w:t>本项目不接受联合体磋商，提供承诺函，格式自拟加盖公章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成交供应商成交后不得将成交项目分包或转让给其他主体实施</w:t>
            </w:r>
          </w:p>
        </w:tc>
        <w:tc>
          <w:tcPr>
            <w:tcW w:type="dxa" w:w="3322"/>
          </w:tcPr>
          <w:p>
            <w:pPr>
              <w:pStyle w:val="null3"/>
              <w:jc w:val="left"/>
            </w:pPr>
            <w:r>
              <w:rPr>
                <w:rFonts w:ascii="仿宋_GB2312" w:hAnsi="仿宋_GB2312" w:cs="仿宋_GB2312" w:eastAsia="仿宋_GB2312"/>
              </w:rPr>
              <w:t>成交供应商成交后不得将成交项目分包或转让给其他主体实施，提供承诺函，格式自拟加盖公章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供应商应当合法获得本项目的磋商文件</w:t>
            </w:r>
          </w:p>
        </w:tc>
        <w:tc>
          <w:tcPr>
            <w:tcW w:type="dxa" w:w="3322"/>
          </w:tcPr>
          <w:p>
            <w:pPr>
              <w:pStyle w:val="null3"/>
              <w:jc w:val="left"/>
            </w:pPr>
            <w:r>
              <w:rPr>
                <w:rFonts w:ascii="仿宋_GB2312" w:hAnsi="仿宋_GB2312" w:cs="仿宋_GB2312" w:eastAsia="仿宋_GB2312"/>
              </w:rPr>
              <w:t>供应商应当合法获得本项目的磋商文件提供承诺函，格式自拟加盖公章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项目管理人员情况表 开标（报价）一览表 中小企业声明函 商务应答表 自觉抵制政府采购领域商业贿赂行为承诺书 封面 商业信誉、财务会计制度、缴纳税收和社保的承诺函 具有独立承担民事责任的能力证明文件 供应商承诺函 磋商保证金缴纳证明材料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商务应答表 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技术部分60.00分</w:t>
            </w:r>
          </w:p>
          <w:p>
            <w:pPr>
              <w:pStyle w:val="null3"/>
              <w:jc w:val="left"/>
            </w:pPr>
            <w:r>
              <w:rPr>
                <w:rFonts w:ascii="仿宋_GB2312" w:hAnsi="仿宋_GB2312" w:cs="仿宋_GB2312" w:eastAsia="仿宋_GB2312"/>
              </w:rPr>
              <w:t>商务部分10.00分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主要施工方案与技术措施</w:t>
            </w:r>
          </w:p>
        </w:tc>
        <w:tc>
          <w:tcPr>
            <w:tcW w:type="dxa" w:w="2492"/>
          </w:tcPr>
          <w:p>
            <w:pPr>
              <w:pStyle w:val="null3"/>
              <w:jc w:val="left"/>
            </w:pPr>
            <w:r>
              <w:rPr>
                <w:rFonts w:ascii="仿宋_GB2312" w:hAnsi="仿宋_GB2312" w:cs="仿宋_GB2312" w:eastAsia="仿宋_GB2312"/>
              </w:rPr>
              <w:t>根据供应商提供的本项目主要施工方案与技术措施进行评价，方案内容包含但不限于：工程特点、施工重点与难点分析、施工总体安排、施工工艺内容和制定、施工机械等方面，主要施工方案与技术措施详细完整满足项目要求或方案不存在瑕疵的，得15分；主要施工方案与技术措施存在1处瑕疵的，得12 分；主要施工方案与技术措施不完备或方案存在2处瑕疵的，得9分；主要施工方案与技术措施不满足项目要求或方案存在3处（含）以上瑕疵的，得6分；未提供不得分。（注：瑕疵，指内容不完整或缺少关键点；非专门针对本项目或不适用本项目，套用其他项目内容；对同一问题前后表述矛盾；存在逻辑漏洞、科学原理或常识性的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质量保证措施</w:t>
            </w:r>
          </w:p>
        </w:tc>
        <w:tc>
          <w:tcPr>
            <w:tcW w:type="dxa" w:w="2492"/>
          </w:tcPr>
          <w:p>
            <w:pPr>
              <w:pStyle w:val="null3"/>
              <w:jc w:val="left"/>
            </w:pPr>
            <w:r>
              <w:rPr>
                <w:rFonts w:ascii="仿宋_GB2312" w:hAnsi="仿宋_GB2312" w:cs="仿宋_GB2312" w:eastAsia="仿宋_GB2312"/>
              </w:rPr>
              <w:t>根据供应商提供的本项目质量保证措施进行评价，内容包含但不限于：工程质量及保证措施、质量监控系统、联络协调系统、组织机构设置等方面，质量保证措施详细完整满足项目要求或方案不存在瑕疵的，得10分；质量保证措施存在1处瑕疵的，得8分；质量保证措施不完备或方案存在2处瑕疵的，得6 分；质量保证措施不满足项目要求或方案存在3处（含）以上瑕疵的，得4分；未提供不得分。（注：瑕疵，指内容不完整或缺少关键点；非专门针对本项目或不适用本项目，套用其他项目内容；对同一问题前后表述矛盾；存在逻辑漏洞、科学原理或常识性的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安全保证措施</w:t>
            </w:r>
          </w:p>
        </w:tc>
        <w:tc>
          <w:tcPr>
            <w:tcW w:type="dxa" w:w="2492"/>
          </w:tcPr>
          <w:p>
            <w:pPr>
              <w:pStyle w:val="null3"/>
              <w:jc w:val="left"/>
            </w:pPr>
            <w:r>
              <w:rPr>
                <w:rFonts w:ascii="仿宋_GB2312" w:hAnsi="仿宋_GB2312" w:cs="仿宋_GB2312" w:eastAsia="仿宋_GB2312"/>
              </w:rPr>
              <w:t>根据供应商提供的本项目安全保证措施进行评价，内容包含但不限于：施工安全生产保障体系、施工安全生产目标、施工周边环境防护措施、现场管理人员安全生产职责等方面，安全保证措施详细完整满足项目要求或方案不存在瑕疵的，得10分；安全保证措施存在1处瑕疵的，得8分；安全保证措施不完备或方案存在2处瑕疵的，得6分；安全保证措施不满足项目要求或方案存在3处（含）以上瑕疵的，得4分；未提供不得分。（注：瑕疵，指内容不完整或缺少关键点；非专门针对本项目或不适用本项目，套用其他项目内容；对同一问题前后表述矛盾；存在逻辑漏洞、科学原理或常识性的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环保文明措施</w:t>
            </w:r>
          </w:p>
        </w:tc>
        <w:tc>
          <w:tcPr>
            <w:tcW w:type="dxa" w:w="2492"/>
          </w:tcPr>
          <w:p>
            <w:pPr>
              <w:pStyle w:val="null3"/>
              <w:jc w:val="left"/>
            </w:pPr>
            <w:r>
              <w:rPr>
                <w:rFonts w:ascii="仿宋_GB2312" w:hAnsi="仿宋_GB2312" w:cs="仿宋_GB2312" w:eastAsia="仿宋_GB2312"/>
              </w:rPr>
              <w:t>根据供应商提供的本项目环保文明措施进行评价，内容包含但不限于：文明施工、临时设施、材料堆放、环境保护管理体系、施工现场扬尘治理措施等方面，环保文明措施详细完整满足项目要求或方案不存在瑕疵的，得10分；环保文明措施存在1处瑕疵的，得8分；环保文明措施不完备或方案存在2处瑕疵的，得6分；环保文明措施不满足项目要求或方案存在3处（含）以上瑕疵的，得4分；未提供不得分。（注：瑕疵，指内容不完整或缺少关键点；非专门针对本项目或不适用本项目，套用其他项目内容；对同一问题前后表述矛盾；存在逻辑漏洞、科学原理或常识性的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施工的总进度计划</w:t>
            </w:r>
          </w:p>
        </w:tc>
        <w:tc>
          <w:tcPr>
            <w:tcW w:type="dxa" w:w="2492"/>
          </w:tcPr>
          <w:p>
            <w:pPr>
              <w:pStyle w:val="null3"/>
              <w:jc w:val="left"/>
            </w:pPr>
            <w:r>
              <w:rPr>
                <w:rFonts w:ascii="仿宋_GB2312" w:hAnsi="仿宋_GB2312" w:cs="仿宋_GB2312" w:eastAsia="仿宋_GB2312"/>
              </w:rPr>
              <w:t>根据供应商提供的本项目施工的总进度计划进行评价，内容包含但不限于：施工进度计划、关键线路和关键节点控制措施等方面，施工的总进度计划详细完整满足项目要求或方案不存在瑕疵的，得10分；施工的总进度计划存在1处瑕疵的，得8分；施工的总进度计划不完备或方案存在2处瑕疵的，得6分；施工的总进度计划不满足项目要求或方案存在3处（含）以上瑕疵的，得4分；未提供不得分。（注：瑕疵，指内容不完整或缺少关键点；非专门针对本项目或不适用本项目，套用其他项目内容；对同一问题前后表述矛盾；存在逻辑漏洞、科学原理或常识性的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应急预案</w:t>
            </w:r>
          </w:p>
        </w:tc>
        <w:tc>
          <w:tcPr>
            <w:tcW w:type="dxa" w:w="2492"/>
          </w:tcPr>
          <w:p>
            <w:pPr>
              <w:pStyle w:val="null3"/>
              <w:jc w:val="left"/>
            </w:pPr>
            <w:r>
              <w:rPr>
                <w:rFonts w:ascii="仿宋_GB2312" w:hAnsi="仿宋_GB2312" w:cs="仿宋_GB2312" w:eastAsia="仿宋_GB2312"/>
              </w:rPr>
              <w:t>根据供应商提供的本项目施工的应急预案进行评价，内容包含但不限于：常见突发事件及应对措施、安全事故应急措施等方面，应急预案详细完整满足项目要求或方案不存在瑕疵的，得5分；应急预案不完备或方案存在1处瑕疵的，得2.5分；未提供不得分。（注：瑕疵，指内容不完整或缺少关键点；非专门针对本项目或不适用本项目，套用其他项目内容；对同一问题前后表述矛盾；存在逻辑漏洞、科学原理或常识性的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类似业绩</w:t>
            </w:r>
          </w:p>
        </w:tc>
        <w:tc>
          <w:tcPr>
            <w:tcW w:type="dxa" w:w="2492"/>
          </w:tcPr>
          <w:p>
            <w:pPr>
              <w:pStyle w:val="null3"/>
              <w:jc w:val="left"/>
            </w:pPr>
            <w:r>
              <w:rPr>
                <w:rFonts w:ascii="仿宋_GB2312" w:hAnsi="仿宋_GB2312" w:cs="仿宋_GB2312" w:eastAsia="仿宋_GB2312"/>
              </w:rPr>
              <w:t>供应商2020年1月1日以来具有一个已完成类似项目业绩的得5分，在此基础上每增加1个加5分，最多得10分（提供施工合同复印件和竣工验收报告复印件）。（类似项目是指：建筑工程建设项目）</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价格评审</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详见附件：《建设工程施工合同》.docx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HNYY2025-C002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乐东县千家库点新增储备仓容建设项目三期</w:t>
      </w:r>
    </w:p>
    <w:p>
      <w:pPr>
        <w:pStyle w:val="null3"/>
        <w:jc w:val="left"/>
      </w:pPr>
      <w:r>
        <w:rPr>
          <w:rFonts w:ascii="仿宋_GB2312" w:hAnsi="仿宋_GB2312" w:cs="仿宋_GB2312" w:eastAsia="仿宋_GB2312"/>
        </w:rPr>
        <w:t>采购包：</w:t>
      </w:r>
      <w:r>
        <w:rPr>
          <w:rFonts w:ascii="仿宋_GB2312" w:hAnsi="仿宋_GB2312" w:cs="仿宋_GB2312" w:eastAsia="仿宋_GB2312"/>
        </w:rPr>
        <w:t>乐东县千家库点新增储备仓容建设项目三期</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施工范围</w:t>
            </w:r>
          </w:p>
        </w:tc>
        <w:tc>
          <w:tcPr>
            <w:tcW w:type="dxa" w:w="1038"/>
          </w:tcPr>
          <w:p>
            <w:pPr>
              <w:pStyle w:val="null3"/>
              <w:jc w:val="left"/>
            </w:pPr>
            <w:r>
              <w:rPr>
                <w:rFonts w:ascii="仿宋_GB2312" w:hAnsi="仿宋_GB2312" w:cs="仿宋_GB2312" w:eastAsia="仿宋_GB2312"/>
              </w:rPr>
              <w:t xml:space="preserve"> 施工工期</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B01022600-仓储用房施工</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3396136.31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详见附件：磋商保证金缴纳证明材料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jc w:val="left"/>
        <w:outlineLvl w:val="0"/>
      </w:pPr>
      <w:r>
        <w:rPr>
          <w:rFonts w:ascii="仿宋_GB2312" w:hAnsi="仿宋_GB2312" w:cs="仿宋_GB2312" w:eastAsia="仿宋_GB2312"/>
          <w:sz w:val="48"/>
          <w:b/>
        </w:rPr>
        <w:t>项目管理机构人员表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vMerge w:val="restart"/>
          </w:tcPr>
          <w:p>
            <w:pPr>
              <w:pStyle w:val="null3"/>
              <w:jc w:val="left"/>
            </w:pPr>
            <w:r>
              <w:rPr>
                <w:rFonts w:ascii="仿宋_GB2312" w:hAnsi="仿宋_GB2312" w:cs="仿宋_GB2312" w:eastAsia="仿宋_GB2312"/>
              </w:rPr>
              <w:t>序号</w:t>
            </w:r>
          </w:p>
        </w:tc>
        <w:tc>
          <w:tcPr>
            <w:tcW w:type="dxa" w:w="1187"/>
            <w:vMerge w:val="restart"/>
          </w:tcPr>
          <w:p>
            <w:pPr>
              <w:pStyle w:val="null3"/>
              <w:jc w:val="left"/>
            </w:pPr>
            <w:r>
              <w:rPr>
                <w:rFonts w:ascii="仿宋_GB2312" w:hAnsi="仿宋_GB2312" w:cs="仿宋_GB2312" w:eastAsia="仿宋_GB2312"/>
              </w:rPr>
              <w:t>职务</w:t>
            </w:r>
          </w:p>
        </w:tc>
        <w:tc>
          <w:tcPr>
            <w:tcW w:type="dxa" w:w="1187"/>
            <w:vMerge w:val="restart"/>
          </w:tcPr>
          <w:p>
            <w:pPr>
              <w:pStyle w:val="null3"/>
              <w:jc w:val="left"/>
            </w:pPr>
            <w:r>
              <w:rPr>
                <w:rFonts w:ascii="仿宋_GB2312" w:hAnsi="仿宋_GB2312" w:cs="仿宋_GB2312" w:eastAsia="仿宋_GB2312"/>
              </w:rPr>
              <w:t>姓名</w:t>
            </w:r>
          </w:p>
        </w:tc>
        <w:tc>
          <w:tcPr>
            <w:tcW w:type="dxa" w:w="4748"/>
            <w:gridSpan w:val="4"/>
          </w:tcPr>
          <w:p>
            <w:pPr>
              <w:pStyle w:val="null3"/>
              <w:jc w:val="left"/>
            </w:pPr>
            <w:r>
              <w:rPr>
                <w:rFonts w:ascii="仿宋_GB2312" w:hAnsi="仿宋_GB2312" w:cs="仿宋_GB2312" w:eastAsia="仿宋_GB2312"/>
              </w:rPr>
              <w:t>执业或职业资格</w:t>
            </w:r>
          </w:p>
        </w:tc>
      </w:tr>
      <w:tr>
        <w:tc>
          <w:tcPr>
            <w:tcW w:type="dxa" w:w="1187"/>
            <w:vMerge/>
          </w:tcPr>
          <w:p/>
        </w:tc>
        <w:tc>
          <w:tcPr>
            <w:tcW w:type="dxa" w:w="1187"/>
            <w:vMerge/>
          </w:tcPr>
          <w:p/>
        </w:tc>
        <w:tc>
          <w:tcPr>
            <w:tcW w:type="dxa" w:w="1187"/>
            <w:vMerge/>
          </w:tcP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项目经理</w:t>
            </w:r>
          </w:p>
        </w:tc>
        <w:tc>
          <w:tcPr>
            <w:tcW w:type="dxa" w:w="1187"/>
          </w:tcPr>
          <w:p>
            <w:pPr>
              <w:pStyle w:val="null3"/>
              <w:jc w:val="left"/>
            </w:pPr>
            <w:r>
              <w:rPr>
                <w:rFonts w:ascii="仿宋_GB2312" w:hAnsi="仿宋_GB2312" w:cs="仿宋_GB2312" w:eastAsia="仿宋_GB2312"/>
              </w:rPr>
              <w:t>{姓名}</w:t>
            </w: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备注：项目经理(负责人)应当与随机抽取确认或者资格预审申请文件确定的项目经理信息一致。</w:t>
      </w:r>
    </w:p>
    <w:p>
      <w:pPr>
        <w:pStyle w:val="null3"/>
        <w:jc w:val="right"/>
      </w:pPr>
      <w:r>
        <w:rPr>
          <w:rFonts w:ascii="仿宋_GB2312" w:hAnsi="仿宋_GB2312" w:cs="仿宋_GB2312" w:eastAsia="仿宋_GB2312"/>
        </w:rPr>
        <w:t>供应商名称（加盖公章）：</w:t>
      </w:r>
    </w:p>
    <w:p>
      <w:pPr>
        <w:pStyle w:val="null3"/>
        <w:jc w:val="right"/>
      </w:pPr>
      <w:r>
        <w:rPr>
          <w:rFonts w:ascii="仿宋_GB2312" w:hAnsi="仿宋_GB2312" w:cs="仿宋_GB2312" w:eastAsia="仿宋_GB2312"/>
        </w:rPr>
        <w:t>日期：</w:t>
      </w:r>
    </w:p>
    <w:p>
      <w:pPr>
        <w:pStyle w:val="null3"/>
        <w:ind w:firstLine="960"/>
        <w:jc w:val="left"/>
      </w:pPr>
      <w:r>
        <w:rPr>
          <w:rFonts w:ascii="仿宋_GB2312" w:hAnsi="仿宋_GB2312" w:cs="仿宋_GB2312" w:eastAsia="仿宋_GB2312"/>
        </w:rPr>
        <w:t>详见附件：其他材料</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1</TotalTime>
  <Pages>1</Pages>
  <Words>1</Words>
  <Characters>11</Characters>
  <DocSecurity>0</DocSecurity>
  <Lines>0</Lines>
  <Paragraphs>0</Paragraphs>
  <ScaleCrop>false</ScaleCrop>
  <LinksUpToDate>false</LinksUpToDate>
  <CharactersWithSpaces>11</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terms:modified xsi:type="dcterms:W3CDTF">2024-03-28T09:24:13Z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