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乐东县社会管理信息化平台一期建设项目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HNBL-CG2025-0801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海南博磊工程项目管理咨询有限公司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乐东黎族自治县公安局</w:t>
      </w:r>
      <w:r>
        <w:rPr>
          <w:rFonts w:ascii="仿宋_GB2312" w:hAnsi="仿宋_GB2312" w:cs="仿宋_GB2312" w:eastAsia="仿宋_GB2312"/>
        </w:rPr>
        <w:t xml:space="preserve"> 委托， </w:t>
      </w:r>
      <w:r>
        <w:rPr>
          <w:rFonts w:ascii="仿宋_GB2312" w:hAnsi="仿宋_GB2312" w:cs="仿宋_GB2312" w:eastAsia="仿宋_GB2312"/>
        </w:rPr>
        <w:t>海南博磊工程项目管理咨询有限公司</w:t>
      </w:r>
      <w:r>
        <w:rPr>
          <w:rFonts w:ascii="仿宋_GB2312" w:hAnsi="仿宋_GB2312" w:cs="仿宋_GB2312" w:eastAsia="仿宋_GB2312"/>
        </w:rPr>
        <w:t xml:space="preserve"> 对 </w:t>
      </w:r>
      <w:r>
        <w:rPr>
          <w:rFonts w:ascii="仿宋_GB2312" w:hAnsi="仿宋_GB2312" w:cs="仿宋_GB2312" w:eastAsia="仿宋_GB2312"/>
        </w:rPr>
        <w:t>乐东县社会管理信息化平台一期建设项目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HNBL-CG2025-0801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乐东县社会管理信息化平台一期建设项目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9,208,243.08元</w:t>
      </w:r>
      <w:r>
        <w:rPr>
          <w:rFonts w:ascii="仿宋_GB2312" w:hAnsi="仿宋_GB2312" w:cs="仿宋_GB2312" w:eastAsia="仿宋_GB2312"/>
        </w:rPr>
        <w:t>玖佰贰拾万零捌仟贰佰肆拾叁元零捌分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签订合同后，12个月内完成交付工作（含整改时间），交付服务成果。</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合同签订完毕并在采购人（或监理方）下达进场通知书后45个日历日内完成服务工作（含整改时间），交付服务成果。</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自签订合同之日起，至建设项目完成竣工验收且完成项目档案归档（具体按包1、2相应的工作进度）。</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单位负责人为同一人或者存在直接控股、管理关系的不同投标人，不得参加同一合同项下的政府采购活动。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单位负责人为同一人或者存在直接控股、管理关系的不同投标人，不得参加同一合同项下的政府采购活动。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单位负责人为同一人或者存在直接控股、管理关系的不同投标人，不得参加同一合同项下的政府采购活动。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1.供应商须在海南政府采购网(https://www.ccgp-hainan.gov.cn/zhuzhan/)中的海南省政府采购电子化交易管理系统 平台进行注册并完善信息，然后下载项目公开招标文件（文件集）及其他文件。 2.电子标:必须办理数字证书CA锁， 并使用 数字证书（https://www.yuque.com/haonan123/bzzx /ugmn1f）进行签字和加密，响应截止时间前，必须登录系统上传 加密的电子响应文件。 3.本项目为远程不见面开标，供应商无须到达开标现场，但开标前必须进入电子开标大厅在线签到（ 未签到视为无效投标），远程按时参加在线开标解密即可。 4.注意事项：电子标采用全程电子化操作，供应商应详细阅读海 南政府采购网的通知《海南省财政厅关于进一步推进政府采购全流程电子化的通知》，供应商使用交易系统遇到问题请拨打以 下热线电话：4001691288。 5. 本项目支持《政府采购促进中小企业发展管理办法》《节能产品政府采购实施意见》《关于 环境标志产品政府采购实施的意见》《关于促进残疾人就业政府采购政策的通知》《财政部、司法部关于政府采购支持监狱企 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乐东黎族自治县公安局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乐东县抱由镇发展大道东路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18789248319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海南博磊工程项目管理咨询有限公司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海南省海口市龙华区金贸中路1号半山花园晓峰阁1038房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陈太皇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0898-68571152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采购包1：9,058,869.98元</w:t>
            </w:r>
          </w:p>
          <w:p>
            <w:pPr>
              <w:pStyle w:val="null3"/>
              <w:jc w:val="left"/>
            </w:pPr>
            <w:r>
              <w:rPr>
                <w:rFonts w:ascii="仿宋_GB2312" w:hAnsi="仿宋_GB2312" w:cs="仿宋_GB2312" w:eastAsia="仿宋_GB2312"/>
              </w:rPr>
              <w:t>采购包2：42,600.00元</w:t>
            </w:r>
          </w:p>
          <w:p>
            <w:pPr>
              <w:pStyle w:val="null3"/>
              <w:jc w:val="left"/>
            </w:pPr>
            <w:r>
              <w:rPr>
                <w:rFonts w:ascii="仿宋_GB2312" w:hAnsi="仿宋_GB2312" w:cs="仿宋_GB2312" w:eastAsia="仿宋_GB2312"/>
              </w:rPr>
              <w:t>采购包3：106,773.10元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代理服务费收费标准：参考计价格[2002]1980号规定的收费标准计算出的金额的8折计取代理服务费。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 16.1.1 电子标盖章要求：使用 CA 锁在响应文件制 作工具中逐页加盖单位公章。 16.1.2 电子标签字以下四种形式之一均有效： （1） 响应文件制作工具中加盖签名章或签字章； （2）响应文件制作工具中使用“手写签 名”签字； （3）响应文件打印为文本签字后扫描上传； （4）响应文件打印为文本盖 签名章或签字章后扫描上传。 16.1.3 电子系统中所涉及签章均可以是加盖单位公章 。 16.1.4.由委托代理人签字的，响应文件应附有法定代表人授权书。因供应商原因 导致无法读取电子版响应文件，视为无效响应。 16.1.5根据《财政部办公厅关于在 相关自由贸易试验区和自由贸易港开展推动解决政府采购异常低价问题试点工作的通 知》（财办库〔2024〕265号）的相关规定： 政府采购评审中出现下列情形之一的 ，评审委员会应当启动异常低价投标（响应）审查程序： （一）投标（响应）报价低 于全部通过符合性审查供应商投标（响应）报价平均值50%的，即投标（响应）报价 &lt;全部通过符合性审查供应商投标（响应）报价平均值×50%； （二）投标（响应） 报价低于通过符合性审查且报价次低供应商投标（响应）报价50%的，即投标（响应 ）报价&lt;通过符合性审查且报价次低供应商投标（响应）报价×50%； （三）投标（ 响应）报价低于采购项目最高限价45%的，即投标（响应）报价&lt;采购项目最高限价 ×45%； （四）其他评审委员会认为供应商报价过低，有可能影响产品质量或者不能 诚信履约的情形。 评审委员会启动异常低价投标（响应）审查后，应当要求相关供应 商在评审现场合理的时间内提供书面说明及必要的证明材料，对投标（响应）价格作 出解释。书面说明、证明材料主要是项目具体成本测算等与报价合理性相关的说明、 材料。16.1.6实施方案及售后方案编制应按照正常文本书写，不应把字体间距放大或 缩小等，对方案评审造成影响的，其后果由投标人自行承担。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联系人：陈太皇</w:t>
      </w:r>
    </w:p>
    <w:p>
      <w:pPr>
        <w:pStyle w:val="null3"/>
        <w:jc w:val="left"/>
      </w:pPr>
      <w:r>
        <w:rPr>
          <w:rFonts w:ascii="仿宋_GB2312" w:hAnsi="仿宋_GB2312" w:cs="仿宋_GB2312" w:eastAsia="仿宋_GB2312"/>
        </w:rPr>
        <w:t>联系电话：0898-68571152</w:t>
      </w:r>
    </w:p>
    <w:p>
      <w:pPr>
        <w:pStyle w:val="null3"/>
        <w:jc w:val="left"/>
      </w:pPr>
      <w:r>
        <w:rPr>
          <w:rFonts w:ascii="仿宋_GB2312" w:hAnsi="仿宋_GB2312" w:cs="仿宋_GB2312" w:eastAsia="仿宋_GB2312"/>
        </w:rPr>
        <w:t>地址：海南省海口市龙华区金贸中路1号半山花园晓峰阁1038房</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乐东县社会管理信息化平台（以下简称</w:t>
      </w:r>
      <w:r>
        <w:rPr>
          <w:rFonts w:ascii="仿宋_GB2312" w:hAnsi="仿宋_GB2312" w:cs="仿宋_GB2312" w:eastAsia="仿宋_GB2312"/>
          <w:sz w:val="32"/>
        </w:rPr>
        <w:t>“乐东社管平台”）以服务海南自由贸易港建设封关运作为主线，聚焦防范化解封关前后走私风险，推进乐东社管平台基础设施建设，建立健全以省社管平台指挥中心为中枢的省市县社管指挥、实战体系，切实把控风险态势，全力保障“一线放开、二线管住、岛内自由”，为自贸港建设行稳致远保驾护航。参照《推进市县社管平台建设和运行的指导意见》要求，乐东县结合本地实际选择性接收社管平台项目内容，按需建设。</w:t>
      </w:r>
    </w:p>
    <w:p>
      <w:pPr>
        <w:pStyle w:val="null3"/>
        <w:ind w:firstLine="640"/>
        <w:jc w:val="left"/>
      </w:pPr>
      <w:r>
        <w:rPr>
          <w:rFonts w:ascii="仿宋_GB2312" w:hAnsi="仿宋_GB2312" w:cs="仿宋_GB2312" w:eastAsia="仿宋_GB2312"/>
          <w:sz w:val="32"/>
        </w:rPr>
        <w:t>乐东社管平台聚焦</w:t>
      </w:r>
      <w:r>
        <w:rPr>
          <w:rFonts w:ascii="仿宋_GB2312" w:hAnsi="仿宋_GB2312" w:cs="仿宋_GB2312" w:eastAsia="仿宋_GB2312"/>
          <w:sz w:val="32"/>
        </w:rPr>
        <w:t>“反走私、防钻空、防风险”核心业务需求，本期社管平台建设内容如下：</w:t>
      </w:r>
    </w:p>
    <w:p>
      <w:pPr>
        <w:pStyle w:val="null3"/>
        <w:ind w:firstLine="640"/>
        <w:jc w:val="left"/>
      </w:pPr>
      <w:r>
        <w:rPr>
          <w:rFonts w:ascii="仿宋_GB2312" w:hAnsi="仿宋_GB2312" w:cs="仿宋_GB2312" w:eastAsia="仿宋_GB2312"/>
          <w:sz w:val="32"/>
        </w:rPr>
        <w:t>1.总体平台</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1）指挥中心场所基础环境改造</w:t>
      </w:r>
    </w:p>
    <w:p>
      <w:pPr>
        <w:pStyle w:val="null3"/>
        <w:ind w:firstLine="640"/>
        <w:jc w:val="left"/>
      </w:pPr>
      <w:r>
        <w:rPr>
          <w:rFonts w:ascii="仿宋_GB2312" w:hAnsi="仿宋_GB2312" w:cs="仿宋_GB2312" w:eastAsia="仿宋_GB2312"/>
          <w:sz w:val="32"/>
        </w:rPr>
        <w:t>本期项目选取乐东县公安局业务大楼</w:t>
      </w:r>
      <w:r>
        <w:rPr>
          <w:rFonts w:ascii="仿宋_GB2312" w:hAnsi="仿宋_GB2312" w:cs="仿宋_GB2312" w:eastAsia="仿宋_GB2312"/>
          <w:sz w:val="32"/>
        </w:rPr>
        <w:t>8楼部分区域改造成乐东社管指挥中心，功能室划分为指挥大厅、研判会议室、应急会议室、办公室等：</w:t>
      </w:r>
    </w:p>
    <w:p>
      <w:pPr>
        <w:pStyle w:val="null3"/>
        <w:ind w:firstLine="640"/>
        <w:jc w:val="left"/>
      </w:pPr>
      <w:r>
        <w:rPr>
          <w:rFonts w:ascii="仿宋_GB2312" w:hAnsi="仿宋_GB2312" w:cs="仿宋_GB2312" w:eastAsia="仿宋_GB2312"/>
          <w:sz w:val="32"/>
        </w:rPr>
        <w:t>1）将本项目所涉及的区域现有饰面、设备等进行拆除；</w:t>
      </w:r>
    </w:p>
    <w:p>
      <w:pPr>
        <w:pStyle w:val="null3"/>
        <w:ind w:firstLine="640"/>
        <w:jc w:val="left"/>
      </w:pPr>
      <w:r>
        <w:rPr>
          <w:rFonts w:ascii="仿宋_GB2312" w:hAnsi="仿宋_GB2312" w:cs="仿宋_GB2312" w:eastAsia="仿宋_GB2312"/>
          <w:sz w:val="32"/>
        </w:rPr>
        <w:t>2）对改造区域内的天花板、地面、墙面、门窗以及隔墙进行二次装修。</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2）指挥中心信息化系统建设</w:t>
      </w:r>
    </w:p>
    <w:p>
      <w:pPr>
        <w:pStyle w:val="null3"/>
        <w:ind w:firstLine="640"/>
        <w:jc w:val="left"/>
      </w:pPr>
      <w:r>
        <w:rPr>
          <w:rFonts w:ascii="仿宋_GB2312" w:hAnsi="仿宋_GB2312" w:cs="仿宋_GB2312" w:eastAsia="仿宋_GB2312"/>
          <w:sz w:val="32"/>
        </w:rPr>
        <w:t>建设社管指挥中心</w:t>
      </w:r>
      <w:r>
        <w:rPr>
          <w:rFonts w:ascii="仿宋_GB2312" w:hAnsi="仿宋_GB2312" w:cs="仿宋_GB2312" w:eastAsia="仿宋_GB2312"/>
          <w:sz w:val="32"/>
        </w:rPr>
        <w:t>1个。主要建设视频显示系统、音频扩声系统、图像传输及可视化控制系统、专业座席系统、会议录播系统、视频会议系统、计算机网络系统、综合布线系统、综合安防系统及设备间等。</w:t>
      </w:r>
    </w:p>
    <w:p>
      <w:pPr>
        <w:pStyle w:val="null3"/>
        <w:ind w:firstLine="640"/>
        <w:jc w:val="left"/>
      </w:pPr>
      <w:r>
        <w:rPr>
          <w:rFonts w:ascii="仿宋_GB2312" w:hAnsi="仿宋_GB2312" w:cs="仿宋_GB2312" w:eastAsia="仿宋_GB2312"/>
          <w:sz w:val="32"/>
        </w:rPr>
        <w:t>2.公安分平台</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1）购买前端视频监控点位服务，在乐东县范围内的170家宾馆、娱乐场所以购买服务方式建设前端点位；</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2）整合41路前端视频监控点位资源；</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3）升级视频图像结构化解析平台，扩展300路视频流和200路图片流解析能力。</w:t>
      </w:r>
    </w:p>
    <w:p>
      <w:pPr>
        <w:pStyle w:val="null3"/>
        <w:ind w:firstLine="640"/>
        <w:jc w:val="left"/>
      </w:pPr>
      <w:r>
        <w:rPr>
          <w:rFonts w:ascii="仿宋_GB2312" w:hAnsi="仿宋_GB2312" w:cs="仿宋_GB2312" w:eastAsia="仿宋_GB2312"/>
          <w:sz w:val="32"/>
        </w:rPr>
        <w:t>3.网络安全服务</w:t>
      </w:r>
    </w:p>
    <w:p>
      <w:pPr>
        <w:pStyle w:val="null3"/>
        <w:jc w:val="both"/>
      </w:pPr>
      <w:r>
        <w:rPr>
          <w:rFonts w:ascii="仿宋_GB2312" w:hAnsi="仿宋_GB2312" w:cs="仿宋_GB2312" w:eastAsia="仿宋_GB2312"/>
          <w:sz w:val="32"/>
        </w:rPr>
        <w:t xml:space="preserve">    4.监理服务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9,058,869.98</w:t>
      </w:r>
    </w:p>
    <w:p>
      <w:pPr>
        <w:pStyle w:val="null3"/>
        <w:jc w:val="left"/>
      </w:pPr>
      <w:r>
        <w:rPr>
          <w:rFonts w:ascii="仿宋_GB2312" w:hAnsi="仿宋_GB2312" w:cs="仿宋_GB2312" w:eastAsia="仿宋_GB2312"/>
        </w:rPr>
        <w:t>采购包最高限价（元）: 9,058,869.98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9,058,869.98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42,600.00</w:t>
      </w:r>
    </w:p>
    <w:p>
      <w:pPr>
        <w:pStyle w:val="null3"/>
        <w:jc w:val="left"/>
      </w:pPr>
      <w:r>
        <w:rPr>
          <w:rFonts w:ascii="仿宋_GB2312" w:hAnsi="仿宋_GB2312" w:cs="仿宋_GB2312" w:eastAsia="仿宋_GB2312"/>
        </w:rPr>
        <w:t>采购包最高限价（元）: 42,600.00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106,773.10</w:t>
      </w:r>
    </w:p>
    <w:p>
      <w:pPr>
        <w:pStyle w:val="null3"/>
        <w:jc w:val="left"/>
      </w:pPr>
      <w:r>
        <w:rPr>
          <w:rFonts w:ascii="仿宋_GB2312" w:hAnsi="仿宋_GB2312" w:cs="仿宋_GB2312" w:eastAsia="仿宋_GB2312"/>
        </w:rPr>
        <w:t>采购包最高限价（元）: 106,773.10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106,773.10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9,058,869.98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106,773.10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1.合同履行期限：签订合同后，12个月内完成软硬件安装、调试、交付等工作（含整改时间），交付服务成果。</w:t>
            </w:r>
          </w:p>
          <w:p>
            <w:pPr>
              <w:pStyle w:val="null3"/>
              <w:jc w:val="left"/>
            </w:pPr>
            <w:r>
              <w:rPr>
                <w:rFonts w:ascii="仿宋_GB2312" w:hAnsi="仿宋_GB2312" w:cs="仿宋_GB2312" w:eastAsia="仿宋_GB2312"/>
                <w:sz w:val="32"/>
              </w:rPr>
              <w:t>2.项目实施地点：海南省乐东黎族自治县。</w:t>
            </w:r>
          </w:p>
          <w:p>
            <w:pPr>
              <w:pStyle w:val="null3"/>
              <w:jc w:val="left"/>
            </w:pPr>
            <w:r>
              <w:rPr>
                <w:rFonts w:ascii="仿宋_GB2312" w:hAnsi="仿宋_GB2312" w:cs="仿宋_GB2312" w:eastAsia="仿宋_GB2312"/>
                <w:sz w:val="32"/>
              </w:rPr>
              <w:t>3.付款时间、方式及条件（具体金额及支付方式以合同为准）：采购人和中标人签订项目合同后，采购人收到中标人开具正式有效发票之日起10个工作日内，向中标人支付合同总金额的30%。</w:t>
            </w:r>
          </w:p>
          <w:p>
            <w:pPr>
              <w:pStyle w:val="null3"/>
              <w:jc w:val="left"/>
            </w:pPr>
            <w:r>
              <w:rPr>
                <w:rFonts w:ascii="仿宋_GB2312" w:hAnsi="仿宋_GB2312" w:cs="仿宋_GB2312" w:eastAsia="仿宋_GB2312"/>
                <w:sz w:val="32"/>
              </w:rPr>
              <w:t>项目所有货物运送到甲方指定地点通过到货验收并集成安装试运行，同时所有实施人员都到位后，采购人收到中标人正式有效发票之日起</w:t>
            </w:r>
            <w:r>
              <w:rPr>
                <w:rFonts w:ascii="仿宋_GB2312" w:hAnsi="仿宋_GB2312" w:cs="仿宋_GB2312" w:eastAsia="仿宋_GB2312"/>
                <w:sz w:val="32"/>
              </w:rPr>
              <w:t>10个工作日内甲方支付合同总金额的30%；</w:t>
            </w:r>
          </w:p>
          <w:p>
            <w:pPr>
              <w:pStyle w:val="null3"/>
              <w:jc w:val="left"/>
            </w:pPr>
            <w:r>
              <w:rPr>
                <w:rFonts w:ascii="仿宋_GB2312" w:hAnsi="仿宋_GB2312" w:cs="仿宋_GB2312" w:eastAsia="仿宋_GB2312"/>
                <w:sz w:val="32"/>
              </w:rPr>
              <w:t>项目初验合格后，采购人收到中标人正式有效发票之日起</w:t>
            </w:r>
            <w:r>
              <w:rPr>
                <w:rFonts w:ascii="仿宋_GB2312" w:hAnsi="仿宋_GB2312" w:cs="仿宋_GB2312" w:eastAsia="仿宋_GB2312"/>
                <w:sz w:val="32"/>
              </w:rPr>
              <w:t>10个工作日内，向中标人支付合同总金额的20%。</w:t>
            </w:r>
          </w:p>
          <w:p>
            <w:pPr>
              <w:pStyle w:val="null3"/>
              <w:jc w:val="left"/>
            </w:pPr>
            <w:r>
              <w:rPr>
                <w:rFonts w:ascii="仿宋_GB2312" w:hAnsi="仿宋_GB2312" w:cs="仿宋_GB2312" w:eastAsia="仿宋_GB2312"/>
                <w:sz w:val="32"/>
              </w:rPr>
              <w:t>项目终验合格后，采购人收到中标人正式有效发票之日起</w:t>
            </w:r>
            <w:r>
              <w:rPr>
                <w:rFonts w:ascii="仿宋_GB2312" w:hAnsi="仿宋_GB2312" w:cs="仿宋_GB2312" w:eastAsia="仿宋_GB2312"/>
                <w:sz w:val="32"/>
              </w:rPr>
              <w:t>10个工作日内，向中标人支付合同总金额的17%。</w:t>
            </w:r>
          </w:p>
          <w:p>
            <w:pPr>
              <w:pStyle w:val="null3"/>
              <w:jc w:val="left"/>
            </w:pPr>
            <w:r>
              <w:rPr>
                <w:rFonts w:ascii="仿宋_GB2312" w:hAnsi="仿宋_GB2312" w:cs="仿宋_GB2312" w:eastAsia="仿宋_GB2312"/>
                <w:sz w:val="32"/>
              </w:rPr>
              <w:t>项目完成质保后，采购人收到中标人正式有效发票之日起</w:t>
            </w:r>
            <w:r>
              <w:rPr>
                <w:rFonts w:ascii="仿宋_GB2312" w:hAnsi="仿宋_GB2312" w:cs="仿宋_GB2312" w:eastAsia="仿宋_GB2312"/>
                <w:sz w:val="32"/>
              </w:rPr>
              <w:t>10个工作日内，向中标人支付合同总金额的3%。</w:t>
            </w:r>
          </w:p>
          <w:p>
            <w:pPr>
              <w:pStyle w:val="null3"/>
              <w:jc w:val="left"/>
            </w:pPr>
            <w:r>
              <w:rPr>
                <w:rFonts w:ascii="仿宋_GB2312" w:hAnsi="仿宋_GB2312" w:cs="仿宋_GB2312" w:eastAsia="仿宋_GB2312"/>
                <w:sz w:val="32"/>
              </w:rPr>
              <w:t>4.实施要求：</w:t>
            </w:r>
          </w:p>
          <w:p>
            <w:pPr>
              <w:pStyle w:val="null3"/>
              <w:jc w:val="left"/>
            </w:pPr>
            <w:r>
              <w:rPr>
                <w:rFonts w:ascii="仿宋_GB2312" w:hAnsi="仿宋_GB2312" w:cs="仿宋_GB2312" w:eastAsia="仿宋_GB2312"/>
                <w:sz w:val="32"/>
              </w:rPr>
              <w:t>供应商应在采购人要求的工期内完成所有规定的建设任务。</w:t>
            </w:r>
          </w:p>
          <w:p>
            <w:pPr>
              <w:pStyle w:val="null3"/>
              <w:jc w:val="left"/>
            </w:pPr>
            <w:r>
              <w:rPr>
                <w:rFonts w:ascii="仿宋_GB2312" w:hAnsi="仿宋_GB2312" w:cs="仿宋_GB2312" w:eastAsia="仿宋_GB2312"/>
                <w:sz w:val="32"/>
              </w:rPr>
              <w:t>采购人及采购人所委托的监理单位，有权对整个项目实施的全过程进行监督检查。供应商必须给予积极支持和配合，不得以任何理由回避采购人或监理单位的监督检查。</w:t>
            </w:r>
          </w:p>
          <w:p>
            <w:pPr>
              <w:pStyle w:val="null3"/>
              <w:jc w:val="left"/>
            </w:pPr>
            <w:r>
              <w:rPr>
                <w:rFonts w:ascii="仿宋_GB2312" w:hAnsi="仿宋_GB2312" w:cs="仿宋_GB2312" w:eastAsia="仿宋_GB2312"/>
                <w:sz w:val="32"/>
              </w:rPr>
              <w:t>5.项目售后服务要求</w:t>
            </w:r>
          </w:p>
          <w:p>
            <w:pPr>
              <w:pStyle w:val="null3"/>
              <w:jc w:val="left"/>
            </w:pPr>
            <w:r>
              <w:rPr>
                <w:rFonts w:ascii="仿宋_GB2312" w:hAnsi="仿宋_GB2312" w:cs="仿宋_GB2312" w:eastAsia="仿宋_GB2312"/>
                <w:sz w:val="32"/>
              </w:rPr>
              <w:t>本项目要求提供硬件免费维保期</w:t>
            </w:r>
            <w:r>
              <w:rPr>
                <w:rFonts w:ascii="仿宋_GB2312" w:hAnsi="仿宋_GB2312" w:cs="仿宋_GB2312" w:eastAsia="仿宋_GB2312"/>
                <w:sz w:val="32"/>
              </w:rPr>
              <w:t>3年、软件免费维保期2年，自项目通过终验之日起算。项目维保内，投标人应提供所有硬件产品原厂质保服务，保障所有软件应用系统的各项业务功能正常运行。免费提供软件升级、版本更换和技术支持，保障应用系统配套的硬件设备、运行环境、中间件及服务的正常运行。运维期内提供包括巡检、维护、维修、故障排除、系统优化、应急服务在内的各项服务。</w:t>
            </w:r>
          </w:p>
          <w:p>
            <w:pPr>
              <w:pStyle w:val="null3"/>
              <w:jc w:val="left"/>
            </w:pPr>
            <w:r>
              <w:rPr>
                <w:rFonts w:ascii="仿宋_GB2312" w:hAnsi="仿宋_GB2312" w:cs="仿宋_GB2312" w:eastAsia="仿宋_GB2312"/>
                <w:sz w:val="32"/>
              </w:rPr>
              <w:t>驻场人员要求：在建设及维保期间提供专业技术人员</w:t>
            </w:r>
            <w:r>
              <w:rPr>
                <w:rFonts w:ascii="仿宋_GB2312" w:hAnsi="仿宋_GB2312" w:cs="仿宋_GB2312" w:eastAsia="仿宋_GB2312"/>
                <w:sz w:val="32"/>
              </w:rPr>
              <w:t>24小时驻场服务。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1）硬件部分</w:t>
            </w:r>
          </w:p>
          <w:p>
            <w:pPr>
              <w:pStyle w:val="null3"/>
              <w:jc w:val="left"/>
            </w:pPr>
            <w:r>
              <w:rPr>
                <w:rFonts w:ascii="仿宋_GB2312" w:hAnsi="仿宋_GB2312" w:cs="仿宋_GB2312" w:eastAsia="仿宋_GB2312"/>
                <w:sz w:val="32"/>
              </w:rPr>
              <w:t>免费提供操作培训：定期回访以及对设备维护，提供</w:t>
            </w:r>
            <w:r>
              <w:rPr>
                <w:rFonts w:ascii="仿宋_GB2312" w:hAnsi="仿宋_GB2312" w:cs="仿宋_GB2312" w:eastAsia="仿宋_GB2312"/>
                <w:sz w:val="32"/>
              </w:rPr>
              <w:t>7x24小时热线电话服务。</w:t>
            </w:r>
          </w:p>
          <w:p>
            <w:pPr>
              <w:pStyle w:val="null3"/>
              <w:jc w:val="left"/>
            </w:pPr>
            <w:r>
              <w:rPr>
                <w:rFonts w:ascii="仿宋_GB2312" w:hAnsi="仿宋_GB2312" w:cs="仿宋_GB2312" w:eastAsia="仿宋_GB2312"/>
                <w:sz w:val="32"/>
              </w:rPr>
              <w:t>维保期内定期对设备进行免费保养和维护（免费维修或更换配件），保修期内出现故障，需派出技术工程师到达现场处理故障，并承担一切费用，保修期外发生维修只收材料成本费。每季度不少于</w:t>
            </w:r>
            <w:r>
              <w:rPr>
                <w:rFonts w:ascii="仿宋_GB2312" w:hAnsi="仿宋_GB2312" w:cs="仿宋_GB2312" w:eastAsia="仿宋_GB2312"/>
                <w:sz w:val="32"/>
              </w:rPr>
              <w:t>1次设备巡检、维护，并在完成后3 日内提供巡检报告。</w:t>
            </w:r>
          </w:p>
          <w:p>
            <w:pPr>
              <w:pStyle w:val="null3"/>
              <w:jc w:val="left"/>
            </w:pPr>
            <w:r>
              <w:rPr>
                <w:rFonts w:ascii="仿宋_GB2312" w:hAnsi="仿宋_GB2312" w:cs="仿宋_GB2312" w:eastAsia="仿宋_GB2312"/>
                <w:sz w:val="32"/>
              </w:rPr>
              <w:t>提供免费现场安装调试服务，提供</w:t>
            </w:r>
            <w:r>
              <w:rPr>
                <w:rFonts w:ascii="仿宋_GB2312" w:hAnsi="仿宋_GB2312" w:cs="仿宋_GB2312" w:eastAsia="仿宋_GB2312"/>
                <w:sz w:val="32"/>
              </w:rPr>
              <w:t>3年保修，3年免费上门服务，7X24技术支持，服务器提供备件库服务。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2）软件部分</w:t>
            </w:r>
          </w:p>
          <w:p>
            <w:pPr>
              <w:pStyle w:val="null3"/>
              <w:jc w:val="left"/>
            </w:pPr>
            <w:r>
              <w:rPr>
                <w:rFonts w:ascii="仿宋_GB2312" w:hAnsi="仿宋_GB2312" w:cs="仿宋_GB2312" w:eastAsia="仿宋_GB2312"/>
                <w:sz w:val="32"/>
              </w:rPr>
              <w:t>维保期内，中标人必须配备一支稳定的专业技术服务队伍，负责系统的一切维护工作。派出技术服务人员配合采购人有关本项目运维的一切工作。中标人提供整体系统</w:t>
            </w:r>
            <w:r>
              <w:rPr>
                <w:rFonts w:ascii="仿宋_GB2312" w:hAnsi="仿宋_GB2312" w:cs="仿宋_GB2312" w:eastAsia="仿宋_GB2312"/>
                <w:sz w:val="32"/>
              </w:rPr>
              <w:t>2年的免费维保期。在维保期内，中标人负责为软件提供免费升级服务及系统免费维护服务，提供专业技术人员7X24小时驻场服务。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3）培训要求</w:t>
            </w:r>
          </w:p>
          <w:p>
            <w:pPr>
              <w:pStyle w:val="null3"/>
              <w:jc w:val="left"/>
            </w:pPr>
            <w:r>
              <w:rPr>
                <w:rFonts w:ascii="仿宋_GB2312" w:hAnsi="仿宋_GB2312" w:cs="仿宋_GB2312" w:eastAsia="仿宋_GB2312"/>
                <w:sz w:val="32"/>
              </w:rPr>
              <w:t>为了保障项目实施建设、运行管理落地实施和长期稳定运行，将在本项目实施完成后提供主要系统的操作维护培训，主要加强用户对各应用系统的理解，使业主能够有效地履行产品设备的操作和系统的管理职责。</w:t>
            </w:r>
          </w:p>
          <w:p>
            <w:pPr>
              <w:pStyle w:val="null3"/>
              <w:jc w:val="left"/>
            </w:pPr>
            <w:r>
              <w:rPr>
                <w:rFonts w:ascii="仿宋_GB2312" w:hAnsi="仿宋_GB2312" w:cs="仿宋_GB2312" w:eastAsia="仿宋_GB2312"/>
                <w:sz w:val="32"/>
              </w:rPr>
              <w:t>本项目培训对象划分为三种类型：建设、使用单位的各级领导、各部门警员、系统管理员。根据不同用户制定不同的培训计划和培训内容。培训方式需按以下步骤对用户进行培训：</w:t>
            </w:r>
          </w:p>
          <w:p>
            <w:pPr>
              <w:pStyle w:val="null3"/>
              <w:jc w:val="left"/>
            </w:pPr>
            <w:r>
              <w:rPr>
                <w:rFonts w:ascii="仿宋_GB2312" w:hAnsi="仿宋_GB2312" w:cs="仿宋_GB2312" w:eastAsia="仿宋_GB2312"/>
                <w:sz w:val="32"/>
              </w:rPr>
              <w:t>制定培训计划：在培训计划中确定培训目的、培训时间、培训地点、培训方式、课程设计。</w:t>
            </w:r>
          </w:p>
          <w:p>
            <w:pPr>
              <w:pStyle w:val="null3"/>
              <w:jc w:val="left"/>
            </w:pPr>
            <w:r>
              <w:rPr>
                <w:rFonts w:ascii="仿宋_GB2312" w:hAnsi="仿宋_GB2312" w:cs="仿宋_GB2312" w:eastAsia="仿宋_GB2312"/>
                <w:sz w:val="32"/>
              </w:rPr>
              <w:t>确定培训对象：通常接受培训的人员是本工程项目涉及和影响的部门和个人，包括上层领导、使用用户、潜在用户及其部门管理人员。</w:t>
            </w:r>
          </w:p>
          <w:p>
            <w:pPr>
              <w:pStyle w:val="null3"/>
              <w:jc w:val="left"/>
            </w:pPr>
            <w:r>
              <w:rPr>
                <w:rFonts w:ascii="仿宋_GB2312" w:hAnsi="仿宋_GB2312" w:cs="仿宋_GB2312" w:eastAsia="仿宋_GB2312"/>
                <w:sz w:val="32"/>
              </w:rPr>
              <w:t>培训内容和资料：包括与工程项目相关的操作手册、使用手册、项目交付成果使用说明等课程内容和资料。</w:t>
            </w:r>
          </w:p>
          <w:p>
            <w:pPr>
              <w:pStyle w:val="null3"/>
              <w:jc w:val="left"/>
            </w:pPr>
            <w:r>
              <w:rPr>
                <w:rFonts w:ascii="仿宋_GB2312" w:hAnsi="仿宋_GB2312" w:cs="仿宋_GB2312" w:eastAsia="仿宋_GB2312"/>
                <w:sz w:val="32"/>
              </w:rPr>
              <w:t>培训的方式和方法：根据条件尽量采用可重复的、便捷的方式进行，包括课堂讲解，计算机辅助教学，在培训者指导下的自学、操作等。</w:t>
            </w:r>
          </w:p>
          <w:p>
            <w:pPr>
              <w:pStyle w:val="null3"/>
              <w:jc w:val="left"/>
            </w:pPr>
            <w:r>
              <w:rPr>
                <w:rFonts w:ascii="仿宋_GB2312" w:hAnsi="仿宋_GB2312" w:cs="仿宋_GB2312" w:eastAsia="仿宋_GB2312"/>
                <w:sz w:val="32"/>
              </w:rPr>
              <w:t>培训设施：包括运行环境、可重复的练习环境等。</w:t>
            </w:r>
          </w:p>
          <w:p>
            <w:pPr>
              <w:pStyle w:val="null3"/>
              <w:jc w:val="left"/>
            </w:pPr>
            <w:r>
              <w:rPr>
                <w:rFonts w:ascii="仿宋_GB2312" w:hAnsi="仿宋_GB2312" w:cs="仿宋_GB2312" w:eastAsia="仿宋_GB2312"/>
                <w:sz w:val="32"/>
              </w:rPr>
              <w:t>培训效果评价：确定受训人员的完成标准，收集评审培训的反馈信息，对培训效果进行评价，以便考虑培训的改进措施。</w:t>
            </w:r>
          </w:p>
          <w:p>
            <w:pPr>
              <w:pStyle w:val="null3"/>
              <w:jc w:val="left"/>
            </w:pPr>
            <w:r>
              <w:rPr>
                <w:rFonts w:ascii="仿宋_GB2312" w:hAnsi="仿宋_GB2312" w:cs="仿宋_GB2312" w:eastAsia="仿宋_GB2312"/>
                <w:sz w:val="32"/>
              </w:rPr>
              <w:t>培训记录：保存培训的全程记录，包括所有人员的培训课程和培训活动记录，以便为岗位选择合适人选。</w:t>
            </w:r>
          </w:p>
          <w:p>
            <w:pPr>
              <w:pStyle w:val="null3"/>
              <w:jc w:val="left"/>
            </w:pPr>
            <w:r>
              <w:rPr>
                <w:rFonts w:ascii="仿宋_GB2312" w:hAnsi="仿宋_GB2312" w:cs="仿宋_GB2312" w:eastAsia="仿宋_GB2312"/>
                <w:sz w:val="32"/>
              </w:rPr>
              <w:t>6.其它相关要求</w:t>
            </w:r>
          </w:p>
          <w:p>
            <w:pPr>
              <w:pStyle w:val="null3"/>
              <w:jc w:val="left"/>
            </w:pPr>
            <w:r>
              <w:rPr>
                <w:rFonts w:ascii="仿宋_GB2312" w:hAnsi="仿宋_GB2312" w:cs="仿宋_GB2312" w:eastAsia="仿宋_GB2312"/>
                <w:sz w:val="32"/>
              </w:rPr>
              <w:t>1.投标技术文档需针对本项目现状，编制包括但不限于项目技术方案、实施方案、售后服务和培训方案等内容。</w:t>
            </w:r>
          </w:p>
          <w:p>
            <w:pPr>
              <w:pStyle w:val="null3"/>
              <w:jc w:val="left"/>
            </w:pPr>
            <w:r>
              <w:rPr>
                <w:rFonts w:ascii="仿宋_GB2312" w:hAnsi="仿宋_GB2312" w:cs="仿宋_GB2312" w:eastAsia="仿宋_GB2312"/>
                <w:sz w:val="32"/>
              </w:rPr>
              <w:t>2.安全标准：符合国家、地方和行业的相关政策、法规。</w:t>
            </w:r>
          </w:p>
          <w:p>
            <w:pPr>
              <w:pStyle w:val="null3"/>
              <w:jc w:val="left"/>
            </w:pPr>
            <w:r>
              <w:rPr>
                <w:rFonts w:ascii="仿宋_GB2312" w:hAnsi="仿宋_GB2312" w:cs="仿宋_GB2312" w:eastAsia="仿宋_GB2312"/>
                <w:sz w:val="32"/>
              </w:rPr>
              <w:t>3.投标人必须根据所投产品或服务的技术参数、资质资料编写投标文件。在中标结果公示期间，招标人有权要求中标候选人提供所投产品或服务的参数的证明材料和资质证书等进行核查，如发现与其投标文件中的描述不一致，代理机构将报政府采购主管部门严肃处理，同时废除中标资格，并没收保证金，给招标人造成损失的，还必须进行赔偿并承担相关责任。</w:t>
            </w:r>
          </w:p>
          <w:p>
            <w:pPr>
              <w:pStyle w:val="null3"/>
              <w:jc w:val="left"/>
            </w:pPr>
            <w:r>
              <w:rPr>
                <w:rFonts w:ascii="仿宋_GB2312" w:hAnsi="仿宋_GB2312" w:cs="仿宋_GB2312" w:eastAsia="仿宋_GB2312"/>
                <w:sz w:val="32"/>
              </w:rPr>
              <w:t>4.验收方法及标准：按本招标文件和投标文件的内容及国家、地方和行业的相关政策、法规实施。项目验收试运行期间，所提供的产品或服务无法通过第三方检测的，供应商需无偿进行更换，承担更换设备所需全部费用，对采购人造成损失的，赔偿相应损失。</w:t>
            </w:r>
          </w:p>
          <w:p>
            <w:pPr>
              <w:pStyle w:val="null3"/>
              <w:jc w:val="left"/>
            </w:pPr>
            <w:r>
              <w:rPr>
                <w:rFonts w:ascii="仿宋_GB2312" w:hAnsi="仿宋_GB2312" w:cs="仿宋_GB2312" w:eastAsia="仿宋_GB2312"/>
                <w:sz w:val="32"/>
              </w:rPr>
              <w:t>5.本项目以人民币填报货物（服务）的唯一报价，报价总价高于采购控制价的供应商，其响应文件将被否决；本项目采用总价包干，供应商自行考虑市场风险，所报价格应包含本项目所产生的一切费用。</w:t>
            </w:r>
          </w:p>
          <w:p>
            <w:pPr>
              <w:pStyle w:val="null3"/>
              <w:jc w:val="left"/>
            </w:pPr>
            <w:r>
              <w:rPr>
                <w:rFonts w:ascii="仿宋_GB2312" w:hAnsi="仿宋_GB2312" w:cs="仿宋_GB2312" w:eastAsia="仿宋_GB2312"/>
                <w:sz w:val="32"/>
              </w:rPr>
              <w:t>6.禁止中标人将其承包的全部采购项目转包给他人或者肢解以后以分包的名义分别转包给他人。（提供承诺函并加盖公章）。</w:t>
            </w:r>
          </w:p>
          <w:p>
            <w:pPr>
              <w:pStyle w:val="null3"/>
              <w:jc w:val="left"/>
            </w:pPr>
            <w:r>
              <w:rPr>
                <w:rFonts w:ascii="仿宋_GB2312" w:hAnsi="仿宋_GB2312" w:cs="仿宋_GB2312" w:eastAsia="仿宋_GB2312"/>
                <w:sz w:val="32"/>
              </w:rPr>
              <w:t>7.提供新购置的设备应为全新的未使用过的，需为国产自主可控设备，应完全符合国家相关产品及技术质量标准，符合各系统所要求的数量、技术规格和质量标准。应保证所提供的货物经正确安装、正常运转和保养在其使用寿命期内应具有满意的性能，符合项目质保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合同履行期限：合同签订完毕并在采购人（或监理方）下达进场通知书后</w:t>
            </w:r>
            <w:r>
              <w:rPr>
                <w:rFonts w:ascii="仿宋_GB2312" w:hAnsi="仿宋_GB2312" w:cs="仿宋_GB2312" w:eastAsia="仿宋_GB2312"/>
                <w:sz w:val="32"/>
              </w:rPr>
              <w:t>45个日历日内完成服务工作（含整改时间），交付服务成果。</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项目实施地点：海南省乐东黎族自治县。</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付款时间、方式及条件（具体金额及支付方式以合同为准）：最终验收后支付</w:t>
            </w:r>
            <w:r>
              <w:rPr>
                <w:rFonts w:ascii="仿宋_GB2312" w:hAnsi="仿宋_GB2312" w:cs="仿宋_GB2312" w:eastAsia="仿宋_GB2312"/>
                <w:sz w:val="32"/>
              </w:rPr>
              <w:t>100%</w:t>
            </w:r>
            <w:r>
              <w:rPr>
                <w:rFonts w:ascii="仿宋_GB2312" w:hAnsi="仿宋_GB2312" w:cs="仿宋_GB2312" w:eastAsia="仿宋_GB2312"/>
                <w:sz w:val="32"/>
              </w:rPr>
              <w:t>。</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合同履行期限：自签订合同之日起，至建设项目完成竣工验收且完成项目档案归档（具体按包</w:t>
            </w:r>
            <w:r>
              <w:rPr>
                <w:rFonts w:ascii="仿宋_GB2312" w:hAnsi="仿宋_GB2312" w:cs="仿宋_GB2312" w:eastAsia="仿宋_GB2312"/>
                <w:sz w:val="32"/>
              </w:rPr>
              <w:t>1、2相应的工作进度）。</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项目实施地点：海南省乐东黎族自治县。</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付款时间、方式及条件（具体金额及支付方式以合同为准）：</w:t>
            </w:r>
          </w:p>
          <w:p>
            <w:pPr>
              <w:pStyle w:val="null3"/>
              <w:ind w:firstLine="640"/>
              <w:jc w:val="left"/>
            </w:pPr>
            <w:r>
              <w:rPr>
                <w:rFonts w:ascii="仿宋_GB2312" w:hAnsi="仿宋_GB2312" w:cs="仿宋_GB2312" w:eastAsia="仿宋_GB2312"/>
                <w:sz w:val="32"/>
              </w:rPr>
              <w:t>采购人和中标人签订项目合同后，采购人收到中标人开具正式有效发票之日起</w:t>
            </w:r>
            <w:r>
              <w:rPr>
                <w:rFonts w:ascii="仿宋_GB2312" w:hAnsi="仿宋_GB2312" w:cs="仿宋_GB2312" w:eastAsia="仿宋_GB2312"/>
                <w:sz w:val="32"/>
              </w:rPr>
              <w:t>10个工作日内，向中标人支付合同总金额的30%。</w:t>
            </w:r>
          </w:p>
          <w:p>
            <w:pPr>
              <w:pStyle w:val="null3"/>
              <w:ind w:firstLine="640"/>
              <w:jc w:val="left"/>
            </w:pPr>
            <w:r>
              <w:rPr>
                <w:rFonts w:ascii="仿宋_GB2312" w:hAnsi="仿宋_GB2312" w:cs="仿宋_GB2312" w:eastAsia="仿宋_GB2312"/>
                <w:sz w:val="32"/>
              </w:rPr>
              <w:t>项目所有货物运送到甲方指定地点通过到货验收并集成安装试运行，同时所有实施人员都到位后，采购人收到中标人正式有效发票之日起</w:t>
            </w:r>
            <w:r>
              <w:rPr>
                <w:rFonts w:ascii="仿宋_GB2312" w:hAnsi="仿宋_GB2312" w:cs="仿宋_GB2312" w:eastAsia="仿宋_GB2312"/>
                <w:sz w:val="32"/>
              </w:rPr>
              <w:t>10个工作日内甲方支付合同总金额的40%；</w:t>
            </w:r>
          </w:p>
          <w:p>
            <w:pPr>
              <w:pStyle w:val="null3"/>
              <w:ind w:firstLine="640"/>
              <w:jc w:val="left"/>
            </w:pPr>
            <w:r>
              <w:rPr>
                <w:rFonts w:ascii="仿宋_GB2312" w:hAnsi="仿宋_GB2312" w:cs="仿宋_GB2312" w:eastAsia="仿宋_GB2312"/>
                <w:sz w:val="32"/>
              </w:rPr>
              <w:t>项目初验合格后，采购人收到中标人正式有效发票之日起</w:t>
            </w:r>
            <w:r>
              <w:rPr>
                <w:rFonts w:ascii="仿宋_GB2312" w:hAnsi="仿宋_GB2312" w:cs="仿宋_GB2312" w:eastAsia="仿宋_GB2312"/>
                <w:sz w:val="32"/>
              </w:rPr>
              <w:t>10个工作日内，向中标人支付合同总金额的20%。</w:t>
            </w:r>
          </w:p>
          <w:p>
            <w:pPr>
              <w:pStyle w:val="null3"/>
              <w:ind w:firstLine="640"/>
              <w:jc w:val="left"/>
            </w:pPr>
            <w:r>
              <w:rPr>
                <w:rFonts w:ascii="仿宋_GB2312" w:hAnsi="仿宋_GB2312" w:cs="仿宋_GB2312" w:eastAsia="仿宋_GB2312"/>
                <w:sz w:val="32"/>
              </w:rPr>
              <w:t>项目终验合格后，采购人收到中标人正式有效发票之日起</w:t>
            </w:r>
            <w:r>
              <w:rPr>
                <w:rFonts w:ascii="仿宋_GB2312" w:hAnsi="仿宋_GB2312" w:cs="仿宋_GB2312" w:eastAsia="仿宋_GB2312"/>
                <w:sz w:val="32"/>
              </w:rPr>
              <w:t>10个工作日内，向中标人支付合同总金额的10%。</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实施要求</w:t>
            </w:r>
          </w:p>
          <w:p>
            <w:pPr>
              <w:pStyle w:val="null3"/>
              <w:ind w:firstLine="640"/>
              <w:jc w:val="left"/>
            </w:pPr>
            <w:r>
              <w:rPr>
                <w:rFonts w:ascii="仿宋_GB2312" w:hAnsi="仿宋_GB2312" w:cs="仿宋_GB2312" w:eastAsia="仿宋_GB2312"/>
                <w:sz w:val="32"/>
              </w:rPr>
              <w:t>供应商应在采购人要求的工期内完成所有规定的建设任务。</w:t>
            </w:r>
          </w:p>
          <w:p>
            <w:pPr>
              <w:pStyle w:val="null3"/>
              <w:ind w:firstLine="640"/>
              <w:jc w:val="left"/>
            </w:pPr>
            <w:r>
              <w:rPr>
                <w:rFonts w:ascii="仿宋_GB2312" w:hAnsi="仿宋_GB2312" w:cs="仿宋_GB2312" w:eastAsia="仿宋_GB2312"/>
                <w:sz w:val="32"/>
              </w:rPr>
              <w:t>采购人及采购人所委托的监理单位，有权对整个项目实施的全过程进行监督检查。供应商必须给予积极支持和配合，不得以任何理由回避采购人或监理单位的监督检查。</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其它相关要求</w:t>
            </w:r>
          </w:p>
          <w:p>
            <w:pPr>
              <w:pStyle w:val="null3"/>
              <w:ind w:firstLine="640"/>
              <w:jc w:val="left"/>
            </w:pPr>
            <w:r>
              <w:rPr>
                <w:rFonts w:ascii="仿宋_GB2312" w:hAnsi="仿宋_GB2312" w:cs="仿宋_GB2312" w:eastAsia="仿宋_GB2312"/>
                <w:sz w:val="32"/>
              </w:rPr>
              <w:t>投标技术文档需针对本项目</w:t>
            </w:r>
            <w:r>
              <w:rPr>
                <w:rFonts w:ascii="仿宋_GB2312" w:hAnsi="仿宋_GB2312" w:cs="仿宋_GB2312" w:eastAsia="仿宋_GB2312"/>
                <w:sz w:val="32"/>
              </w:rPr>
              <w:t>情况</w:t>
            </w:r>
            <w:r>
              <w:rPr>
                <w:rFonts w:ascii="仿宋_GB2312" w:hAnsi="仿宋_GB2312" w:cs="仿宋_GB2312" w:eastAsia="仿宋_GB2312"/>
                <w:sz w:val="32"/>
              </w:rPr>
              <w:t>，编制包括但不限于项目对监理服务周期、监理工作目标和监理工作依据的响应与承诺</w:t>
            </w:r>
            <w:r>
              <w:rPr>
                <w:rFonts w:ascii="仿宋_GB2312" w:hAnsi="仿宋_GB2312" w:cs="仿宋_GB2312" w:eastAsia="仿宋_GB2312"/>
                <w:sz w:val="32"/>
              </w:rPr>
              <w:t>、项目重难点分析及监理措施、各阶段措施及方法、监理服务方案、人员配备职能分工及监理工作制度、项目文档管理方案、投标人实力情况、项目团队能力、项目业绩、服务报价</w:t>
            </w:r>
            <w:r>
              <w:rPr>
                <w:rFonts w:ascii="仿宋_GB2312" w:hAnsi="仿宋_GB2312" w:cs="仿宋_GB2312" w:eastAsia="仿宋_GB2312"/>
                <w:sz w:val="32"/>
              </w:rPr>
              <w:t>等内容。</w:t>
            </w:r>
          </w:p>
          <w:p>
            <w:pPr>
              <w:pStyle w:val="null3"/>
              <w:ind w:firstLine="640"/>
              <w:jc w:val="left"/>
            </w:pPr>
            <w:r>
              <w:rPr>
                <w:rFonts w:ascii="仿宋_GB2312" w:hAnsi="仿宋_GB2312" w:cs="仿宋_GB2312" w:eastAsia="仿宋_GB2312"/>
                <w:sz w:val="32"/>
              </w:rPr>
              <w:t>投标人必须根据所投服务的技术参数、资质资料编写投标文件。在中标结果公示期间，招标人有权要求中标候选人提供所投产品或服务的参数的证明材料和资质证书等进行核查，如发现与其投标文件中的描述不一致，代理机构将报政府采购主管部门严肃处理，同时废除中标资格，并没收保证金，给招标人造成损失的，还必须进行赔偿并承担相关责任。</w:t>
            </w:r>
          </w:p>
          <w:p>
            <w:pPr>
              <w:pStyle w:val="null3"/>
              <w:ind w:firstLine="640"/>
              <w:jc w:val="left"/>
            </w:pPr>
            <w:r>
              <w:rPr>
                <w:rFonts w:ascii="仿宋_GB2312" w:hAnsi="仿宋_GB2312" w:cs="仿宋_GB2312" w:eastAsia="仿宋_GB2312"/>
                <w:sz w:val="32"/>
              </w:rPr>
              <w:t>验收方法及标准</w:t>
            </w:r>
            <w:r>
              <w:rPr>
                <w:rFonts w:ascii="仿宋_GB2312" w:hAnsi="仿宋_GB2312" w:cs="仿宋_GB2312" w:eastAsia="仿宋_GB2312"/>
                <w:sz w:val="32"/>
              </w:rPr>
              <w:t>：</w:t>
            </w:r>
            <w:r>
              <w:rPr>
                <w:rFonts w:ascii="仿宋_GB2312" w:hAnsi="仿宋_GB2312" w:cs="仿宋_GB2312" w:eastAsia="仿宋_GB2312"/>
                <w:sz w:val="32"/>
              </w:rPr>
              <w:t>按本招标文件和投标文件的内容及国家、地方和行业的相关政策、法规实施。</w:t>
            </w:r>
          </w:p>
          <w:p>
            <w:pPr>
              <w:pStyle w:val="null3"/>
              <w:ind w:firstLine="640"/>
              <w:jc w:val="left"/>
            </w:pPr>
            <w:r>
              <w:rPr>
                <w:rFonts w:ascii="仿宋_GB2312" w:hAnsi="仿宋_GB2312" w:cs="仿宋_GB2312" w:eastAsia="仿宋_GB2312"/>
                <w:sz w:val="32"/>
              </w:rPr>
              <w:t>本项目以人民币填报服务的唯一报价，报价总价高于采购控制价的供应商，其响应文件将被</w:t>
            </w:r>
            <w:r>
              <w:rPr>
                <w:rFonts w:ascii="仿宋_GB2312" w:hAnsi="仿宋_GB2312" w:cs="仿宋_GB2312" w:eastAsia="仿宋_GB2312"/>
                <w:sz w:val="32"/>
              </w:rPr>
              <w:t>否决</w:t>
            </w:r>
            <w:r>
              <w:rPr>
                <w:rFonts w:ascii="仿宋_GB2312" w:hAnsi="仿宋_GB2312" w:cs="仿宋_GB2312" w:eastAsia="仿宋_GB2312"/>
                <w:sz w:val="32"/>
              </w:rPr>
              <w:t>；本项目采用总价包干，供应商自行考虑市场风险，所报价格应包含本项目所产生的一切费用。</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技术部分16.00分</w:t>
            </w:r>
          </w:p>
          <w:p>
            <w:pPr>
              <w:pStyle w:val="null3"/>
              <w:jc w:val="both"/>
            </w:pPr>
            <w:r>
              <w:rPr>
                <w:rFonts w:ascii="仿宋_GB2312" w:hAnsi="仿宋_GB2312" w:cs="仿宋_GB2312" w:eastAsia="仿宋_GB2312"/>
              </w:rPr>
              <w:t>商务部分54.00分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投标人对整体项目的理解和把握准确，能提供详细的技术方案，方案内容包括：（1）系统架构及说明；（2）网络拓扑及说明；（3）各系统方案；（4）各系统设计图。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招标文件采购要求，提出针对性的项目实施方案，有合理的实施计划与人员组织，保证项目在规定时间内顺利完成，方案内容包括（1）项目进度计划、（2）项目组织管理方案、（3）质量及工期保障措施、（4）人员组织安排等内容。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投标人根据整体项目采购需求提供的售后服务方案，方案内容包括（1）项目售后服务的内容、（2）重大故障应急响应时间和措施、（3）售后服务人员安排、（4）售后质量保障，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培训对象划分为三种类型：建设、使用单位的各级领导、各部门警员、系统管理员等。培训方案应根据不同培训对象制定不同的培训计划。由评审委员会根据方案的覆盖面、培训合理频次。方案包括（1）培训计划安排、（2）培训内容课程、（3）培训人员安排、（4）培训场所安排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投标人综合实力证明（一）</w:t>
            </w:r>
          </w:p>
        </w:tc>
        <w:tc>
          <w:tcPr>
            <w:tcW w:type="dxa" w:w="2492"/>
          </w:tcPr>
          <w:p>
            <w:pPr>
              <w:pStyle w:val="null3"/>
              <w:jc w:val="both"/>
            </w:pPr>
            <w:r>
              <w:rPr>
                <w:rFonts w:ascii="仿宋_GB2312" w:hAnsi="仿宋_GB2312" w:cs="仿宋_GB2312" w:eastAsia="仿宋_GB2312"/>
              </w:rPr>
              <w:t>1、投标人具有完善的质量保证体系，通过ISO9001质量管理体系认证书、IS022301业务连续性管理体系认证证书、ISO/IEC20000信息技术服务管理体系认证证书，每个证书1分，满分3分； 2、投标人具有信息系统建设和服务能力评估认证证书（CS），得1分，其他不得分； 3、投标人具有ITSS信息技术服务标准符合性证书（运行维护方向），得1分，其他不得分； 4、投标人具有《基础电信业务经营许可证》得2分，不提供不得分。 5、投标人具有建筑工程施工总承包证书，得2分，其他不得分。 注：提供上述相关证书或资质复印件加盖公章。全部满足得9分。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投标人综合实力证明（二）</w:t>
            </w:r>
          </w:p>
        </w:tc>
        <w:tc>
          <w:tcPr>
            <w:tcW w:type="dxa" w:w="2492"/>
          </w:tcPr>
          <w:p>
            <w:pPr>
              <w:pStyle w:val="null3"/>
              <w:jc w:val="both"/>
            </w:pPr>
            <w:r>
              <w:rPr>
                <w:rFonts w:ascii="仿宋_GB2312" w:hAnsi="仿宋_GB2312" w:cs="仿宋_GB2312" w:eastAsia="仿宋_GB2312"/>
              </w:rPr>
              <w:t>投标人所投的以下软硬件产品需要提供授权函和承诺函： 1、人卡应用平台的视频流和图片流解析算法； 2、服务器GPU解析卡；3、服务器内存卡。 以上3项全部提供得3分，缺一项得0分。 证明材料： 一、提供原制造厂商产品授权函，内容包含软件授权套数、授权路数、授权年限等，其中：第1项包含软件授权路数（按采购清单相对应的授权路数要求）、授权年限（需描述为永久授权）；第2、3项包含服务器内存和解析卡安装调试扩容承诺函。 二、原制造厂商三年免费售后服务承诺函。 以上所出具的原厂商授权函、承诺函要加盖原厂商公章和投标人公章。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投标人拟投入本项目项目经理1名，应同时具备智能化系统集成项目经理（高级）、信息安全工程师、网络工程师、信息系统运维管理工程师（高级）；每提供一个证书得1分，满分4分。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投标人拟投入本项目技术负责人1名，应同时具备系统集成项目管理工程师、网络工程师、通信专业技术人员职业资格证书（传输与接入）；每提供一个证书得1分，满分3分。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投标人2023年1月至今有承担过类似信息化项目业绩的，每有一个得1分，满分2分。 需提供对应业绩的中标通知书、合同关键页、验收报告等扫描件并加盖投标人公章。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项目团队成员</w:t>
            </w:r>
          </w:p>
        </w:tc>
        <w:tc>
          <w:tcPr>
            <w:tcW w:type="dxa" w:w="2492"/>
          </w:tcPr>
          <w:p>
            <w:pPr>
              <w:pStyle w:val="null3"/>
              <w:jc w:val="both"/>
            </w:pPr>
            <w:r>
              <w:rPr>
                <w:rFonts w:ascii="仿宋_GB2312" w:hAnsi="仿宋_GB2312" w:cs="仿宋_GB2312" w:eastAsia="仿宋_GB2312"/>
              </w:rPr>
              <w:t>投标人拟投入的技术团队成员具备线务员证书每提供一人得0.5分，满分3分；通信专业技术人员职业资格证书每提供一人的0.5分，满分1分；本项总分4分，不提供不得分。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技术参数、规格及要求响应情况等</w:t>
            </w:r>
          </w:p>
        </w:tc>
        <w:tc>
          <w:tcPr>
            <w:tcW w:type="dxa" w:w="2492"/>
          </w:tcPr>
          <w:p>
            <w:pPr>
              <w:pStyle w:val="null3"/>
              <w:jc w:val="both"/>
            </w:pPr>
            <w:r>
              <w:rPr>
                <w:rFonts w:ascii="仿宋_GB2312" w:hAnsi="仿宋_GB2312" w:cs="仿宋_GB2312" w:eastAsia="仿宋_GB2312"/>
              </w:rPr>
              <w:t>投标人提供的技术参数、规格及要求完全满足或优于招标文件要求的得满分，带“▲”条款不满足的每项扣0.5分，其他条款不满足的每项扣0.01分，满分29分。 同类别设备相同参数不重复扣分； 投标人必须根据所投产品的实际情况（技术资料）如实填写，如发现有虚假描述响应的，该响应文件无效，并报政府采购主管部门严肃处理。（采购人在项目供货时检查响应情况，如存在虚假应标则合同作废并赔偿采购人损失）</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技术部分18.00分</w:t>
            </w:r>
          </w:p>
          <w:p>
            <w:pPr>
              <w:pStyle w:val="null3"/>
              <w:jc w:val="both"/>
            </w:pPr>
            <w:r>
              <w:rPr>
                <w:rFonts w:ascii="仿宋_GB2312" w:hAnsi="仿宋_GB2312" w:cs="仿宋_GB2312" w:eastAsia="仿宋_GB2312"/>
              </w:rPr>
              <w:t>商务部分72.00分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评标委员会根据各投标人的服务方案进行评审： 1、投标人提供的服务方案各项内容完整，内容科学合理，能够针对项目实际情况，各项内容有具体实施步骤，可行性强的为优等级，得8分； 2、投标人提供的服务方案各项内容基本完整，各项内容提供了方案大纲流程，可行性和针对性基本满足采购需求的为中等级，得5分； 3、投标人提供的服务方案内容较差，有个别漏项或提供的各项测试内容针对性较差的为差等级，得3分； 无软件测评方案，本项不得分。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风险控制方案</w:t>
            </w:r>
          </w:p>
        </w:tc>
        <w:tc>
          <w:tcPr>
            <w:tcW w:type="dxa" w:w="2492"/>
          </w:tcPr>
          <w:p>
            <w:pPr>
              <w:pStyle w:val="null3"/>
              <w:jc w:val="both"/>
            </w:pPr>
            <w:r>
              <w:rPr>
                <w:rFonts w:ascii="仿宋_GB2312" w:hAnsi="仿宋_GB2312" w:cs="仿宋_GB2312" w:eastAsia="仿宋_GB2312"/>
              </w:rPr>
              <w:t>评标委员会根据各投标人的风险控制方案进行评审： 1、投标人提供的风险控制方案对相关测评、测试与评估活动对系统正常运行的不利影响考虑充分，有切实可行的应对措施规避风险或将相关风险降到最低，为优等级，得5分； 2、投标人提供的风险控制方案对相关测评、测试与评估活动对系统正常运行的不利影响分析不全面，有相关的应对措施但效果一般，为中等级，得3分； 3、投标人提供的风险控制方案对相关测评、测试与评估活动对系统正常运行的不利影响认识不足，不能准确的分析出相关风险，没有相关的应对措施或应对措施脱离实际，没有可操作性，为差等级，得1分； 无风险控制方案，本项不得分。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保密制度及措施</w:t>
            </w:r>
          </w:p>
        </w:tc>
        <w:tc>
          <w:tcPr>
            <w:tcW w:type="dxa" w:w="2492"/>
          </w:tcPr>
          <w:p>
            <w:pPr>
              <w:pStyle w:val="null3"/>
              <w:jc w:val="both"/>
            </w:pPr>
            <w:r>
              <w:rPr>
                <w:rFonts w:ascii="仿宋_GB2312" w:hAnsi="仿宋_GB2312" w:cs="仿宋_GB2312" w:eastAsia="仿宋_GB2312"/>
              </w:rPr>
              <w:t>评标委员会根据各投标人提供的保密制度及措施进行评审： 1、投标人提供的保密制度及措施合理完善，对在工作过程中有可能获悉项目或其他投标人相关秘密的节点分析准确，相关保密制度及措施切实可行，为优等级，得5分； 2、投标人提供的保密制度及措施基本合理，对在工作过程中有可能获悉项目或其他投标人相关秘密的节点制定的相关保密制度及措施缺少针对性，为中等级，得3分； 3、投标人提供的保密制度及措施完全不符合实际，不能满足项目相关保密需要，为差等级，得1分； 无保密制度及措施，本项不得分。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资质荣誉</w:t>
            </w:r>
          </w:p>
        </w:tc>
        <w:tc>
          <w:tcPr>
            <w:tcW w:type="dxa" w:w="2492"/>
          </w:tcPr>
          <w:p>
            <w:pPr>
              <w:pStyle w:val="null3"/>
              <w:jc w:val="both"/>
            </w:pPr>
            <w:r>
              <w:rPr>
                <w:rFonts w:ascii="仿宋_GB2312" w:hAnsi="仿宋_GB2312" w:cs="仿宋_GB2312" w:eastAsia="仿宋_GB2312"/>
              </w:rPr>
              <w:t>1、投标人具有ISO45001职业健康安全管理体系认证证书的得5分； 2、投标人具有省级（或省级以上）网络安全和信息化委员会办公室颁发的网络安全应急技术支撑单位证书的得5分； 3、投标人具有ISO20000信息技术服务管理体系认证证书，且认证范围包含软件检验检测服务的得5分； 4、投标人拥有网络安全服务相关方面的计算机软件著作权登记证书，每证1分，最高5分，没有的得0分； 5、投标人具备中国网络安全审查认证和市场监管大数据中心颁发的信息安全风险评估服务资质证书的，得5分。 注：提供上述相关证书或资质复印件加盖公章。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应具有： （1）数据安全能力成熟度模型测评师证书（DSMM）； （2）注册信息安全专业人员（CISP）证书； （3）注册网络安全渗透评估专业人员（NSATP-A）； （4）国家重要信息系统保护人员（CIIP-T）； （5）系统集成项目管理工程师； （6）网络安全服务能力评价证书（CCSS-R）。 以上6项证书每具备一项得1分，满分6分。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资深安全技术专家</w:t>
            </w:r>
          </w:p>
        </w:tc>
        <w:tc>
          <w:tcPr>
            <w:tcW w:type="dxa" w:w="2492"/>
          </w:tcPr>
          <w:p>
            <w:pPr>
              <w:pStyle w:val="null3"/>
              <w:jc w:val="both"/>
            </w:pPr>
            <w:r>
              <w:rPr>
                <w:rFonts w:ascii="仿宋_GB2312" w:hAnsi="仿宋_GB2312" w:cs="仿宋_GB2312" w:eastAsia="仿宋_GB2312"/>
              </w:rPr>
              <w:t>需具备： （1）高级网络信息安全工程师； （2）注册信息安全工程师（CISP）； （3）密码安全工程师（中级）。 以上3项证书每具备一项得2分，满分6分。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服务团队成员（不包含项目经理及技术专家）</w:t>
            </w:r>
          </w:p>
        </w:tc>
        <w:tc>
          <w:tcPr>
            <w:tcW w:type="dxa" w:w="2492"/>
          </w:tcPr>
          <w:p>
            <w:pPr>
              <w:pStyle w:val="null3"/>
              <w:jc w:val="both"/>
            </w:pPr>
            <w:r>
              <w:rPr>
                <w:rFonts w:ascii="仿宋_GB2312" w:hAnsi="仿宋_GB2312" w:cs="仿宋_GB2312" w:eastAsia="仿宋_GB2312"/>
              </w:rPr>
              <w:t>需具备： （1）注册网络安全测评专业人员（NSATP）证书； （2）注册信息安全专业人员（CISP）证书； （3）安全管理能力认证（CCSS-M）证书； （4）项目管理专业人士资格认证（PMP）证书； （5）职业技能等级证书-网络与信息安全管理员（技师）证书； （6）系统规划与管理师证书； （7）密码安全工程师（中级）； （8）中国通信企业协会网络安全人员能力认证证书。 以上8项证书每具备一项得3分，此项满分24分，服务团队成员（不包含项目经理及技术专家）一人具有多个证书的，不重复得分。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为了提供及时有效的售后服务，供应商应在项目所在地具有稳定的售后服务技术支持团队，以及时准确地应对采购人的业务需求，承诺中标后成立项目所在地驻点专项实施保障小组，并承诺提供的售后保障计划应包含7*24小时的技术支持服务，针对突发应急事件提供2小时内到现场处置的服务响应保障等。提供承诺函，满足得6分，不满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投标人2023年1月至今有承担过网络安服类似项目案例的，每有一个得1分，满分5分。提供合同复印件加盖公章。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供应商针对本项目提供质量控制方案，包括但不限于： 1、审核内容（方案包括关键技术文档、成品软硬件、软件开发、验收等重点内容的审核）； 2、质量保障内容（包括质保措施、各阶段质保重点、问题处置计划等内容）； 3、监督计划（包括承建方实施监督、功能实现监督等内容）。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进度控制方案</w:t>
            </w:r>
          </w:p>
        </w:tc>
        <w:tc>
          <w:tcPr>
            <w:tcW w:type="dxa" w:w="2492"/>
          </w:tcPr>
          <w:p>
            <w:pPr>
              <w:pStyle w:val="null3"/>
              <w:jc w:val="both"/>
            </w:pPr>
            <w:r>
              <w:rPr>
                <w:rFonts w:ascii="仿宋_GB2312" w:hAnsi="仿宋_GB2312" w:cs="仿宋_GB2312" w:eastAsia="仿宋_GB2312"/>
              </w:rPr>
              <w:t>供应商针对本项目提供进度控制方案，包括但不限于： 1、跟踪内容（包括对实施进度、阶段目标等进行跟踪）； 2、需求变更管理（包括需求变更认定原则、需求变更分析方法等）； 3、工期控制内容（包括目标偏离控制手段、工期调整方法等）。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投资控制方案</w:t>
            </w:r>
          </w:p>
        </w:tc>
        <w:tc>
          <w:tcPr>
            <w:tcW w:type="dxa" w:w="2492"/>
          </w:tcPr>
          <w:p>
            <w:pPr>
              <w:pStyle w:val="null3"/>
              <w:jc w:val="both"/>
            </w:pPr>
            <w:r>
              <w:rPr>
                <w:rFonts w:ascii="仿宋_GB2312" w:hAnsi="仿宋_GB2312" w:cs="仿宋_GB2312" w:eastAsia="仿宋_GB2312"/>
              </w:rPr>
              <w:t>供应商针对本项目提供投资控制方案，包括但不限于： 1、责任梳理内容（包括梳理费用主体等）； 2、变更费用审查内容（包括对完成的工作量或变更的工作量进行评估等）。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变更控制方案</w:t>
            </w:r>
          </w:p>
        </w:tc>
        <w:tc>
          <w:tcPr>
            <w:tcW w:type="dxa" w:w="2492"/>
          </w:tcPr>
          <w:p>
            <w:pPr>
              <w:pStyle w:val="null3"/>
              <w:jc w:val="both"/>
            </w:pPr>
            <w:r>
              <w:rPr>
                <w:rFonts w:ascii="仿宋_GB2312" w:hAnsi="仿宋_GB2312" w:cs="仿宋_GB2312" w:eastAsia="仿宋_GB2312"/>
              </w:rPr>
              <w:t>供应商针对本项目提供变更控制方案，包括但不限于： 1、变更管理机制（包括变更申请评估原则、变更风险控制原则等）； 2、变更影响分析（预测变更风险以及变更效果原则、办法）。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安全管理方案</w:t>
            </w:r>
          </w:p>
        </w:tc>
        <w:tc>
          <w:tcPr>
            <w:tcW w:type="dxa" w:w="2492"/>
          </w:tcPr>
          <w:p>
            <w:pPr>
              <w:pStyle w:val="null3"/>
              <w:jc w:val="both"/>
            </w:pPr>
            <w:r>
              <w:rPr>
                <w:rFonts w:ascii="仿宋_GB2312" w:hAnsi="仿宋_GB2312" w:cs="仿宋_GB2312" w:eastAsia="仿宋_GB2312"/>
              </w:rPr>
              <w:t>供应商针对本项目提供安全管理方案，包括但不限于： 1、安全管理制度（包括管理安全措施、信息安全技术的应用情况等）； 2、安全性审查（审查承建方的国家信息系统安全等级保护情况、密码应用方案等）。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合同管理方案</w:t>
            </w:r>
          </w:p>
        </w:tc>
        <w:tc>
          <w:tcPr>
            <w:tcW w:type="dxa" w:w="2492"/>
          </w:tcPr>
          <w:p>
            <w:pPr>
              <w:pStyle w:val="null3"/>
              <w:jc w:val="both"/>
            </w:pPr>
            <w:r>
              <w:rPr>
                <w:rFonts w:ascii="仿宋_GB2312" w:hAnsi="仿宋_GB2312" w:cs="仿宋_GB2312" w:eastAsia="仿宋_GB2312"/>
              </w:rPr>
              <w:t>供应商针对本项目提供合同管理方案，包括但不限于： 1、合同执行（包括跟踪建设方的履约情况、违约鉴定的条件等）； 2、合同管理（包括建立合同会签制度、合同交底制度等）。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文档管理方案</w:t>
            </w:r>
          </w:p>
        </w:tc>
        <w:tc>
          <w:tcPr>
            <w:tcW w:type="dxa" w:w="2492"/>
          </w:tcPr>
          <w:p>
            <w:pPr>
              <w:pStyle w:val="null3"/>
              <w:jc w:val="both"/>
            </w:pPr>
            <w:r>
              <w:rPr>
                <w:rFonts w:ascii="仿宋_GB2312" w:hAnsi="仿宋_GB2312" w:cs="仿宋_GB2312" w:eastAsia="仿宋_GB2312"/>
              </w:rPr>
              <w:t>供应商针对本项目提供文档管理方案，包括但不限于： 1、文档管理制度（包括文档管理流程、完善项目周报等）； 2、文档规范性审查（包括督促承建单位按期编制并提交相关工作资料并与实际工作对比等）。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组织协调方案</w:t>
            </w:r>
          </w:p>
        </w:tc>
        <w:tc>
          <w:tcPr>
            <w:tcW w:type="dxa" w:w="2492"/>
          </w:tcPr>
          <w:p>
            <w:pPr>
              <w:pStyle w:val="null3"/>
              <w:jc w:val="both"/>
            </w:pPr>
            <w:r>
              <w:rPr>
                <w:rFonts w:ascii="仿宋_GB2312" w:hAnsi="仿宋_GB2312" w:cs="仿宋_GB2312" w:eastAsia="仿宋_GB2312"/>
              </w:rPr>
              <w:t>供应商针对本项目提供组织协调方案，包括但不限于： 1、协调方法（包括纠纷处理原则、工作关系协调原则等）； 2、汇报流程（包括向采购单位汇报冲突情况等）。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投标人2023年1月至今有承担过信息系统工程监理项目，每提供一个信息系统工程监理项目案例得2分，最高计8分。（提供合同复印件，加盖投标人公章）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1、具有ISO9001 质量管理体系认证证书的得2分； 2、具有ISO20000 IT 服务管理体系认证证书得2分； 3、具有ISO27001 信息安全管理体系认证证书得2分。 4、具有工程咨询单位乙级及以上资信证书且涵盖电子、信息工程（信息化）的得2分。 5、具有信息技术服务标准符合证书（ITSS证书）的得2分。 注：提供上述相关证书或资质复印件加盖公章。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投标人拟派本项目总监理工程师</w:t>
            </w:r>
          </w:p>
        </w:tc>
        <w:tc>
          <w:tcPr>
            <w:tcW w:type="dxa" w:w="2492"/>
          </w:tcPr>
          <w:p>
            <w:pPr>
              <w:pStyle w:val="null3"/>
              <w:jc w:val="both"/>
            </w:pPr>
            <w:r>
              <w:rPr>
                <w:rFonts w:ascii="仿宋_GB2312" w:hAnsi="仿宋_GB2312" w:cs="仿宋_GB2312" w:eastAsia="仿宋_GB2312"/>
              </w:rPr>
              <w:t>1.具有信息系统监理师证书得3分； 2.具有信息系统项目管理师证书得3分； 3.具有网络工程师证书得3分； 4.系统集成工程师证得3分；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投标人拟派本项目总监理工程师代表</w:t>
            </w:r>
          </w:p>
        </w:tc>
        <w:tc>
          <w:tcPr>
            <w:tcW w:type="dxa" w:w="2492"/>
          </w:tcPr>
          <w:p>
            <w:pPr>
              <w:pStyle w:val="null3"/>
              <w:jc w:val="both"/>
            </w:pPr>
            <w:r>
              <w:rPr>
                <w:rFonts w:ascii="仿宋_GB2312" w:hAnsi="仿宋_GB2312" w:cs="仿宋_GB2312" w:eastAsia="仿宋_GB2312"/>
              </w:rPr>
              <w:t>1. 具有信息系统监理师证书得3分； 2. 具有信息系统项目管理师证书得3分；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投标人为本项目配备的团队人员</w:t>
            </w:r>
          </w:p>
        </w:tc>
        <w:tc>
          <w:tcPr>
            <w:tcW w:type="dxa" w:w="2492"/>
          </w:tcPr>
          <w:p>
            <w:pPr>
              <w:pStyle w:val="null3"/>
              <w:jc w:val="both"/>
            </w:pPr>
            <w:r>
              <w:rPr>
                <w:rFonts w:ascii="仿宋_GB2312" w:hAnsi="仿宋_GB2312" w:cs="仿宋_GB2312" w:eastAsia="仿宋_GB2312"/>
              </w:rPr>
              <w:t>1.具有信息系统监理师证书得2分； 2.具有信息系统项目管理师证书得2分； 3.具有系统规划与管理师证书得2分； （此处加分项不包含总监理工程师和总监理工程师代表，同一人员不得重复计算）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HNBL-CG2025-0801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乐东县社会管理信息化平台一期建设项目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软硬件设备采购、系统集成、其他</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9058869.98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HNBL-CG2025-0801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乐东县社会管理信息化平台一期建设项目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42600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HNBL-CG2025-0801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乐东县社会管理信息化平台一期建设项目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106773.1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