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新安村道路硬化项目(二次)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[HNZL-2024]20250300001[CS]-1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乐东黎族自治县佛罗镇人民政府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海南智力建设项目管理有限公司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乐东黎族自治县佛罗镇人民政府</w:t>
      </w:r>
      <w:r>
        <w:rPr>
          <w:rFonts w:ascii="仿宋_GB2312" w:hAnsi="仿宋_GB2312" w:cs="仿宋_GB2312" w:eastAsia="仿宋_GB2312"/>
        </w:rPr>
        <w:t xml:space="preserve"> 的委托， </w:t>
      </w:r>
      <w:r>
        <w:rPr>
          <w:rFonts w:ascii="仿宋_GB2312" w:hAnsi="仿宋_GB2312" w:cs="仿宋_GB2312" w:eastAsia="仿宋_GB2312"/>
        </w:rPr>
        <w:t>海南智力建设项目管理有限公司</w:t>
      </w:r>
      <w:r>
        <w:rPr>
          <w:rFonts w:ascii="仿宋_GB2312" w:hAnsi="仿宋_GB2312" w:cs="仿宋_GB2312" w:eastAsia="仿宋_GB2312"/>
        </w:rPr>
        <w:t xml:space="preserve"> 对 </w:t>
      </w:r>
      <w:r>
        <w:rPr>
          <w:rFonts w:ascii="仿宋_GB2312" w:hAnsi="仿宋_GB2312" w:cs="仿宋_GB2312" w:eastAsia="仿宋_GB2312"/>
        </w:rPr>
        <w:t>新安村道路硬化项目(二次)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[HNZL-2024]20250300001[CS]-1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新安村道路硬化项目(二次)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3,039,795.82元</w:t>
      </w:r>
      <w:r>
        <w:rPr>
          <w:rFonts w:ascii="仿宋_GB2312" w:hAnsi="仿宋_GB2312" w:cs="仿宋_GB2312" w:eastAsia="仿宋_GB2312"/>
        </w:rPr>
        <w:t>叁佰零叁万玖仟柒佰玖拾伍元捌角贰分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特定资格要求：供应商应具备有效的安全生产许可证，同时具备建设行政主管部门核发的市政公用工程施工总承包叁级（含以上级）资质或【根据《住房和城乡建设部关于印发建设工程企业资质管理制度改革方案的通知（建市〔2020〕94 号）的规定已换发新证的取得相应资质证书的提供新资质证书】资质。 提供资质证书及安全生产许可证复印件加盖公章</w:t>
      </w:r>
    </w:p>
    <w:p>
      <w:pPr>
        <w:pStyle w:val="null3"/>
        <w:jc w:val="left"/>
      </w:pPr>
      <w:r>
        <w:rPr>
          <w:rFonts w:ascii="仿宋_GB2312" w:hAnsi="仿宋_GB2312" w:cs="仿宋_GB2312" w:eastAsia="仿宋_GB2312"/>
        </w:rPr>
        <w:t>2、本项目特定资格要求：拟派项目负责人（项目经理）须具备市政公用工程专业二级及以上注册建造师执业资格级，且未担任其他在施建设工程项目的项目经理。 提供注册建造师证书、2025年01月01日至今任意1个月在企业缴纳社保的证明复印件加盖公章及无在建承诺书</w:t>
      </w:r>
    </w:p>
    <w:p>
      <w:pPr>
        <w:pStyle w:val="null3"/>
        <w:jc w:val="left"/>
      </w:pPr>
      <w:r>
        <w:rPr>
          <w:rFonts w:ascii="仿宋_GB2312" w:hAnsi="仿宋_GB2312" w:cs="仿宋_GB2312" w:eastAsia="仿宋_GB2312"/>
        </w:rPr>
        <w:t>3、本项目特定资格要求：建筑业企业参与投标前，应当根据《海南省建筑企业诚信档案手册管理办法》 的规定，通过省住房和城乡建设厅网站（http://www.hnjst.gov.cn/）登录海南省房屋建筑工程全过程监管信息平台填报项目名称、项目地址、派驻的项目班子人员信息，打印生成诚信档案手册并按要求签字盖章。 提供诚信档案手册加盖公章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1、项目所属行业：建筑业。 2、发布公告媒介：公告、采购文件修改或澄清等信息，将在《海南省政府采购网》、《乐东黎族自治县人民政府网》网站发布。</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乐东黎族自治县佛罗镇人民政府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海南省乐东黎族自治县佛罗镇中心大道8号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572541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方工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0898-85701749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海南智力建设项目管理有限公司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海口市美兰区白龙街道美祥路9号盛贤景都12栋2102房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0898-31330813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采购包1：3,039,795.82元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代理服务费收费标准：参照琼价费管【2011】534号文件规定，按财政审核后的金额85%优惠折扣计取该项目的招标代理服务费，具体金额为¥16509.00元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投标人，不得参加同一合同项下的政府采购活动；投标报价应由注册在本单位的一级或二级造价工程师使用本单位实名的计价软件编制。委托工程造价咨询企业编制的，应在投标文件中提供加盖双方单位公章的委托书，并在已标价工程量清单上加盖负责编制的工程造价咨询企业公章以及负责审核的一级注册造价师执业印章。工程造价咨询机构在同一招标项目中，只可以接受招标人或一个投标人的委托并编制招标控制价或投标报价，不得为同一招标项目的两个或者两个以上投标人编制投标报价，亦不得既为招标人编制招标控制价同时又为投标人编制投标报价，否则其编制的招标控制价和投标报价无效并视为存在相互串通投标行为。 2、本项目采购标的对应的中小企业划分标准所属行业：建筑业。 3、为防止恶意竞争导致用户权益无法保障，评标委员会认为投标人的报价明显低于其他通过符合性审查投标人的报价，有可能影响工程质量或者不能诚信履约的，应当要求其在评标现场合理的时间内提供书面说明，必要时提交相关证明材料；投标人不能证明其报价合理性的，评标委员会应当将其作为无效投标处理。如中标人的报价过低，明显不符合市场价格，则采购人有权要求中标人提供预算金额的10%作为履约保证金，同时预付款比例调整为0%。如中标人在实施过程中偷工减料、不按工期完成项目，则采购人有权终止合同，没收履约保证金，并报主管部门严肃处理。 4、招标人保留核实投标人是否被责令停业、财产被接管、冻结、破产的权力，若投标人在投标有效期内处于以上情形的，招标人将有权取消其中标资格。 5、签订合同前或执行合同中，投标人为失信被执行人的，招标人依法取消其中标资格或中止合同。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联系人：唐工</w:t>
      </w:r>
    </w:p>
    <w:p>
      <w:pPr>
        <w:pStyle w:val="null3"/>
        <w:jc w:val="left"/>
      </w:pPr>
      <w:r>
        <w:rPr>
          <w:rFonts w:ascii="仿宋_GB2312" w:hAnsi="仿宋_GB2312" w:cs="仿宋_GB2312" w:eastAsia="仿宋_GB2312"/>
        </w:rPr>
        <w:t>联系电话：0898-31330813</w:t>
      </w:r>
    </w:p>
    <w:p>
      <w:pPr>
        <w:pStyle w:val="null3"/>
        <w:jc w:val="left"/>
      </w:pPr>
      <w:r>
        <w:rPr>
          <w:rFonts w:ascii="仿宋_GB2312" w:hAnsi="仿宋_GB2312" w:cs="仿宋_GB2312" w:eastAsia="仿宋_GB2312"/>
        </w:rPr>
        <w:t>地址：海南省海口市美兰区白龙街道美祥路9号盛贤景都12栋2102房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16"/>
        </w:rPr>
        <w:t>本工程内容为道路硬化、交通工程等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3,039,795.82</w:t>
      </w:r>
    </w:p>
    <w:p>
      <w:pPr>
        <w:pStyle w:val="null3"/>
        <w:jc w:val="left"/>
      </w:pPr>
      <w:r>
        <w:rPr>
          <w:rFonts w:ascii="仿宋_GB2312" w:hAnsi="仿宋_GB2312" w:cs="仿宋_GB2312" w:eastAsia="仿宋_GB2312"/>
        </w:rPr>
        <w:t>采购包最高限价（元）: 3,039,795.82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3,039,795.82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3,039,795.82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以工程量清单为准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1、计划工期、建设地点：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1）计划工期：90日历天</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2）建设地点：乐东黎族自治县佛罗镇新安村</w:t>
            </w:r>
          </w:p>
          <w:p>
            <w:pPr>
              <w:pStyle w:val="null3"/>
              <w:jc w:val="both"/>
            </w:pPr>
            <w:r>
              <w:rPr>
                <w:rFonts w:ascii="仿宋_GB2312" w:hAnsi="仿宋_GB2312" w:cs="仿宋_GB2312" w:eastAsia="仿宋_GB2312"/>
                <w:sz w:val="21"/>
              </w:rPr>
              <w:t>2、付款时间、方式及条件：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1）施工队伍进场施工后，由现场技术负责人现场核实后预付30%合同价作为进场款。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2）项目正常实施后，经现场技术负责人及监理单位核实工程进度并出具《工程进度表》，则按工程进度拨付至85%合同价。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3）工程验收合格并经审计部门审查确定结算金额后，拨付至97%。</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4）预留结算价款3%作为项目质量保证金，工程正常运行一年后全部付清。</w:t>
            </w:r>
          </w:p>
          <w:p>
            <w:pPr>
              <w:pStyle w:val="null3"/>
              <w:jc w:val="both"/>
            </w:pPr>
            <w:r>
              <w:rPr>
                <w:rFonts w:ascii="仿宋_GB2312" w:hAnsi="仿宋_GB2312" w:cs="仿宋_GB2312" w:eastAsia="仿宋_GB2312"/>
                <w:sz w:val="21"/>
              </w:rPr>
              <w:t>3、验收方法及标准：按本磋商文件及成交供应商响应文件及国家、地方和行业的相关政策、法规实施。</w:t>
            </w:r>
          </w:p>
          <w:p>
            <w:pPr>
              <w:pStyle w:val="null3"/>
              <w:jc w:val="both"/>
            </w:pPr>
            <w:r>
              <w:rPr>
                <w:rFonts w:ascii="仿宋_GB2312" w:hAnsi="仿宋_GB2312" w:cs="仿宋_GB2312" w:eastAsia="仿宋_GB2312"/>
                <w:sz w:val="21"/>
              </w:rPr>
              <w:t>4、项目的实质性要求：按本磋商文件要求实施。</w:t>
            </w:r>
          </w:p>
          <w:p>
            <w:pPr>
              <w:pStyle w:val="null3"/>
              <w:jc w:val="both"/>
            </w:pPr>
            <w:r>
              <w:rPr>
                <w:rFonts w:ascii="仿宋_GB2312" w:hAnsi="仿宋_GB2312" w:cs="仿宋_GB2312" w:eastAsia="仿宋_GB2312"/>
                <w:sz w:val="21"/>
              </w:rPr>
              <w:t>5、合同的实质性条款：采购人与成交供应商的名称和住所、标的、数量、质量、价款或者报酬、履行期限及地点和方式、验收要求、违约责任、解决争议的方法等内容。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1"/>
              </w:rPr>
              <w:t>6、功能、性能标准、材质标准、安全标准、服务标准：符合国家、地方和行业的相关政策、法规。</w:t>
            </w:r>
          </w:p>
          <w:p>
            <w:pPr>
              <w:pStyle w:val="null3"/>
              <w:jc w:val="both"/>
            </w:pPr>
            <w:r>
              <w:rPr>
                <w:rFonts w:ascii="仿宋_GB2312" w:hAnsi="仿宋_GB2312" w:cs="仿宋_GB2312" w:eastAsia="仿宋_GB2312"/>
                <w:sz w:val="21"/>
              </w:rPr>
              <w:t>7、本项目所用材料采购人可根据现场实际情况进行调整。</w:t>
            </w:r>
          </w:p>
          <w:p>
            <w:pPr>
              <w:pStyle w:val="null3"/>
              <w:jc w:val="both"/>
            </w:pPr>
            <w:r>
              <w:rPr>
                <w:rFonts w:ascii="仿宋_GB2312" w:hAnsi="仿宋_GB2312" w:cs="仿宋_GB2312" w:eastAsia="仿宋_GB2312"/>
                <w:sz w:val="21"/>
              </w:rPr>
              <w:t>8、质量要求：合格。</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本项目特定资格要求</w:t>
            </w:r>
          </w:p>
        </w:tc>
        <w:tc>
          <w:tcPr>
            <w:tcW w:type="dxa" w:w="3322"/>
          </w:tcPr>
          <w:p>
            <w:pPr>
              <w:pStyle w:val="null3"/>
              <w:jc w:val="left"/>
            </w:pPr>
            <w:r>
              <w:rPr>
                <w:rFonts w:ascii="仿宋_GB2312" w:hAnsi="仿宋_GB2312" w:cs="仿宋_GB2312" w:eastAsia="仿宋_GB2312"/>
              </w:rPr>
              <w:t>供应商应具备有效的安全生产许可证，同时具备建设行政主管部门核发的市政公用工程施工总承包叁级（含以上级）资质或【根据《住房和城乡建设部关于印发建设工程企业资质管理制度改革方案的通知（建市〔2020〕94 号）的规定已换发新证的取得相应资质证书的提供新资质证书】资质。 提供资质证书及安全生产许可证复印件加盖公章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本项目特定资格要求</w:t>
            </w:r>
          </w:p>
        </w:tc>
        <w:tc>
          <w:tcPr>
            <w:tcW w:type="dxa" w:w="3322"/>
          </w:tcPr>
          <w:p>
            <w:pPr>
              <w:pStyle w:val="null3"/>
              <w:jc w:val="left"/>
            </w:pPr>
            <w:r>
              <w:rPr>
                <w:rFonts w:ascii="仿宋_GB2312" w:hAnsi="仿宋_GB2312" w:cs="仿宋_GB2312" w:eastAsia="仿宋_GB2312"/>
              </w:rPr>
              <w:t>拟派项目负责人（项目经理）须具备市政公用工程专业二级及以上注册建造师执业资格级，且未担任其他在施建设工程项目的项目经理。 提供注册建造师证书、2025年01月01日至今任意1个月在企业缴纳社保的证明复印件加盖公章及无在建承诺书</w:t>
            </w:r>
          </w:p>
        </w:tc>
        <w:tc>
          <w:tcPr>
            <w:tcW w:type="dxa" w:w="1661"/>
          </w:tcPr>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本项目特定资格要求</w:t>
            </w:r>
          </w:p>
        </w:tc>
        <w:tc>
          <w:tcPr>
            <w:tcW w:type="dxa" w:w="3322"/>
          </w:tcPr>
          <w:p>
            <w:pPr>
              <w:pStyle w:val="null3"/>
              <w:jc w:val="left"/>
            </w:pPr>
            <w:r>
              <w:rPr>
                <w:rFonts w:ascii="仿宋_GB2312" w:hAnsi="仿宋_GB2312" w:cs="仿宋_GB2312" w:eastAsia="仿宋_GB2312"/>
              </w:rPr>
              <w:t>建筑业企业参与投标前，应当根据《海南省建筑企业诚信档案手册管理办法》 的规定，通过省住房和城乡建设厅网站（http://www.hnjst.gov.cn/）登录海南省房屋建筑工程全过程监管信息平台填报项目名称、项目地址、派驻的项目班子人员信息，打印生成诚信档案手册并按要求签字盖章。 提供诚信档案手册加盖公章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进行赋分：1.施工方案与技术措施科学合理，适用性强，思路清晰，内容全面，能够根据实际情况制订，满足采购人的需要，考虑问题周全，实施过程务实，各项指标均能完成得 10 分；2.施工方案与技术措施基本能够满足采购需要，操作性良好得7分； 3.施工方案与技术措施不合理得 4 分； 4.施工方案与技术措施不符合项目要求得 1 分；5.不提供不得分。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赋分：1.质量管理体系与措施科学合理，适用性强，思路清晰，内容全面，能够根据实际情况制订，满足采购人的需要，考虑问题周全，实施过程务实，各项指标均能完成得10分； 2.质量管理体系与措施基本能够满足采购需要，操作性良好得7分； 3.质量管理体系与措施不合理得4分；4.质量管理体系不符合项目要求得1分；5.不提供不得分。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根据供应商提供的安全管理体系与措施进行赋分： 1.安全管理体系与措施科学合理，适用性强，思路清晰，内容全面，能够根据实际情况制订，满足采购人的需要，考虑问题周全，实施过程务实，各项指标均能完成得10分；2.安全管理体系与措施基本能够满足采购需要，操作性良好得7分； 3.安全管理体系与措施不合理得4分； 4.安全管理体系不符合项目要求得1分；5.未提供不得分。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环境保护与垃圾处理方案</w:t>
            </w:r>
          </w:p>
        </w:tc>
        <w:tc>
          <w:tcPr>
            <w:tcW w:type="dxa" w:w="2492"/>
          </w:tcPr>
          <w:p>
            <w:pPr>
              <w:pStyle w:val="null3"/>
              <w:jc w:val="left"/>
            </w:pPr>
            <w:r>
              <w:rPr>
                <w:rFonts w:ascii="仿宋_GB2312" w:hAnsi="仿宋_GB2312" w:cs="仿宋_GB2312" w:eastAsia="仿宋_GB2312"/>
              </w:rPr>
              <w:t>根据供应商提供的环境保护与垃圾处理方案进行赋分： 1.环境保护与垃圾处理方案科学合理，适用性强，思路清晰，内容全面，能够根据实际情况制订，满足采购人的需要，考虑问题周全，实施过程务实，各项指标均能完成得10分； 2.环境保护与垃圾处理方案基本能够满足采购需要，操作性良好得7分； 3.环境保护与垃圾处理方案不合理的得4分； 4.环保管理体系不符合项目要求得1 分；5.未提供不得分。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根据供应商提供的工程进度计划与措施进行赋分： 1.工程进度计划与措施科学合理，适用性强，思路清晰，内容全面，能够根据实际情况制订，满足采购人的需要，考虑问题周全，实施过程务实，各项指标均能完成得10分； 2.工程进度计划与措施基本能够满足采购需要，操作性良好得7分；3.工程进度计划与措施不合理得4分； 4.工程进度计划与措施不符合项目要求得 1分；5.未提供不得分。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类似工程施工业绩</w:t>
            </w:r>
          </w:p>
        </w:tc>
        <w:tc>
          <w:tcPr>
            <w:tcW w:type="dxa" w:w="2492"/>
          </w:tcPr>
          <w:p>
            <w:pPr>
              <w:pStyle w:val="null3"/>
              <w:jc w:val="left"/>
            </w:pPr>
            <w:r>
              <w:rPr>
                <w:rFonts w:ascii="仿宋_GB2312" w:hAnsi="仿宋_GB2312" w:cs="仿宋_GB2312" w:eastAsia="仿宋_GB2312"/>
              </w:rPr>
              <w:t>供应商提供自2022年01月01日以来承接过道路工程类项目业绩的，每个得5分，本项满分15分。 证明材料：提供合同（以签订时间为准）复印件加盖公章。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其他管理机构配备</w:t>
            </w:r>
          </w:p>
        </w:tc>
        <w:tc>
          <w:tcPr>
            <w:tcW w:type="dxa" w:w="2492"/>
          </w:tcPr>
          <w:p>
            <w:pPr>
              <w:pStyle w:val="null3"/>
              <w:jc w:val="left"/>
            </w:pPr>
            <w:r>
              <w:rPr>
                <w:rFonts w:ascii="仿宋_GB2312" w:hAnsi="仿宋_GB2312" w:cs="仿宋_GB2312" w:eastAsia="仿宋_GB2312"/>
              </w:rPr>
              <w:t>项目技术负责人1名、施工员1名、专职安全生产管理人员1名、质量员1名、资料员（可兼职）1名。（配备齐全得15分，每缺少一个扣3分，扣完为止）。 证明材料：响应文件中提供项目技术负责人市政工程类中级（含）以上职称证、其他项目管理人员提供取得省级住房和城乡建设主管部门或其委托的管理机构颁发的岗位资格证书或电子培训合格证书。以上人员2025年1月至今任意1个月在企业缴纳社保的证明复印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详见附件：新安村道路硬化项目-施工合同.docx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[HNZL-2024]20250300001[CS]-1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新安村道路硬化项目(二次)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新安村道路硬化项目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3039795.82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