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海南省昌江县智慧渔业养殖区废水处理及配套设施项目、海南省昌江县智慧渔业养殖区取水及配套设施项目施工阶段跟踪审计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HNZY2026-026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昌江黎族自治县审计局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海南政源招标代理有限公司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昌江黎族自治县审计局</w:t>
      </w:r>
      <w:r>
        <w:rPr>
          <w:rFonts w:ascii="仿宋_GB2312" w:hAnsi="仿宋_GB2312" w:cs="仿宋_GB2312" w:eastAsia="仿宋_GB2312"/>
        </w:rPr>
        <w:t xml:space="preserve"> 的委托， </w:t>
      </w:r>
      <w:r>
        <w:rPr>
          <w:rFonts w:ascii="仿宋_GB2312" w:hAnsi="仿宋_GB2312" w:cs="仿宋_GB2312" w:eastAsia="仿宋_GB2312"/>
        </w:rPr>
        <w:t>海南政源招标代理有限公司</w:t>
      </w:r>
      <w:r>
        <w:rPr>
          <w:rFonts w:ascii="仿宋_GB2312" w:hAnsi="仿宋_GB2312" w:cs="仿宋_GB2312" w:eastAsia="仿宋_GB2312"/>
        </w:rPr>
        <w:t xml:space="preserve"> 对 </w:t>
      </w:r>
      <w:r>
        <w:rPr>
          <w:rFonts w:ascii="仿宋_GB2312" w:hAnsi="仿宋_GB2312" w:cs="仿宋_GB2312" w:eastAsia="仿宋_GB2312"/>
        </w:rPr>
        <w:t>海南省昌江县智慧渔业养殖区废水处理及配套设施项目、海南省昌江县智慧渔业养殖区取水及配套设施项目施工阶段跟踪审计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HNZY2026-026</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海南省昌江县智慧渔业养殖区废水处理及配套设施项目、海南省昌江县智慧渔业养殖区取水及配套设施项目施工阶段跟踪审计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3,000,000.00元</w:t>
      </w:r>
      <w:r>
        <w:rPr>
          <w:rFonts w:ascii="仿宋_GB2312" w:hAnsi="仿宋_GB2312" w:cs="仿宋_GB2312" w:eastAsia="仿宋_GB2312"/>
        </w:rPr>
        <w:t>叁佰万元整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至项目施工阶段结束，配合竣工决算审计及资料移交完毕止，如需延长服务期限，按合同约定执行。涉及特殊情况的，按以下约定处理：一是不可抗力情形，因地震、台风、暴雨等自然灾害及政策调整等不可预见、不可避免且无法克服的因素导致服务无法正常开展的，服务期限相应顺延，顺延时长以不可抗力影响实际持续时间为准，受托方需在不可抗力发生后3个工作日内书面告知委托方并提供有效证明材料，双方另行协商确定恢复服务的具体时间。二是施工停工情形，因建设单位指令、施工纠纷、资金保障不足等原因导致项目停工的，受托方应暂停现场跟踪审计工作，服务期限自停工通知送达次日起暂停计算；停工期间，受托方需妥善保管审计资料，每月向委托方提交资料保管情况说明，项目复工后凭复工通知恢复服务，服务期限继续计算，复工后7个工作日内完成停工期间的资料梳理及审计衔接工作。三是项目烂尾情形，若项目确认烂尾，受托方应在收到委托方书面通知后15个工作日内，完成已开展审计工作的成果汇总，出具阶段性审计报告及资料移交清单，服务期限自阶段性审计报告提交完毕之日终止；后续若项目重启，双方另行签订补充协议约定服务内容及期限。</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1、《诚信档案手册》登记：投标人应在海南省工程建设标准定额信息网完成《诚信档案手册》登记：打印海南省工程建设标准定额信息网生成的“海南省建设工程造价咨询企业信用管理手册”加盖单位公章。</w:t>
      </w:r>
    </w:p>
    <w:p>
      <w:pPr>
        <w:pStyle w:val="null3"/>
        <w:jc w:val="left"/>
      </w:pPr>
      <w:r>
        <w:rPr>
          <w:rFonts w:ascii="仿宋_GB2312" w:hAnsi="仿宋_GB2312" w:cs="仿宋_GB2312" w:eastAsia="仿宋_GB2312"/>
        </w:rPr>
        <w:t>2、拟派项目负责人需具备一级造价工程师执业资格及中级以上职称，且在本单位有效注册期内，从事工程造价咨询工作不少于6年。：提供执业证书及注册证书复印件加盖公章。</w:t>
      </w:r>
    </w:p>
    <w:p>
      <w:pPr>
        <w:pStyle w:val="null3"/>
        <w:jc w:val="left"/>
      </w:pPr>
      <w:r>
        <w:rPr>
          <w:rFonts w:ascii="仿宋_GB2312" w:hAnsi="仿宋_GB2312" w:cs="仿宋_GB2312" w:eastAsia="仿宋_GB2312"/>
        </w:rPr>
        <w:t>3、信用要求：未被列入 信用中国网站(www.creditchina.gov.cn)的“重大税收违法失信主体”、“政府采购严重违法失信行为记录名单”、中国政府采购网(www.ccgp.gov.cn) 的“政府采购严重违法失信行为记录名单”、中国执行信息公开网 （http://zxgk.court.gov.cn/）“失信被执行人名单”的投标人。：提供声明函，加盖单位公章。</w:t>
      </w:r>
    </w:p>
    <w:p>
      <w:pPr>
        <w:pStyle w:val="null3"/>
        <w:jc w:val="left"/>
      </w:pPr>
      <w:r>
        <w:rPr>
          <w:rFonts w:ascii="仿宋_GB2312" w:hAnsi="仿宋_GB2312" w:cs="仿宋_GB2312" w:eastAsia="仿宋_GB2312"/>
        </w:rPr>
        <w:t>4、联合体要求：本项目不接受联合体投标。：提供声明函</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2.投标人须在海南政府采购网(https://www.ccgp-hainan.gov.cn/zhuzhan/)中的海南省政府采购电子化交易管理系统平台进行注册并完善信息，然后下载参与投标项目电子招标文件（文件集）及其他文件； 3.电子标:必须使用投标工具（下载专区下载）制作电子版的投标文件， 并使用数字证书（https://www.yuque.com/haonan123/bzzx /ugmn1f）进行签字和加密，投标截止时间前，必须登录系统上传加密的电子投标文件；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5.注意事项：电子标采用全程电子化操作，供应商应详细阅读海南政府采购网的通知《海南省财政厅关于进一步推进政府采购全流程电子化的通知》，供应商使用交易系统遇到问题请拨打以下热线电话：4001691288； 6.本项目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昌江黎族自治县审计局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昌江黎族自治县石碌镇昌江大道58号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572799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18689908166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海南政源招标代理有限公司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海南省海口市美兰区国兴大道11号国瑞大厦C座东塔1204房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羊秀芳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18907665325</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说明：按履约合同执行</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代理服务费收费标准：按照中标（成交）金额，以海南省物价局关于降低部分招标代理服务收费标准的通知》琼价费管〔2011〕225号文件标准的7折收取代理费用。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中标供应商在领取中标通知书时向采购代理机构提供2份胶装版纸质投标文件，须与在系统递交的电子版文件一致。</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联系人：陈工</w:t>
      </w:r>
    </w:p>
    <w:p>
      <w:pPr>
        <w:pStyle w:val="null3"/>
        <w:jc w:val="left"/>
      </w:pPr>
      <w:r>
        <w:rPr>
          <w:rFonts w:ascii="仿宋_GB2312" w:hAnsi="仿宋_GB2312" w:cs="仿宋_GB2312" w:eastAsia="仿宋_GB2312"/>
        </w:rPr>
        <w:t>联系电话：0898-65343462</w:t>
      </w:r>
    </w:p>
    <w:p>
      <w:pPr>
        <w:pStyle w:val="null3"/>
        <w:jc w:val="left"/>
      </w:pPr>
      <w:r>
        <w:rPr>
          <w:rFonts w:ascii="仿宋_GB2312" w:hAnsi="仿宋_GB2312" w:cs="仿宋_GB2312" w:eastAsia="仿宋_GB2312"/>
        </w:rPr>
        <w:t>地址：海南省海口市美兰区国兴大道11号国瑞大厦C座东塔1204房</w:t>
      </w:r>
    </w:p>
    <w:p>
      <w:pPr>
        <w:pStyle w:val="null3"/>
        <w:jc w:val="left"/>
      </w:pPr>
      <w:r>
        <w:rPr>
          <w:rFonts w:ascii="仿宋_GB2312" w:hAnsi="仿宋_GB2312" w:cs="仿宋_GB2312" w:eastAsia="仿宋_GB2312"/>
        </w:rPr>
        <w:t>邮编：570203</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0"/>
        </w:rPr>
        <w:t>海南省昌江县智慧渔业养殖区废水处理及配套设施项目主要建设养殖废水处理系统</w:t>
      </w:r>
      <w:r>
        <w:rPr>
          <w:rFonts w:ascii="仿宋_GB2312" w:hAnsi="仿宋_GB2312" w:cs="仿宋_GB2312" w:eastAsia="仿宋_GB2312"/>
          <w:sz w:val="30"/>
        </w:rPr>
        <w:t>90万m/d一处，敷设废水收集管网5042m，尾水排放管两根管长共9918m;建设日规模230m3/d生活污水提升站一座及配套污水收集管网7400m、雨水排水管网11103m。建设园区配套排水、防护工程等内容。海南省昌江县智慧渔业养殖区取水及配套设施项目主要围绕健康养殖和生态养殖，为养殖海水取水(120万吨/天)配套建设管径DN2400原水取水管7220m、取水提升泵房一座、原水输水管8032米、养殖区配水管14767米等。包括取水和配水工程建构筑物建筑安装工程、管网工程、配套场地平整、防护工程、配电工程、进场道路等。</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C11040000-工程项目管理服务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C11040000-工程项目管理服务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标的名称：C11040000-工程项目管理服务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30"/>
              </w:rPr>
              <w:t>（一）服务范围需求</w:t>
            </w:r>
          </w:p>
          <w:p>
            <w:pPr>
              <w:pStyle w:val="null3"/>
              <w:ind w:firstLine="600"/>
              <w:jc w:val="both"/>
            </w:pPr>
            <w:r>
              <w:rPr>
                <w:rFonts w:ascii="仿宋_GB2312" w:hAnsi="仿宋_GB2312" w:cs="仿宋_GB2312" w:eastAsia="仿宋_GB2312"/>
                <w:sz w:val="30"/>
              </w:rPr>
              <w:t>1.造价跟踪审计：全过程审核工程进度款支付（含工程量计量、计价准确性核查），设计变更、现场签证及工程洽商费用审核，索赔费用合理性审核，主要材料及设备价格审核（含市场询价验证），出具造价动态分析报告（月度/季度）。</w:t>
            </w:r>
          </w:p>
          <w:p>
            <w:pPr>
              <w:pStyle w:val="null3"/>
              <w:ind w:firstLine="600"/>
              <w:jc w:val="both"/>
            </w:pPr>
            <w:r>
              <w:rPr>
                <w:rFonts w:ascii="仿宋_GB2312" w:hAnsi="仿宋_GB2312" w:cs="仿宋_GB2312" w:eastAsia="仿宋_GB2312"/>
                <w:sz w:val="30"/>
              </w:rPr>
              <w:t>2.合同及合规审计：审核施工合同、监理合同、采购合同履行的合规性，核查合同条款与招标文件、中标文件一致性，监督工程变更、签证审批流程合规性，核查项目资金使用合规性（财政资金专款专用、支付手续完备性），</w:t>
            </w:r>
            <w:r>
              <w:rPr>
                <w:rFonts w:ascii="仿宋_GB2312" w:hAnsi="仿宋_GB2312" w:cs="仿宋_GB2312" w:eastAsia="仿宋_GB2312"/>
                <w:sz w:val="30"/>
              </w:rPr>
              <w:t>负责对整个项目的最终结算审核并出具报告</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3. 施工过程监督审计：参与日常施工过程跟踪监督并形成日志，隐蔽工程、关键工序验收需形成管理台账并出具审计意见，核查施工方案执行情况及工程质量达标情况，核查监理单位履职情况（工程量签证、质量监督有效性），记录审计发现问题并跟踪整改闭环。</w:t>
            </w:r>
          </w:p>
          <w:p>
            <w:pPr>
              <w:pStyle w:val="null3"/>
              <w:ind w:firstLine="600"/>
              <w:jc w:val="both"/>
            </w:pPr>
            <w:r>
              <w:rPr>
                <w:rFonts w:ascii="仿宋_GB2312" w:hAnsi="仿宋_GB2312" w:cs="仿宋_GB2312" w:eastAsia="仿宋_GB2312"/>
                <w:sz w:val="30"/>
              </w:rPr>
              <w:t>4. 资料及档案审计：审核施工全过程资料的完整性、真实性、规范性（含图纸、合同、验收记录、检测报告等）。</w:t>
            </w:r>
          </w:p>
          <w:p>
            <w:pPr>
              <w:pStyle w:val="null3"/>
              <w:ind w:firstLine="600"/>
              <w:jc w:val="both"/>
            </w:pPr>
            <w:r>
              <w:rPr>
                <w:rFonts w:ascii="仿宋_GB2312" w:hAnsi="仿宋_GB2312" w:cs="仿宋_GB2312" w:eastAsia="仿宋_GB2312"/>
                <w:sz w:val="30"/>
              </w:rPr>
              <w:t>（二）服务标准及要求</w:t>
            </w:r>
          </w:p>
          <w:p>
            <w:pPr>
              <w:pStyle w:val="null3"/>
              <w:ind w:firstLine="600"/>
              <w:jc w:val="both"/>
            </w:pPr>
            <w:r>
              <w:rPr>
                <w:rFonts w:ascii="仿宋_GB2312" w:hAnsi="仿宋_GB2312" w:cs="仿宋_GB2312" w:eastAsia="仿宋_GB2312"/>
                <w:sz w:val="30"/>
              </w:rPr>
              <w:t>1. 工作质量标准：工程造价咨询成果误差率控制</w:t>
            </w:r>
            <w:r>
              <w:rPr>
                <w:rFonts w:ascii="仿宋_GB2312" w:hAnsi="仿宋_GB2312" w:cs="仿宋_GB2312" w:eastAsia="仿宋_GB2312"/>
                <w:sz w:val="30"/>
              </w:rPr>
              <w:t>在</w:t>
            </w:r>
            <w:r>
              <w:rPr>
                <w:rFonts w:ascii="仿宋_GB2312" w:hAnsi="仿宋_GB2312" w:cs="仿宋_GB2312" w:eastAsia="仿宋_GB2312"/>
                <w:sz w:val="30"/>
              </w:rPr>
              <w:t>±3%以内</w:t>
            </w:r>
            <w:r>
              <w:rPr>
                <w:rFonts w:ascii="仿宋_GB2312" w:hAnsi="仿宋_GB2312" w:cs="仿宋_GB2312" w:eastAsia="仿宋_GB2312"/>
                <w:sz w:val="30"/>
              </w:rPr>
              <w:t>，变更及签证费用审核误差率小于</w:t>
            </w:r>
            <w:r>
              <w:rPr>
                <w:rFonts w:ascii="仿宋_GB2312" w:hAnsi="仿宋_GB2312" w:cs="仿宋_GB2312" w:eastAsia="仿宋_GB2312"/>
                <w:sz w:val="30"/>
              </w:rPr>
              <w:t>2%；审计意见需依据《建设工程工程量清单计价规范》等法律法规及行业标准，确保客观公正、数据准确；出具的审核意见需具备法律效力及可追溯性。</w:t>
            </w:r>
          </w:p>
          <w:p>
            <w:pPr>
              <w:pStyle w:val="null3"/>
              <w:ind w:firstLine="600"/>
              <w:jc w:val="both"/>
            </w:pPr>
            <w:r>
              <w:rPr>
                <w:rFonts w:ascii="仿宋_GB2312" w:hAnsi="仿宋_GB2312" w:cs="仿宋_GB2312" w:eastAsia="仿宋_GB2312"/>
                <w:sz w:val="30"/>
              </w:rPr>
              <w:t>2. 工作时效要求：进度款审核自收到完整资料后5个工作日内完成并出具审核意见；设计变更、签证费用审核自资料齐全后3个工作日内完成；月度造价动态报告于次月5日前提交；紧急事项（如隐蔽工程验收、突发质量问题）需24小时内到场参与审计核查。</w:t>
            </w:r>
          </w:p>
          <w:p>
            <w:pPr>
              <w:pStyle w:val="null3"/>
              <w:ind w:firstLine="600"/>
              <w:jc w:val="both"/>
            </w:pPr>
            <w:r>
              <w:rPr>
                <w:rFonts w:ascii="仿宋_GB2312" w:hAnsi="仿宋_GB2312" w:cs="仿宋_GB2312" w:eastAsia="仿宋_GB2312"/>
                <w:sz w:val="30"/>
              </w:rPr>
              <w:t>3. 现场工作要求：项目团队预计2-4人，其中</w:t>
            </w:r>
            <w:r>
              <w:rPr>
                <w:rFonts w:ascii="仿宋_GB2312" w:hAnsi="仿宋_GB2312" w:cs="仿宋_GB2312" w:eastAsia="仿宋_GB2312"/>
                <w:sz w:val="30"/>
              </w:rPr>
              <w:t>2人须常驻现场办公</w:t>
            </w:r>
            <w:r>
              <w:rPr>
                <w:rFonts w:ascii="仿宋_GB2312" w:hAnsi="仿宋_GB2312" w:cs="仿宋_GB2312" w:eastAsia="仿宋_GB2312"/>
                <w:sz w:val="30"/>
              </w:rPr>
              <w:t>，项目部已为跟踪审计团队配备独立办公室，全程参与工程例会并形成审计记录；关键节点验收、重大变更论证等重要事项需全程参与，及时出具审计意见；建立现场审计台账，实时记录审计发现问题及整改情况。</w:t>
            </w:r>
          </w:p>
          <w:p>
            <w:pPr>
              <w:pStyle w:val="null3"/>
              <w:ind w:firstLine="600"/>
              <w:jc w:val="both"/>
            </w:pPr>
            <w:r>
              <w:rPr>
                <w:rFonts w:ascii="仿宋_GB2312" w:hAnsi="仿宋_GB2312" w:cs="仿宋_GB2312" w:eastAsia="仿宋_GB2312"/>
                <w:sz w:val="30"/>
              </w:rPr>
              <w:t>4. 保密及合规要求：签署保密协议，对项目涉及的国家秘密、商业秘密及审计资料严格保密，不得泄露给第三方；审计过程中恪守职业道德，不得与施工单位、材料供应商串通谋取不正当利益；审计资料需妥善保管，项目结束后全部移交审计局，不得私自留存。</w:t>
            </w:r>
          </w:p>
          <w:p>
            <w:pPr>
              <w:pStyle w:val="null3"/>
              <w:ind w:firstLine="600"/>
              <w:jc w:val="both"/>
            </w:pPr>
            <w:r>
              <w:rPr>
                <w:rFonts w:ascii="仿宋_GB2312" w:hAnsi="仿宋_GB2312" w:cs="仿宋_GB2312" w:eastAsia="仿宋_GB2312"/>
                <w:sz w:val="30"/>
              </w:rPr>
              <w:t>5. 成果交付要求：按阶段交付审计成果，包括但不限于进度款审核意见书、变更签证审核表、造价动态分析报告（季度）、年度审计工作报告、现场审计工作底稿、最终施工阶段跟踪审计报告（含问题汇总及整改建议），所有成果需提供纸质版（签字盖章）及电子版。</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00"/>
              <w:jc w:val="both"/>
            </w:pPr>
            <w:r>
              <w:rPr>
                <w:rFonts w:ascii="仿宋_GB2312" w:hAnsi="仿宋_GB2312" w:cs="仿宋_GB2312" w:eastAsia="仿宋_GB2312"/>
                <w:sz w:val="30"/>
              </w:rPr>
              <w:t>1. 服务费用：</w:t>
            </w:r>
            <w:r>
              <w:rPr>
                <w:rFonts w:ascii="仿宋_GB2312" w:hAnsi="仿宋_GB2312" w:cs="仿宋_GB2312" w:eastAsia="仿宋_GB2312"/>
                <w:sz w:val="30"/>
              </w:rPr>
              <w:t>参照琼价协（</w:t>
            </w:r>
            <w:r>
              <w:rPr>
                <w:rFonts w:ascii="仿宋_GB2312" w:hAnsi="仿宋_GB2312" w:cs="仿宋_GB2312" w:eastAsia="仿宋_GB2312"/>
                <w:sz w:val="30"/>
              </w:rPr>
              <w:t>2020）01号规定计价，费用包含服务费、报告工本费、差旅费、税费等全部费用；付款方式按时间节点支付，如人员进场后支付预付款30%，至当年年底出具阶段性审计报告支付至50%，第二年按照季度支付（每个季度支付合同金额的10%），剩余10%待审计成果归档后结清。</w:t>
            </w:r>
          </w:p>
          <w:p>
            <w:pPr>
              <w:pStyle w:val="null3"/>
              <w:ind w:firstLine="600"/>
              <w:jc w:val="both"/>
            </w:pPr>
            <w:r>
              <w:rPr>
                <w:rFonts w:ascii="仿宋_GB2312" w:hAnsi="仿宋_GB2312" w:cs="仿宋_GB2312" w:eastAsia="仿宋_GB2312"/>
                <w:sz w:val="30"/>
              </w:rPr>
              <w:t>2. 违约责任：未按约定时效完成审计工作的，按逾期天数支付违约金；审计成果出现重大误差或违规违纪行为的，扣除相应服务费用，情节严重的解除合同并追究法律责任；未履行保密义务造成损失的，依法承担赔偿责任。</w:t>
            </w:r>
          </w:p>
          <w:p>
            <w:pPr>
              <w:pStyle w:val="null3"/>
              <w:ind w:firstLine="600"/>
              <w:jc w:val="both"/>
            </w:pPr>
            <w:r>
              <w:rPr>
                <w:rFonts w:ascii="仿宋_GB2312" w:hAnsi="仿宋_GB2312" w:cs="仿宋_GB2312" w:eastAsia="仿宋_GB2312"/>
                <w:sz w:val="30"/>
              </w:rPr>
              <w:t>3. 其他要求：配合审计机关开展专项检查、绩效评价等工作，提供所需审计资料；项目团队需建立考勤机制，考勤打卡数据将作为绩效评价参考指标之一。</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《诚信档案手册》登记：投标人应在海南省工程建设标准定额信息网完成《诚信档案手册》登记</w:t>
            </w:r>
          </w:p>
        </w:tc>
        <w:tc>
          <w:tcPr>
            <w:tcW w:type="dxa" w:w="3322"/>
          </w:tcPr>
          <w:p>
            <w:pPr>
              <w:pStyle w:val="null3"/>
              <w:jc w:val="left"/>
            </w:pPr>
            <w:r>
              <w:rPr>
                <w:rFonts w:ascii="仿宋_GB2312" w:hAnsi="仿宋_GB2312" w:cs="仿宋_GB2312" w:eastAsia="仿宋_GB2312"/>
              </w:rPr>
              <w:t>打印海南省工程建设标准定额信息网生成的“海南省建设工程造价咨询企业信用管理手册”加盖单位公章。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拟派项目负责人需具备一级造价工程师执业资格及中级以上职称，且在本单位有效注册期内，从事工程造价咨询工作不少于6年。</w:t>
            </w:r>
          </w:p>
        </w:tc>
        <w:tc>
          <w:tcPr>
            <w:tcW w:type="dxa" w:w="3322"/>
          </w:tcPr>
          <w:p>
            <w:pPr>
              <w:pStyle w:val="null3"/>
              <w:jc w:val="left"/>
            </w:pPr>
            <w:r>
              <w:rPr>
                <w:rFonts w:ascii="仿宋_GB2312" w:hAnsi="仿宋_GB2312" w:cs="仿宋_GB2312" w:eastAsia="仿宋_GB2312"/>
              </w:rPr>
              <w:t>提供执业证书及注册证书复印件加盖公章。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信用要求：未被列入 信用中国网站(www.creditchina.gov.cn)的“重大税收违法失信主体”、“政府采购严重违法失信行为记录名单”、中国政府采购网(www.ccgp.gov.cn) 的“政府采购严重违法失信行为记录名单”、中国执行信息公开网 （http://zxgk.court.gov.cn/）“失信被执行人名单”的投标人。</w:t>
            </w:r>
          </w:p>
        </w:tc>
        <w:tc>
          <w:tcPr>
            <w:tcW w:type="dxa" w:w="3322"/>
          </w:tcPr>
          <w:p>
            <w:pPr>
              <w:pStyle w:val="null3"/>
              <w:jc w:val="left"/>
            </w:pPr>
            <w:r>
              <w:rPr>
                <w:rFonts w:ascii="仿宋_GB2312" w:hAnsi="仿宋_GB2312" w:cs="仿宋_GB2312" w:eastAsia="仿宋_GB2312"/>
              </w:rPr>
              <w:t>提供声明函，加盖单位公章。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联合体要求：本项目不接受联合体投标。</w:t>
            </w:r>
          </w:p>
        </w:tc>
        <w:tc>
          <w:tcPr>
            <w:tcW w:type="dxa" w:w="3322"/>
          </w:tcPr>
          <w:p>
            <w:pPr>
              <w:pStyle w:val="null3"/>
              <w:jc w:val="left"/>
            </w:pPr>
            <w:r>
              <w:rPr>
                <w:rFonts w:ascii="仿宋_GB2312" w:hAnsi="仿宋_GB2312" w:cs="仿宋_GB2312" w:eastAsia="仿宋_GB2312"/>
              </w:rPr>
              <w:t>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响应承诺函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响应承诺函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响应承诺函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自觉抵制政府采购领域商业贿赂行为承诺书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对本项目的理解与总体审计思路</w:t>
            </w:r>
          </w:p>
        </w:tc>
        <w:tc>
          <w:tcPr>
            <w:tcW w:type="dxa" w:w="2492"/>
          </w:tcPr>
          <w:p>
            <w:pPr>
              <w:pStyle w:val="null3"/>
              <w:jc w:val="left"/>
            </w:pPr>
            <w:r>
              <w:rPr>
                <w:rFonts w:ascii="仿宋_GB2312" w:hAnsi="仿宋_GB2312" w:cs="仿宋_GB2312" w:eastAsia="仿宋_GB2312"/>
              </w:rPr>
              <w:t>1.供应商对本项目有深刻的理解，对项目特点、规模、复杂性的认识非常准确且深刻，总体审计思路清晰、有针对性，能体现“全过程、全方位、动态管理”的理念，得9分； 2.供应商对本项目有较好的理解认识，对项目特点、规模、复杂性的分析较完整详细，总体审计思路比较清晰、有针对性，基本结合实际情况，得7分； 3.供应商对本项目的理解不够准确，无法准确判断工作内容，总体审计思路未结合实际情况，有待提高，得5分；4.方案存在重大缺陷的得2分（重大缺陷是指方案凭空编造、与采购项目和采购需求无关，无法指导项目实施）；5.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审计工作方案与实施细</w:t>
            </w:r>
          </w:p>
        </w:tc>
        <w:tc>
          <w:tcPr>
            <w:tcW w:type="dxa" w:w="2492"/>
          </w:tcPr>
          <w:p>
            <w:pPr>
              <w:pStyle w:val="null3"/>
              <w:jc w:val="left"/>
            </w:pPr>
            <w:r>
              <w:rPr>
                <w:rFonts w:ascii="仿宋_GB2312" w:hAnsi="仿宋_GB2312" w:cs="仿宋_GB2312" w:eastAsia="仿宋_GB2312"/>
              </w:rPr>
              <w:t>综合考虑各阶段和主要环节的审核流程及管理目标，包括但不限于：招投标阶段、施工阶段、竣工结算阶段等。 1.方案全面详细，对需求应答充分，对服务内容分析、理解全面准确，相关建议、措施针对性及操作性强，得15分； 2.方案简单阐述，对需求有应答，相关建议、措施针对性和操作性有待提高，得11分； 3.方案不够全面，与本项目实际需求不相符，无针对性，缺乏可操作性，建议不合理，得7分；4.方案存在重大缺陷的得3分（重大缺陷是指方案凭空编造、与采购项目和采购需求无关，无法指导项目实施）； 5.未提供，得0分。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重点、难点分析及应对措施</w:t>
            </w:r>
          </w:p>
        </w:tc>
        <w:tc>
          <w:tcPr>
            <w:tcW w:type="dxa" w:w="2492"/>
          </w:tcPr>
          <w:p>
            <w:pPr>
              <w:pStyle w:val="null3"/>
              <w:jc w:val="left"/>
            </w:pPr>
            <w:r>
              <w:rPr>
                <w:rFonts w:ascii="仿宋_GB2312" w:hAnsi="仿宋_GB2312" w:cs="仿宋_GB2312" w:eastAsia="仿宋_GB2312"/>
              </w:rPr>
              <w:t>综合考虑各阶段关键点、重难点分析及解决方案： 1.方案全面详细，对重点、难点分析、理解全面准确，应对措施针对性及操作性强，得9分； 2.方案简单阐述，对重点、难点分析、理解、准确度不够全面，应对措施针对性和操作性有待提高，得7分； 3.方案不够全面，与本项目实际需求不相符，无针对性，缺乏可操作性，应对措施不合理，得5分；4.方案存在重大缺陷的得2分（重大缺陷是指方案凭空编造、与采购项目和采购需求无关，无法指导项目实施）； 5.未提供，得0分。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成果质量保证措施</w:t>
            </w:r>
          </w:p>
        </w:tc>
        <w:tc>
          <w:tcPr>
            <w:tcW w:type="dxa" w:w="2492"/>
          </w:tcPr>
          <w:p>
            <w:pPr>
              <w:pStyle w:val="null3"/>
              <w:jc w:val="left"/>
            </w:pPr>
            <w:r>
              <w:rPr>
                <w:rFonts w:ascii="仿宋_GB2312" w:hAnsi="仿宋_GB2312" w:cs="仿宋_GB2312" w:eastAsia="仿宋_GB2312"/>
              </w:rPr>
              <w:t>1.提供了内容完整、合理可行的质量管理方案及与质量管理目标相适应的保证措施，有针对性，得10分； 2.提供的质量管理目标符合采购需求，其相应的保证措施完整可行，但针对性有待提高，得7分； 3.提供了常规、通用的质量管理目标及保证措施，与本项目联系不够紧密，细节欠合理，得4分； 4.方案存在重大缺陷的得2分（重大缺陷是指方案凭空编造、与采购项目和采购需求无关，无法指导项目实施）；5.未提供，得0分。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工作进度控制措施</w:t>
            </w:r>
          </w:p>
        </w:tc>
        <w:tc>
          <w:tcPr>
            <w:tcW w:type="dxa" w:w="2492"/>
          </w:tcPr>
          <w:p>
            <w:pPr>
              <w:pStyle w:val="null3"/>
              <w:jc w:val="left"/>
            </w:pPr>
            <w:r>
              <w:rPr>
                <w:rFonts w:ascii="仿宋_GB2312" w:hAnsi="仿宋_GB2312" w:cs="仿宋_GB2312" w:eastAsia="仿宋_GB2312"/>
              </w:rPr>
              <w:t>1.对工作周期安排合理可行，进度阶段分明，各阶段时间进度管控严格，对本项目提出了针对性强的时间计划表，保障措施合理，完全满足项目要求，得9分； 2.提供了常规、通用的保障措施，时间进度安排较笼统，没有提出强有力的保障措施，基本满足项目要求，得7分； 3.对工作周期安排欠合理，各阶段时间进度管控不够严格，对本项目提出了时间计划表，但缺乏针对性，可能影响项目的实施，得5分；4.方案存在重大缺陷的得2分（重大缺陷是指方案凭空编造、与采购项目和采购需求无关，无法指导项目实施） ；5.未提供，得0分。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工作纪律保障方案</w:t>
            </w:r>
          </w:p>
        </w:tc>
        <w:tc>
          <w:tcPr>
            <w:tcW w:type="dxa" w:w="2492"/>
          </w:tcPr>
          <w:p>
            <w:pPr>
              <w:pStyle w:val="null3"/>
              <w:jc w:val="left"/>
            </w:pPr>
            <w:r>
              <w:rPr>
                <w:rFonts w:ascii="仿宋_GB2312" w:hAnsi="仿宋_GB2312" w:cs="仿宋_GB2312" w:eastAsia="仿宋_GB2312"/>
              </w:rPr>
              <w:t>1.保障方案有针对性、合理、全面，制度规范、流程完善，得9分； 2.保障方案内容较完善，制度具有普适性、基本合理、较全面，得7分； 3.保障方案内容针对性低，制度规范度低，流程不完整，有欠缺，得5分；4.方案存在重大缺陷的得2分（重大缺陷是指方案凭空编造、与采购项目和采购需求无关，无法指导项目实施）； 5.未提供，得0分。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保密措施</w:t>
            </w:r>
          </w:p>
        </w:tc>
        <w:tc>
          <w:tcPr>
            <w:tcW w:type="dxa" w:w="2492"/>
          </w:tcPr>
          <w:p>
            <w:pPr>
              <w:pStyle w:val="null3"/>
              <w:jc w:val="left"/>
            </w:pPr>
            <w:r>
              <w:rPr>
                <w:rFonts w:ascii="仿宋_GB2312" w:hAnsi="仿宋_GB2312" w:cs="仿宋_GB2312" w:eastAsia="仿宋_GB2312"/>
              </w:rPr>
              <w:t>1.方案完整详实、保密制度建设健全完善、保密措施严谨齐全、操作流程规范 且细致，内容全面针对性强，完全满足项目的服务要求，得9分； 2.方案完整、保密制度建设基本完善、保密措施齐全、操作流程基本规范，内 容基本全面，基本满足项目的服务要求，得7分； 3.方案基本完整、有通用的保密制度及一定的保密措施、操作流程简单，内容 缺乏针对性，难以满足项目的服务要求，得5分；4.方案存在重大缺陷的得2分（重大缺陷是指方案凭空编造、与采购项目和采购需求无关，无法指导项目实施）； 5.未提供，得0分。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工程审计团队</w:t>
            </w:r>
          </w:p>
        </w:tc>
        <w:tc>
          <w:tcPr>
            <w:tcW w:type="dxa" w:w="2492"/>
          </w:tcPr>
          <w:p>
            <w:pPr>
              <w:pStyle w:val="null3"/>
              <w:jc w:val="left"/>
            </w:pPr>
            <w:r>
              <w:rPr>
                <w:rFonts w:ascii="仿宋_GB2312" w:hAnsi="仿宋_GB2312" w:cs="仿宋_GB2312" w:eastAsia="仿宋_GB2312"/>
              </w:rPr>
              <w:t>项目组其他人员（除项目负责人、技术负责人和驻场人员外）配备数量。 团队成员需包含土建、安装专业造价人员，各专业人员均需具备相应执业资格及3年以上相关工作经验（提供证书及社保缴纳记录）。 （1）项目组其他人员5人（含）以上，得10分； （2）项目组其他人员3人（含）—5人（不含），得5分； （3）项目组其他人员3人（不含）以下的，得0分。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企业业绩</w:t>
            </w:r>
          </w:p>
        </w:tc>
        <w:tc>
          <w:tcPr>
            <w:tcW w:type="dxa" w:w="2492"/>
          </w:tcPr>
          <w:p>
            <w:pPr>
              <w:pStyle w:val="null3"/>
              <w:jc w:val="left"/>
            </w:pPr>
            <w:r>
              <w:rPr>
                <w:rFonts w:ascii="仿宋_GB2312" w:hAnsi="仿宋_GB2312" w:cs="仿宋_GB2312" w:eastAsia="仿宋_GB2312"/>
              </w:rPr>
              <w:t>每有一个近三年（2023年3月至2026年3月，以合同签订时间为准）类似政府投资项目跟踪审计业绩得5分，最高得10分（附有效业绩的合同复印件 ，需体现上述要求内容并加盖公章）。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HNZY2026-026</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海南省昌江县智慧渔业养殖区废水处理及配套设施项目、海南省昌江县智慧渔业养殖区取水及配套设施项目施工阶段跟踪审计</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海南省昌江县智慧渔业养殖区废水处理及配套设施项目、海南省昌江县智慧渔业养殖区取水及配套设施项目施工阶段跟踪审计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C11040000-工程项目管理服务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详见附件：响应承诺函</w:t>
      </w:r>
    </w:p>
    <w:p>
      <w:pPr>
        <w:pStyle w:val="null3"/>
        <w:ind w:firstLine="960"/>
        <w:jc w:val="left"/>
      </w:pPr>
      <w:r>
        <w:rPr>
          <w:rFonts w:ascii="仿宋_GB2312" w:hAnsi="仿宋_GB2312" w:cs="仿宋_GB2312" w:eastAsia="仿宋_GB2312"/>
        </w:rPr>
        <w:t>详见附件：资格承诺函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