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正文</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（工程类）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昌化镇新城村引种扩繁基地道路硬化及排水工程(二次)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HNZD-2026-019-1</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昌江黎族自治县昌化镇人民政府</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海南政德项目管理有限公司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ind w:firstLine="480"/>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昌江黎族自治县昌化镇人民政府</w:t>
      </w:r>
      <w:r>
        <w:rPr>
          <w:rFonts w:ascii="仿宋_GB2312" w:hAnsi="仿宋_GB2312" w:cs="仿宋_GB2312" w:eastAsia="仿宋_GB2312"/>
        </w:rPr>
        <w:t xml:space="preserve"> 的委托， </w:t>
      </w:r>
      <w:r>
        <w:rPr>
          <w:rFonts w:ascii="仿宋_GB2312" w:hAnsi="仿宋_GB2312" w:cs="仿宋_GB2312" w:eastAsia="仿宋_GB2312"/>
        </w:rPr>
        <w:t>海南政德项目管理有限公司</w:t>
      </w:r>
      <w:r>
        <w:rPr>
          <w:rFonts w:ascii="仿宋_GB2312" w:hAnsi="仿宋_GB2312" w:cs="仿宋_GB2312" w:eastAsia="仿宋_GB2312"/>
        </w:rPr>
        <w:t xml:space="preserve"> 对 </w:t>
      </w:r>
      <w:r>
        <w:rPr>
          <w:rFonts w:ascii="仿宋_GB2312" w:hAnsi="仿宋_GB2312" w:cs="仿宋_GB2312" w:eastAsia="仿宋_GB2312"/>
        </w:rPr>
        <w:t>昌化镇新城村引种扩繁基地道路硬化及排水工程(二次)</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HNZD-2026-019-1</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昌化镇新城村引种扩繁基地道路硬化及排水工程(二次)</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1,095,704.06元</w:t>
      </w:r>
      <w:r>
        <w:rPr>
          <w:rFonts w:ascii="仿宋_GB2312" w:hAnsi="仿宋_GB2312" w:cs="仿宋_GB2312" w:eastAsia="仿宋_GB2312"/>
        </w:rPr>
        <w:t>壹佰零玖万伍仟柒佰零肆元零陆分</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120天</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属于专门面向中小企业采购，预留比例为100%。</w:t>
      </w:r>
    </w:p>
    <w:p>
      <w:pPr>
        <w:pStyle w:val="null3"/>
        <w:ind w:firstLine="480"/>
        <w:jc w:val="left"/>
      </w:pPr>
      <w:r>
        <w:rPr>
          <w:rFonts w:ascii="仿宋_GB2312" w:hAnsi="仿宋_GB2312" w:cs="仿宋_GB2312" w:eastAsia="仿宋_GB2312"/>
        </w:rPr>
        <w:t>3.本项目的特定资格要求：（如项目接受联合体响应，对联合体应提出相关资格要求；如属于特定行业项目，供应商应当具备特定行业法定准入要求。）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1、本项目的特定资格要求：3.1、具备建设行政主管部门核发的市政公用工程施工总承包三级（含）以上级或根据《住房和城乡建设部关于印发建设工程企业资质管理制度改革方案的通知》[建市〔2020〕94 号] 的规定已换发新证取得相应的资质，同时具备有效的安全生产许可证，并在人员、设备、资金等方面具有相应的施工能力（提供资质证书复印件加盖公章、有效的安全生产许可证复印件加盖公章）； 3.2、供应商拟派的项目负责人（项目经理）具备本单位注册市政公用工程专业二级或以上注册建造师和具备有效的安全生产考核合格证书(B证)且不得担任其他在施建设工程建设项目的项目经理（证明材料：出具书面承诺，提供注册证书、相应证书复印件及投标截止时间前6个月内任意1个月的社保缴纳证明 (网上打印的社保清单须有加盖社保管理单位电子公章)复印件加盖单位公章）； 3.3、供应商须提供投标单位在海南省住房和城乡建设厅海南省房屋建筑工程全过程监管信息平台完成《海南省建筑企业诚信档案手册》登记，并填报项目名称、项目地址、派驻的项目班子人员信息证明截图； 3.4、供应商必须为未被列入中国执行信息公开网（http://zxgk.court.gov.cn/shixin/）的 “失信被执行人”、信用中国网站(https://www.creditchina.gov.cn/)的“重大税收违法失信主体”和“政府采购严重违法失信名单”、中国政府采购网(http://www.ccgp.gov.cn/)的“政府采购严重违法失信行为记录名单”（提供网页截图或承诺函（格式自拟）并加盖单位公章，未在响应文件内提供齐全的则以招标代理查询结果为准）； 3.5、信誉要求：（1）、磋商资格没有被取消、暂停；（2）、没有处于被责令停业、财产被接管、冻结、破产状态；（3）、在最近三年内没有骗取中标行为或严重违约行为或重大工程质量问题的（提供承诺函并加盖公章（格式自拟））。</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自财政部和海南省财政厅指定的政府采购信息发布媒体最先发布公告之日起3个工作日。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1.有关本项目采购文件的补遗、澄清及变更信息以上述网站公告与下载为准，采购代理机构不再另行通知，采购文件与更正公告的内容相互矛盾时，以最后发出的更正公告内容为准。 2.请投标人（供应商）详阅本文件中《政府采购电子招标投标活动须知》，并自行在海南省政府采购智慧云平台-下载专区查看相应的系统操作指南，严格按照操作指南要求进行系统操作。 3.本项目全程线上开标，投标人无需到达开标现场，远程按时参加在线开标解密即可。如需云平台相关咨询，请拨打以下热线电话：4001691288</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昌江黎族自治县昌化镇人民政府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昌江黎族自治县昌化镇中心大道40号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0898-26771628</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海南政德项目管理有限公司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海南省海口市美兰区大英山东一路7号国瑞城雅仕苑1栋2单元18层1802房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李华波、牛瑞富、李琴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0898-65250316</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采购包1：1,095,704.06元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代理服务费收费标准：招标代理服务费以下浮8.56%计取。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1.本项目为远程不见面开标，投标人无须到达开标现场，远程按时参加在线开标解密即可。（成交单位须在成交后提供纸质响应文件一正一副共2份响应文件（双面打印）至代理机构处）。 2.本项目为专门面向中小企业。 3.项目所属行业：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4.（1）磋商响应报价文件应由注册在本单位的一级或二级造价工程师使用本单位实名的计价软件编制并加盖执业专用章。委托工程造价咨询企业编制的，应在投标文件中提供加盖双方单位公章的委托书，并在已标价工程量清单上加盖负责编制的工程造价咨询企业公章以及负责审核的一级注册造价师执业印章。（注：投标文件清单文件部分，需编制造价人员及审核造价人员签字盖章的地方，编制造价人员及审核造价人员需签字盖章）。（2）工程造价咨询机构在同一采购项目中，只可以接受采购人或一个供应商的委托并编制招标控制价或磋商响应报价，不得为同一磋商项目的两个或者两个以上供应商编制磋商响应报价，亦不得既为采购人编制招标控制价同时又为供应商编制响应报价，否则其编制的招标控制价和响应报价无效并视为存在相互串通磋商行为。（3）接受委托编制标底或最高投标限价的中介机构不得参加该项目的投标，也不得为该项目的投标人编制投标文件或者提供投标咨询。 5.本项目的配备人员要求：(1)岗位人员配备标准应符合《海南省建筑工程施工现场关键岗位人员配备和在岗履职管理办法》(琼建管【2021]281号)要求；（2）造价低于 1000万元的工程，岗位人员总人数可减少至3人，即项目经理1人、施工员1人、专职安全生产管理人员1人，其它岗位职责可兼任。本项目管理机构主要管理人员配备要求如下：项目经理1人、项目技术负责人1人（可兼任）、施工员 1 名、专职安全生产管理人员 1 名、劳资专管员1名（可兼任）、质量员1 名（可兼任）、资料员（可兼任） 1 名”。（3）项目经理应附建造师注册证书、相应证书、身份证；项目技术负责人应附身份证、市政公用工程相关专业中级（含）以上工程师职称证书；其他岗位人员应附身份证、岗位证书（或电子培训合格证，或安全生产考核合格证，其中未开展劳资专管员岗位培训的地区，可提供供应商出具的任命书。）以上拟派人员须提供投标截止时间前6个月内任意1个月的社保缴纳证明 (网上打印的社保清单须有加盖社保管理单位电子公章)复印件。</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“采购单位”指磋商文件中所述所有工程、相关货物、相关服务的甲方。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 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4.5.1磋商有效期为从递交响应文件的截止之日起，详见第二章须知前附表，有效期短于此规定的响应文件将被视为无效。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 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供应商应在响应文件中提供证明其所投工程、相关货物、相关服务的合格性和符合磋商文件规定的相关证明文件。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供应商应在响应文件中完整表达履行本采购项目的相关工程量清单、技术方案、方法和措施，及证明其成交后具有良好履约能力的说明材料。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 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8.1.1根据采购人确定的成交结果，采购代理机构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联系人：李工、牛工</w:t>
      </w:r>
    </w:p>
    <w:p>
      <w:pPr>
        <w:pStyle w:val="null3"/>
        <w:jc w:val="left"/>
      </w:pPr>
      <w:r>
        <w:rPr>
          <w:rFonts w:ascii="仿宋_GB2312" w:hAnsi="仿宋_GB2312" w:cs="仿宋_GB2312" w:eastAsia="仿宋_GB2312"/>
        </w:rPr>
        <w:t>联系电话：0898-65250316</w:t>
      </w:r>
    </w:p>
    <w:p>
      <w:pPr>
        <w:pStyle w:val="null3"/>
        <w:jc w:val="left"/>
      </w:pPr>
      <w:r>
        <w:rPr>
          <w:rFonts w:ascii="仿宋_GB2312" w:hAnsi="仿宋_GB2312" w:cs="仿宋_GB2312" w:eastAsia="仿宋_GB2312"/>
        </w:rPr>
        <w:t>地址：海南省海口市美兰区大英山东一路7号国瑞城雅仕苑1栋2单元18层1802房</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pPr>
      <w:r>
        <w:rPr>
          <w:rFonts w:ascii="仿宋_GB2312" w:hAnsi="仿宋_GB2312" w:cs="仿宋_GB2312" w:eastAsia="仿宋_GB2312"/>
          <w:sz w:val="28"/>
        </w:rPr>
        <w:t>本项目硬化的道路共计</w:t>
      </w:r>
      <w:r>
        <w:rPr>
          <w:rFonts w:ascii="仿宋_GB2312" w:hAnsi="仿宋_GB2312" w:cs="仿宋_GB2312" w:eastAsia="仿宋_GB2312"/>
          <w:sz w:val="28"/>
        </w:rPr>
        <w:t>7条道路全长552.93m;砖砌排水明沟467.59m，砼盖板沟252.76m,沉沙井12座，圆管涵4处;生态停车场352</w:t>
      </w:r>
      <w:r>
        <w:rPr>
          <w:rFonts w:ascii="仿宋_GB2312" w:hAnsi="仿宋_GB2312" w:cs="仿宋_GB2312" w:eastAsia="仿宋_GB2312"/>
          <w:sz w:val="28"/>
        </w:rPr>
        <w:t>㎡</w:t>
      </w:r>
      <w:r>
        <w:rPr>
          <w:rFonts w:ascii="仿宋_GB2312" w:hAnsi="仿宋_GB2312" w:cs="仿宋_GB2312" w:eastAsia="仿宋_GB2312"/>
          <w:sz w:val="28"/>
        </w:rPr>
        <w:t>。主要建设内容包含道路工程、排水工程、停车场。</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1,095,704.06</w:t>
      </w:r>
    </w:p>
    <w:p>
      <w:pPr>
        <w:pStyle w:val="null3"/>
        <w:jc w:val="left"/>
      </w:pPr>
      <w:r>
        <w:rPr>
          <w:rFonts w:ascii="仿宋_GB2312" w:hAnsi="仿宋_GB2312" w:cs="仿宋_GB2312" w:eastAsia="仿宋_GB2312"/>
        </w:rPr>
        <w:t>采购包最高限价（元）: 1,095,704.06</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B02020000-公路工程施工</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1,095,704.06</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建筑业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B02020000-公路工程施工</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1,095,704.06</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超出最高限价的，按无效响应文件处理</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标的名称：B02020000-公路工程施工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color w:val="000000"/>
              </w:rPr>
              <w:t>工程施工范围：施工总承包（按采购人提供的施工图纸及工程量清单包含的所有工程内容。）</w:t>
            </w:r>
          </w:p>
          <w:p>
            <w:pPr>
              <w:pStyle w:val="null3"/>
              <w:jc w:val="left"/>
            </w:pPr>
            <w:r>
              <w:rPr>
                <w:rFonts w:ascii="仿宋_GB2312" w:hAnsi="仿宋_GB2312" w:cs="仿宋_GB2312" w:eastAsia="仿宋_GB2312"/>
                <w:sz w:val="28"/>
                <w:b/>
                <w:color w:val="000000"/>
              </w:rPr>
              <w:t>施工图纸及工程量清单详</w:t>
            </w:r>
            <w:r>
              <w:rPr>
                <w:rFonts w:ascii="仿宋_GB2312" w:hAnsi="仿宋_GB2312" w:cs="仿宋_GB2312" w:eastAsia="仿宋_GB2312"/>
                <w:sz w:val="28"/>
                <w:b/>
                <w:color w:val="000000"/>
              </w:rPr>
              <w:t>见附件。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560"/>
              <w:jc w:val="both"/>
            </w:pPr>
            <w:r>
              <w:rPr>
                <w:rFonts w:ascii="仿宋_GB2312" w:hAnsi="仿宋_GB2312" w:cs="仿宋_GB2312" w:eastAsia="仿宋_GB2312"/>
                <w:sz w:val="28"/>
              </w:rPr>
              <w:t>1.项目建设地点：位于昌化镇新城村引种扩繁基地；</w:t>
            </w:r>
          </w:p>
          <w:p>
            <w:pPr>
              <w:pStyle w:val="null3"/>
              <w:ind w:firstLine="560"/>
              <w:jc w:val="both"/>
            </w:pPr>
            <w:r>
              <w:rPr>
                <w:rFonts w:ascii="仿宋_GB2312" w:hAnsi="仿宋_GB2312" w:cs="仿宋_GB2312" w:eastAsia="仿宋_GB2312"/>
                <w:sz w:val="28"/>
              </w:rPr>
              <w:t>2.质量要求：合格；</w:t>
            </w:r>
          </w:p>
          <w:p>
            <w:pPr>
              <w:pStyle w:val="null3"/>
              <w:ind w:firstLine="560"/>
              <w:jc w:val="both"/>
            </w:pPr>
            <w:r>
              <w:rPr>
                <w:rFonts w:ascii="仿宋_GB2312" w:hAnsi="仿宋_GB2312" w:cs="仿宋_GB2312" w:eastAsia="仿宋_GB2312"/>
                <w:sz w:val="28"/>
                <w:color w:val="000000"/>
              </w:rPr>
              <w:t>3.计划工期：</w:t>
            </w:r>
            <w:r>
              <w:rPr>
                <w:rFonts w:ascii="仿宋_GB2312" w:hAnsi="仿宋_GB2312" w:cs="仿宋_GB2312" w:eastAsia="仿宋_GB2312"/>
                <w:sz w:val="28"/>
                <w:color w:val="000000"/>
              </w:rPr>
              <w:t>120</w:t>
            </w:r>
            <w:r>
              <w:rPr>
                <w:rFonts w:ascii="仿宋_GB2312" w:hAnsi="仿宋_GB2312" w:cs="仿宋_GB2312" w:eastAsia="仿宋_GB2312"/>
                <w:sz w:val="28"/>
                <w:color w:val="000000"/>
              </w:rPr>
              <w:t>天；</w:t>
            </w:r>
          </w:p>
          <w:p>
            <w:pPr>
              <w:pStyle w:val="null3"/>
              <w:ind w:firstLine="560"/>
              <w:jc w:val="both"/>
            </w:pPr>
            <w:r>
              <w:rPr>
                <w:rFonts w:ascii="仿宋_GB2312" w:hAnsi="仿宋_GB2312" w:cs="仿宋_GB2312" w:eastAsia="仿宋_GB2312"/>
                <w:sz w:val="28"/>
              </w:rPr>
              <w:t>4.缺陷责任期：自合同签收之日起1年；</w:t>
            </w:r>
          </w:p>
          <w:p>
            <w:pPr>
              <w:pStyle w:val="null3"/>
              <w:jc w:val="left"/>
            </w:pPr>
            <w:r>
              <w:rPr>
                <w:rFonts w:ascii="仿宋_GB2312" w:hAnsi="仿宋_GB2312" w:cs="仿宋_GB2312" w:eastAsia="仿宋_GB2312"/>
                <w:sz w:val="28"/>
              </w:rPr>
              <w:t>5.验收方式：由采购人组织有关部门在指定项目地点按照国家有关标准和磋商文件的规定采购方式对所提供服务进行验收，成交人须派技术人员按采购人指定地点现场共同验收。</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1）踏勘现场：供应商如有需要，请自行组织踏勘现场。</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2）图纸及工程量清单另册提供。</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本项目的特定资格要求</w:t>
            </w:r>
          </w:p>
        </w:tc>
        <w:tc>
          <w:tcPr>
            <w:tcW w:type="dxa" w:w="3322"/>
          </w:tcPr>
          <w:p>
            <w:pPr>
              <w:pStyle w:val="null3"/>
              <w:jc w:val="left"/>
            </w:pPr>
            <w:r>
              <w:rPr>
                <w:rFonts w:ascii="仿宋_GB2312" w:hAnsi="仿宋_GB2312" w:cs="仿宋_GB2312" w:eastAsia="仿宋_GB2312"/>
              </w:rPr>
              <w:t>3.1、具备建设行政主管部门核发的市政公用工程施工总承包三级（含）以上级或根据《住房和城乡建设部关于印发建设工程企业资质管理制度改革方案的通知》[建市〔2020〕94 号] 的规定已换发新证取得相应的资质，同时具备有效的安全生产许可证，并在人员、设备、资金等方面具有相应的施工能力（提供资质证书复印件加盖公章、有效的安全生产许可证复印件加盖公章）； 3.2、供应商拟派的项目负责人（项目经理）具备本单位注册市政公用工程专业二级或以上注册建造师和具备有效的安全生产考核合格证书(B证)且不得担任其他在施建设工程建设项目的项目经理（证明材料：出具书面承诺，提供注册证书、相应证书复印件及投标截止时间前6个月内任意1个月的社保缴纳证明 (网上打印的社保清单须有加盖社保管理单位电子公章)复印件加盖单位公章）； 3.3、供应商须提供投标单位在海南省住房和城乡建设厅海南省房屋建筑工程全过程监管信息平台完成《海南省建筑企业诚信档案手册》登记，并填报项目名称、项目地址、派驻的项目班子人员信息证明截图； 3.4、供应商必须为未被列入中国执行信息公开网（http://zxgk.court.gov.cn/shixin/）的 “失信被执行人”、信用中国网站(https://www.creditchina.gov.cn/)的“重大税收违法失信主体”和“政府采购严重违法失信名单”、中国政府采购网(http://www.ccgp.gov.cn/)的“政府采购严重违法失信行为记录名单”（提供网页截图或承诺函（格式自拟）并加盖单位公章，未在响应文件内提供齐全的则以招标代理查询结果为准）； 3.5、信誉要求：（1）、磋商资格没有被取消、暂停；（2）、没有处于被责令停业、财产被接管、冻结、破产状态；（3）、在最近三年内没有骗取中标行为或严重违约行为或重大工程质量问题的（提供承诺函并加盖公章（格式自拟））。</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响应有效期（从递交响应文件的截止之日起算）</w:t>
            </w:r>
          </w:p>
        </w:tc>
        <w:tc>
          <w:tcPr>
            <w:tcW w:type="dxa" w:w="3322"/>
          </w:tcPr>
          <w:p>
            <w:pPr>
              <w:pStyle w:val="null3"/>
              <w:jc w:val="left"/>
            </w:pPr>
            <w:r>
              <w:rPr>
                <w:rFonts w:ascii="仿宋_GB2312" w:hAnsi="仿宋_GB2312" w:cs="仿宋_GB2312" w:eastAsia="仿宋_GB2312"/>
              </w:rPr>
              <w:t>响应有效期须满足供应商须知4.5.1要求。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开标（报价）一览表 自定义格式</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技术部分62.00分</w:t>
            </w:r>
          </w:p>
          <w:p>
            <w:pPr>
              <w:pStyle w:val="null3"/>
              <w:jc w:val="left"/>
            </w:pPr>
            <w:r>
              <w:rPr>
                <w:rFonts w:ascii="仿宋_GB2312" w:hAnsi="仿宋_GB2312" w:cs="仿宋_GB2312" w:eastAsia="仿宋_GB2312"/>
              </w:rPr>
              <w:t>商务部分18.00分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施工方案与技术措施</w:t>
            </w:r>
          </w:p>
        </w:tc>
        <w:tc>
          <w:tcPr>
            <w:tcW w:type="dxa" w:w="2492"/>
          </w:tcPr>
          <w:p>
            <w:pPr>
              <w:pStyle w:val="null3"/>
              <w:jc w:val="left"/>
            </w:pPr>
            <w:r>
              <w:rPr>
                <w:rFonts w:ascii="仿宋_GB2312" w:hAnsi="仿宋_GB2312" w:cs="仿宋_GB2312" w:eastAsia="仿宋_GB2312"/>
              </w:rPr>
              <w:t>根据响应单位制定的施工方案与技术措施进行评审，包含但不限于①施工现场管理组织机构②施工总体部署和规划③施工程序和施工方法④安全文明施工目标⑤保证措施等内容。方案中包含以上5项要素且上述内容完整、切实可行的得20分，每缺少一项要素扣4分，一项要素中有较大缺陷（2个及以上内容缺陷）扣2.5分，一项要素中有较小缺陷（1个内容缺陷）扣1.5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质量管理体系与措施</w:t>
            </w:r>
          </w:p>
        </w:tc>
        <w:tc>
          <w:tcPr>
            <w:tcW w:type="dxa" w:w="2492"/>
          </w:tcPr>
          <w:p>
            <w:pPr>
              <w:pStyle w:val="null3"/>
              <w:jc w:val="left"/>
            </w:pPr>
            <w:r>
              <w:rPr>
                <w:rFonts w:ascii="仿宋_GB2312" w:hAnsi="仿宋_GB2312" w:cs="仿宋_GB2312" w:eastAsia="仿宋_GB2312"/>
              </w:rPr>
              <w:t>根据响应单位制定的质量管理体系与措施方案进行评审，评审内容包含但不限于①质量保障措施②质量保障承诺③安全保障措施④安全保障承诺等内容。方案中包含以上4项要素且上述内容完整、切实可行的得16分，每缺少一项要素扣4分，一项要素中有较大缺陷（2个及以上内容缺陷）扣2.5分，一项要素中有较小缺陷（1个内容缺陷）扣1.5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安全管理体系与措施</w:t>
            </w:r>
          </w:p>
        </w:tc>
        <w:tc>
          <w:tcPr>
            <w:tcW w:type="dxa" w:w="2492"/>
          </w:tcPr>
          <w:p>
            <w:pPr>
              <w:pStyle w:val="null3"/>
              <w:jc w:val="left"/>
            </w:pPr>
            <w:r>
              <w:rPr>
                <w:rFonts w:ascii="仿宋_GB2312" w:hAnsi="仿宋_GB2312" w:cs="仿宋_GB2312" w:eastAsia="仿宋_GB2312"/>
              </w:rPr>
              <w:t>根据响应单位制定的安全管理体系与措施方案进行评审，评审内容包含但不限于：①施工安全生产保障体系②施工安全生产目标、现场管理人员安全生产职责③针对项目特点、周边环境和施工工艺制定的防护措施等内容。方案中包含以上3项要素且上述内容完整、切实可行的得9分，每缺少一项要素扣3分，一项要素中有较大缺陷（2个及以上内容缺陷）扣2分，一项要素中有较小缺陷（1个内容缺陷）扣1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环保管理体系与措施</w:t>
            </w:r>
          </w:p>
        </w:tc>
        <w:tc>
          <w:tcPr>
            <w:tcW w:type="dxa" w:w="2492"/>
          </w:tcPr>
          <w:p>
            <w:pPr>
              <w:pStyle w:val="null3"/>
              <w:jc w:val="left"/>
            </w:pPr>
            <w:r>
              <w:rPr>
                <w:rFonts w:ascii="仿宋_GB2312" w:hAnsi="仿宋_GB2312" w:cs="仿宋_GB2312" w:eastAsia="仿宋_GB2312"/>
              </w:rPr>
              <w:t>根据响应单位制定的环境保护管理体系与措施进行评审，评审内容包含但不限于①环境保护措施②创文明工地目标措施③施工现场扬尘治理措施等内容。方案中包含以上3项要素且上述内容完整、切实可行的得9分，每缺少一项要素扣3分，一项要素中有较大缺陷（2个及以上内容缺陷）扣2分，一项要素中有较小缺陷（1个内容缺陷）扣1分。（内容缺陷是指 ：内容非专门针对本项目或不适用项目特性的情形、内容不够完整或缺少关键节点、套用其他项目方案、内容前后矛盾、涉及的规范及标准错误、不利于项目实施、不可能实现的情形等任意一种情形）。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vMerge/>
          </w:tcPr>
          <w:p/>
        </w:tc>
        <w:tc>
          <w:tcPr>
            <w:tcW w:type="dxa" w:w="1661"/>
          </w:tcPr>
          <w:p>
            <w:pPr>
              <w:pStyle w:val="null3"/>
              <w:jc w:val="left"/>
            </w:pPr>
            <w:r>
              <w:rPr>
                <w:rFonts w:ascii="仿宋_GB2312" w:hAnsi="仿宋_GB2312" w:cs="仿宋_GB2312" w:eastAsia="仿宋_GB2312"/>
              </w:rPr>
              <w:t>工程进度计划与措施</w:t>
            </w:r>
          </w:p>
        </w:tc>
        <w:tc>
          <w:tcPr>
            <w:tcW w:type="dxa" w:w="2492"/>
          </w:tcPr>
          <w:p>
            <w:pPr>
              <w:pStyle w:val="null3"/>
              <w:jc w:val="left"/>
            </w:pPr>
            <w:r>
              <w:rPr>
                <w:rFonts w:ascii="仿宋_GB2312" w:hAnsi="仿宋_GB2312" w:cs="仿宋_GB2312" w:eastAsia="仿宋_GB2312"/>
              </w:rPr>
              <w:t>根据响应单位制定的工程进度计划与措施进行评审，评审内容包含但不限于①整体的施工进度计划②关键节点的控制措施等内容。方案中包含以上2项要素且上述内容完整、切实可行的得8分，每缺少一项要素扣4分，，一项要素中有较大缺陷（2个及以上内容缺陷）扣2.5分，一项要素中有较小缺陷（1个内容缺陷）扣1.5分。（内容缺陷是指：内容非专门针对本项目或不适用项目特性的情形、内容不够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类似业绩</w:t>
            </w:r>
          </w:p>
        </w:tc>
        <w:tc>
          <w:tcPr>
            <w:tcW w:type="dxa" w:w="2492"/>
          </w:tcPr>
          <w:p>
            <w:pPr>
              <w:pStyle w:val="null3"/>
              <w:jc w:val="left"/>
            </w:pPr>
            <w:r>
              <w:rPr>
                <w:rFonts w:ascii="仿宋_GB2312" w:hAnsi="仿宋_GB2312" w:cs="仿宋_GB2312" w:eastAsia="仿宋_GB2312"/>
              </w:rPr>
              <w:t>供应商2023年01月01日至今承接过类似项目业绩，每个得6分，本项满分18分。 证明材料：提供施工合同（以合同签订时间为准）复印件加盖公章。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自定义格式</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06"/>
            <w:gridSpan w:val="6"/>
          </w:tcPr>
          <w:p>
            <w:pPr>
              <w:pStyle w:val="null3"/>
              <w:jc w:val="left"/>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详见附件：（施工）合同条款及格式.docx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HNZD-2026-019-1</w:t>
      </w:r>
    </w:p>
    <w:p>
      <w:pPr>
        <w:pStyle w:val="null3"/>
        <w:jc w:val="left"/>
      </w:pPr>
      <w:r>
        <w:rPr>
          <w:rFonts w:ascii="仿宋_GB2312" w:hAnsi="仿宋_GB2312" w:cs="仿宋_GB2312" w:eastAsia="仿宋_GB2312"/>
        </w:rPr>
        <w:t>项目名称：</w:t>
      </w:r>
      <w:r>
        <w:rPr>
          <w:rFonts w:ascii="仿宋_GB2312" w:hAnsi="仿宋_GB2312" w:cs="仿宋_GB2312" w:eastAsia="仿宋_GB2312"/>
        </w:rPr>
        <w:t>昌化镇新城村引种扩繁基地道路硬化及排水工程(二次)</w:t>
      </w:r>
    </w:p>
    <w:p>
      <w:pPr>
        <w:pStyle w:val="null3"/>
        <w:jc w:val="left"/>
      </w:pPr>
      <w:r>
        <w:rPr>
          <w:rFonts w:ascii="仿宋_GB2312" w:hAnsi="仿宋_GB2312" w:cs="仿宋_GB2312" w:eastAsia="仿宋_GB2312"/>
        </w:rPr>
        <w:t>采购包：</w:t>
      </w:r>
      <w:r>
        <w:rPr>
          <w:rFonts w:ascii="仿宋_GB2312" w:hAnsi="仿宋_GB2312" w:cs="仿宋_GB2312" w:eastAsia="仿宋_GB2312"/>
        </w:rPr>
        <w:t>项目本身</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施工范围</w:t>
            </w:r>
          </w:p>
        </w:tc>
        <w:tc>
          <w:tcPr>
            <w:tcW w:type="dxa" w:w="1038"/>
          </w:tcPr>
          <w:p>
            <w:pPr>
              <w:pStyle w:val="null3"/>
              <w:jc w:val="left"/>
            </w:pPr>
            <w:r>
              <w:rPr>
                <w:rFonts w:ascii="仿宋_GB2312" w:hAnsi="仿宋_GB2312" w:cs="仿宋_GB2312" w:eastAsia="仿宋_GB2312"/>
              </w:rPr>
              <w:t xml:space="preserve"> 施工工期</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B02020000-公路工程施工</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1095704.06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超出最高限价的，按无效响应文件处理</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