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槟榔林下套种1000亩大叶茶项目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[460100000848]20250900001[CS]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白沙黎族自治县南开乡人民政府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海南西布伦项目管理有限公司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白沙黎族自治县南开乡人民政府</w:t>
      </w:r>
      <w:r>
        <w:rPr>
          <w:rFonts w:ascii="仿宋_GB2312" w:hAnsi="仿宋_GB2312" w:cs="仿宋_GB2312" w:eastAsia="仿宋_GB2312"/>
        </w:rPr>
        <w:t xml:space="preserve"> 的委托， </w:t>
      </w:r>
      <w:r>
        <w:rPr>
          <w:rFonts w:ascii="仿宋_GB2312" w:hAnsi="仿宋_GB2312" w:cs="仿宋_GB2312" w:eastAsia="仿宋_GB2312"/>
        </w:rPr>
        <w:t>海南西布伦项目管理有限公司</w:t>
      </w:r>
      <w:r>
        <w:rPr>
          <w:rFonts w:ascii="仿宋_GB2312" w:hAnsi="仿宋_GB2312" w:cs="仿宋_GB2312" w:eastAsia="仿宋_GB2312"/>
        </w:rPr>
        <w:t xml:space="preserve"> 对 </w:t>
      </w:r>
      <w:r>
        <w:rPr>
          <w:rFonts w:ascii="仿宋_GB2312" w:hAnsi="仿宋_GB2312" w:cs="仿宋_GB2312" w:eastAsia="仿宋_GB2312"/>
        </w:rPr>
        <w:t>槟榔林下套种1000亩大叶茶项目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[460100000848]20250900001[CS]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槟榔林下套种1000亩大叶茶项目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2,300,000.00元</w:t>
      </w:r>
      <w:r>
        <w:rPr>
          <w:rFonts w:ascii="仿宋_GB2312" w:hAnsi="仿宋_GB2312" w:cs="仿宋_GB2312" w:eastAsia="仿宋_GB2312"/>
        </w:rPr>
        <w:t>贰佰叁拾万元整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供货期：60天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1、有机肥资格条件：供应商须提供所投产品生产厂家的农业农村部颁发的肥料登记证及农药经营许可证（提供有效期内的相关证件复印件）</w:t>
      </w:r>
    </w:p>
    <w:p>
      <w:pPr>
        <w:pStyle w:val="null3"/>
        <w:jc w:val="left"/>
      </w:pPr>
      <w:r>
        <w:rPr>
          <w:rFonts w:ascii="仿宋_GB2312" w:hAnsi="仿宋_GB2312" w:cs="仿宋_GB2312" w:eastAsia="仿宋_GB2312"/>
        </w:rPr>
        <w:t>2、大叶茶资格条件：供应商须提供行政主管部门颁发的有效的《林木种子生产许可证》、《林木种子经营许可证》，两证合一的提供有效的《林木种子生产经营许可证》或《林草种子生产经营许可证》（证明材料：提供相关证书复印件并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发布媒体：海南省政府采购网上发布，有关本项目文件的补遗、澄清及变更信息以上述网站公告与下载为准，文件与更正公告的内容相互矛盾时，以最后发出的更正公告内容为准。2、有关本项目采购文件的补遗、澄清及变更信息以上述网站公告与下载为准，采购代理机构不再另行通知，采购文件与更正公告的内容相互矛盾时，以最后发出的更正公告内容为准。3、供应商须在海南政府采购网(https://ccgphainan.gov.cn/maincms-web/)中的海南省政府采购智慧云平台进行注册并完善信息，然后下载参与投标项目电子招标文件（数据包）及其他文件。4、注意事项：电子标采用全程电子化操作，供应商应详细阅读海南政府采购网的通知《海南省财政厅关于进一步推进政府采购全流程电子化的通知》，供应商使用交易系统遇到问题可致电技术支持：0591-38352553。5、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6、遵照《政府采购促进中小企业发展管理办法》（财库〔2020〕46号,以下简称《办法》）执行；财政部《关于进一步加大政府采购支持中小企业力度的通知》（财库〔2022〕19号，以下简称《通知》），未按要求提供的，视为放弃享受优惠政策。供应商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7、中小企业参加政府采购活动，应当按照本采购文件格式要求提供《中小企业声明函》，否则不得享受相关中小企业扶持政策。货物服务采购项目给予小微企业的价格扣除优惠10%。工程类项目为3%优惠政策。8、按照《财政部、司法部关于政府采购支持监狱企业发展有关问题的通知》（财库〔2014〕68号）的规定，监狱企业视同小型、微型企业，享受预留份额、评审中价格扣除等促进中小企业发展的政府采购政策。监狱企业参加政府采购活动时，应当提供由省级以上监狱管理局、戒毒管理局（含新疆生产建设兵团）出具的属于监狱企业的证明文件。监狱企业属于小型、微型企业的，不重复享受政策。9、按照《关于促进残疾人就业政府采购政策的通知》（财库〔2017〕141号）的规定，残疾人福利性单位视同小型、微型企业，享受预留份额、评审中价格扣除等促进中小企业发展的政府采购政策。残疾人福利性单位参加政府采购活动时，应当提供该通知规定的《残疾人福利性单位声明函》，并对声明的真实性负责。残疾人福利性单位属于小型、微型企业的，不重复享受政策。（四）残疾人就业政府采购优惠政策视同小型、微型企业的价格给予扣除，扣除后的价格参与评审。</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白沙黎族自治县南开乡人民政府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海南省白沙黎族自治县南开乡南开中路8号南开乡人民政府</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15501732050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海南西布伦项目管理有限公司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海南省海口市美兰区海甸街道海甸二东路滨江海岸3期12栋2111室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何必伟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18976743234</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自响应文件递交截止之日起90日历天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代理服务费收费标准：代理报酬：人民币伍仟捌佰陆拾元整(小写;¥5860.00元)的价格来收取招标代理服务费，向中标单位收取。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评审小组由招标人代表及招标代理机构从海南省综合评标专家库中随机抽取，共3人以上单数组成，其中，技术、经济等方面的专家不得少于成员总数的2/3。评审小组成员将按照客观、公正、审慎的原则，根据招标文件规定的评审方法和评审标准进行独立据评审。</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联系人：刘工</w:t>
      </w:r>
    </w:p>
    <w:p>
      <w:pPr>
        <w:pStyle w:val="null3"/>
        <w:jc w:val="left"/>
      </w:pPr>
      <w:r>
        <w:rPr>
          <w:rFonts w:ascii="仿宋_GB2312" w:hAnsi="仿宋_GB2312" w:cs="仿宋_GB2312" w:eastAsia="仿宋_GB2312"/>
        </w:rPr>
        <w:t>联系电话：0898-66250553</w:t>
      </w:r>
    </w:p>
    <w:p>
      <w:pPr>
        <w:pStyle w:val="null3"/>
        <w:jc w:val="left"/>
      </w:pPr>
      <w:r>
        <w:rPr>
          <w:rFonts w:ascii="仿宋_GB2312" w:hAnsi="仿宋_GB2312" w:cs="仿宋_GB2312" w:eastAsia="仿宋_GB2312"/>
        </w:rPr>
        <w:t>地址：海南省海口市美兰区海甸街道海甸二东路滨江海岸3期12栋2111室</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槟榔林下套种1000亩大叶茶,计划购买800000株茶苗，每亩配套2包有机肥，共计230万元。通过公司+供应商+农户的发展模式，带动农户参与种植大叶茶。由政府向有资质供茶苗的供应商进行采购，并向其他供应商有意愿在自家槟榔等林地下套种需求的脱贫户社员发放茶苗种植，种植收成后按照10：1的比例上交供应商，壮大村集体经济。</w:t>
      </w:r>
      <w:r>
        <w:br/>
      </w:r>
      <w:r>
        <w:rPr>
          <w:rFonts w:ascii="仿宋_GB2312" w:hAnsi="仿宋_GB2312" w:cs="仿宋_GB2312" w:eastAsia="仿宋_GB2312"/>
        </w:rPr>
        <w:t xml:space="preserve">     计划种植1000亩，每亩种植800株茶苗,第一期种植40万株，第二期种植40万株。茶苗种植达到一年后即可收成，每亩可摘茶叶60斤,每斤40元,亩产估值2400元，年内产值约240万元。</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2,300,000.00</w:t>
      </w:r>
    </w:p>
    <w:p>
      <w:pPr>
        <w:pStyle w:val="null3"/>
        <w:jc w:val="left"/>
      </w:pPr>
      <w:r>
        <w:rPr>
          <w:rFonts w:ascii="仿宋_GB2312" w:hAnsi="仿宋_GB2312" w:cs="仿宋_GB2312" w:eastAsia="仿宋_GB2312"/>
        </w:rPr>
        <w:t>采购包最高限价（元）: 2,300,000.00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A07080105-有机肥料及微生物肥料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jc w:val="left"/>
            </w:pPr>
            <w:r>
              <w:rPr>
                <w:rFonts w:ascii="仿宋_GB2312" w:hAnsi="仿宋_GB2312" w:cs="仿宋_GB2312" w:eastAsia="仿宋_GB2312"/>
              </w:rPr>
              <w:t>个（台、套、件、辆）</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A07031503-苗木类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1,760,000.00</w:t>
            </w:r>
          </w:p>
        </w:tc>
        <w:tc>
          <w:tcPr>
            <w:tcW w:type="dxa" w:w="831"/>
          </w:tcPr>
          <w:p>
            <w:pPr>
              <w:pStyle w:val="null3"/>
              <w:jc w:val="left"/>
            </w:pPr>
            <w:r>
              <w:rPr>
                <w:rFonts w:ascii="仿宋_GB2312" w:hAnsi="仿宋_GB2312" w:cs="仿宋_GB2312" w:eastAsia="仿宋_GB2312"/>
              </w:rPr>
              <w:t>株</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A07080105-有机肥料及微生物肥料 报价内容</w:t>
            </w:r>
          </w:p>
        </w:tc>
        <w:tc>
          <w:tcPr>
            <w:tcW w:type="dxa" w:w="554"/>
          </w:tcPr>
          <w:p>
            <w:pPr>
              <w:pStyle w:val="null3"/>
              <w:jc w:val="left"/>
            </w:pPr>
            <w:r>
              <w:rPr>
                <w:rFonts w:ascii="仿宋_GB2312" w:hAnsi="仿宋_GB2312" w:cs="仿宋_GB2312" w:eastAsia="仿宋_GB2312"/>
              </w:rPr>
              <w:t>个（台、套、件、辆）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A07031503-苗木类</w:t>
            </w:r>
          </w:p>
        </w:tc>
        <w:tc>
          <w:tcPr>
            <w:tcW w:type="dxa" w:w="554"/>
          </w:tcPr>
          <w:p>
            <w:pPr>
              <w:pStyle w:val="null3"/>
              <w:jc w:val="left"/>
            </w:pPr>
            <w:r>
              <w:rPr>
                <w:rFonts w:ascii="仿宋_GB2312" w:hAnsi="仿宋_GB2312" w:cs="仿宋_GB2312" w:eastAsia="仿宋_GB2312"/>
              </w:rPr>
              <w:t>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标的名称：A07080105-有机肥料及微生物肥料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有机生物肥为底肥，颗粒状一包40到50公斤。</w:t>
            </w:r>
          </w:p>
        </w:tc>
      </w:tr>
    </w:tbl>
    <w:p>
      <w:pPr>
        <w:pStyle w:val="null3"/>
        <w:jc w:val="left"/>
      </w:pPr>
      <w:r>
        <w:rPr>
          <w:rFonts w:ascii="仿宋_GB2312" w:hAnsi="仿宋_GB2312" w:cs="仿宋_GB2312" w:eastAsia="仿宋_GB2312"/>
        </w:rPr>
        <w:t>标的名称：A07031503-苗木类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大叶茶的苗木需要20到30公分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 xml:space="preserve"> 计划种植1000亩，每亩种植800株茶苗,第一期种植40万株，第二期种植40万株。茶苗种植达到一年后即可收成，每亩可摘茶叶60斤,每斤40元,亩产估值2400元，年内产值约240万元。</w:t>
            </w:r>
          </w:p>
          <w:p>
            <w:pPr>
              <w:pStyle w:val="null3"/>
              <w:jc w:val="left"/>
            </w:pPr>
            <w:r>
              <w:rPr>
                <w:rFonts w:ascii="仿宋_GB2312" w:hAnsi="仿宋_GB2312" w:cs="仿宋_GB2312" w:eastAsia="仿宋_GB2312"/>
              </w:rPr>
              <w:t>供货期：60天</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1、除招标文件另有规定外，若出现有关法律、法规和规章有强制性规定但招标文件未列明的情形，则投标人应按照有关法律、法规和规章强制性规定执行。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有机肥资格条件</w:t>
            </w:r>
          </w:p>
        </w:tc>
        <w:tc>
          <w:tcPr>
            <w:tcW w:type="dxa" w:w="3322"/>
          </w:tcPr>
          <w:p>
            <w:pPr>
              <w:pStyle w:val="null3"/>
              <w:jc w:val="left"/>
            </w:pPr>
            <w:r>
              <w:rPr>
                <w:rFonts w:ascii="仿宋_GB2312" w:hAnsi="仿宋_GB2312" w:cs="仿宋_GB2312" w:eastAsia="仿宋_GB2312"/>
              </w:rPr>
              <w:t>供应商须提供所投产品生产厂家的农业农村部颁发的肥料登记证及农药经营许可证（提供有效期内的相关证件复印件）</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大叶茶资格条件</w:t>
            </w:r>
          </w:p>
        </w:tc>
        <w:tc>
          <w:tcPr>
            <w:tcW w:type="dxa" w:w="3322"/>
          </w:tcPr>
          <w:p>
            <w:pPr>
              <w:pStyle w:val="null3"/>
              <w:jc w:val="left"/>
            </w:pPr>
            <w:r>
              <w:rPr>
                <w:rFonts w:ascii="仿宋_GB2312" w:hAnsi="仿宋_GB2312" w:cs="仿宋_GB2312" w:eastAsia="仿宋_GB2312"/>
              </w:rPr>
              <w:t>供应商须提供行政主管部门颁发的有效的《林木种子生产许可证》、《林木种子经营许可证》，两证合一的提供有效的《林木种子生产经营许可证》或《林草种子生产经营许可证》（证明材料：提供相关证书复印件并加盖公章）。</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技术部分66.00分</w:t>
            </w:r>
          </w:p>
          <w:p>
            <w:pPr>
              <w:pStyle w:val="null3"/>
              <w:jc w:val="left"/>
            </w:pPr>
            <w:r>
              <w:rPr>
                <w:rFonts w:ascii="仿宋_GB2312" w:hAnsi="仿宋_GB2312" w:cs="仿宋_GB2312" w:eastAsia="仿宋_GB2312"/>
              </w:rPr>
              <w:t>商务部分4.00分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工作安排</w:t>
            </w:r>
          </w:p>
        </w:tc>
        <w:tc>
          <w:tcPr>
            <w:tcW w:type="dxa" w:w="2492"/>
          </w:tcPr>
          <w:p>
            <w:pPr>
              <w:pStyle w:val="null3"/>
              <w:jc w:val="left"/>
            </w:pPr>
            <w:r>
              <w:rPr>
                <w:rFonts w:ascii="仿宋_GB2312" w:hAnsi="仿宋_GB2312" w:cs="仿宋_GB2312" w:eastAsia="仿宋_GB2312"/>
              </w:rPr>
              <w:t>根据供应商提供的技术服务方案应包含①工作安排的合理性②资源配置等内容合理性等进行综合评分： 1.供应商提供上述内容的，每项得1分，满分2分，未提供不得分。 工作安排、资源配置合理，工期进度计划切实可行、科学、可靠，解决工作质量与进度双保证的需求，得18分； 工作安排、资源配置较合理，工期进度计划较切实可行、科学； 一般得13分。 工作安排、资源配置一般，工期进度计划一般，得8分。 工作安排、资源配置完全不合理，工期进度计划完全不合实际，不可行。 没有相关内容不得分。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计划进度</w:t>
            </w:r>
          </w:p>
        </w:tc>
        <w:tc>
          <w:tcPr>
            <w:tcW w:type="dxa" w:w="2492"/>
          </w:tcPr>
          <w:p>
            <w:pPr>
              <w:pStyle w:val="null3"/>
              <w:jc w:val="left"/>
            </w:pPr>
            <w:r>
              <w:rPr>
                <w:rFonts w:ascii="仿宋_GB2312" w:hAnsi="仿宋_GB2312" w:cs="仿宋_GB2312" w:eastAsia="仿宋_GB2312"/>
              </w:rPr>
              <w:t>根据供应商的计划及进度方案内容包含但不限于①计划明细；②实施进度等方面、供应商提供上述内容的，每项得1分，满分2分，未提供不得分。 A根据供应商提供的预算明细及进度完整、科学合理；方案内容框架 全面、透彻、到位，能够满足项目技术需求得18分。 B预算明细及进度较完整、较合理；方案内容框架基本能够满足项目技术需求得13。 C预算明细及进度不完整、不够合理；成果报告提交的内容不符合要求得8分。 D预算明细及进度不完整、完全合理；成果报告提交的内容完全不符合要求的不得分。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投标人根据本项目的特点及需求，编制详细、全面的项目实施方案，方案应包含：①对本项目的理解、②进度保障措施、③耗材的更换内容等内容，对上述内容综合情况进行打分。 1.供应商提供上述内容的，每项得1分，满分3分，未提供不得分。 2.根据供应商提供的实施方案进行综合比较评比： （1）、方案描述完整、合理、科学的，优于采购需求的，得10 分； （2）、方案描述比较完整、合理、科学的，基本满足采购需求的，得5分； （3）、方案描述不够详尽，可行性较差的，得3分； （4）、未提供得 0 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根据投标人提供的售后服务方案，包括①售后服务体系及服务团队、②服务方式、③服务质量保证措施等内容，对上述内容综合情况进行打分。 1.供应商提供上述内容的，每项得1分，满分3分，未提供不得分。 2.根据供应商提供的实施方案进行综合比较评比： （1）、方案描述完整、合理、科学的，优于采购需求的，得10分； （2）、方案描述比较完整、合理、科学的，基本满足采购需求的，得5分； （3）、方案描述不够详尽，可行性较差的，得2分； （4）、未提供得 0 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项目业绩</w:t>
            </w:r>
          </w:p>
        </w:tc>
        <w:tc>
          <w:tcPr>
            <w:tcW w:type="dxa" w:w="2492"/>
          </w:tcPr>
          <w:p>
            <w:pPr>
              <w:pStyle w:val="null3"/>
              <w:jc w:val="left"/>
            </w:pPr>
            <w:r>
              <w:rPr>
                <w:rFonts w:ascii="仿宋_GB2312" w:hAnsi="仿宋_GB2312" w:cs="仿宋_GB2312" w:eastAsia="仿宋_GB2312"/>
              </w:rPr>
              <w:t>供应商自2022年1月以来承接的类似项目业绩，每提供1个得2分，满分6分。 证明材料：须提供中标通知书或合同关键页（首页、签约合同金额页、双方盖章页）证明材料且加盖公章。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[460100000848]20250900001[CS]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槟榔林下套种1000亩大叶茶项目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A07080105-有机肥料及微生物肥料 报价内容</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个（台、套、件、辆）</w:t>
            </w:r>
          </w:p>
        </w:tc>
        <w:tc>
          <w:tcPr>
            <w:tcW w:type="dxa" w:w="755"/>
          </w:tcPr>
          <w:p>
            <w:pPr>
              <w:pStyle w:val="null3"/>
              <w:jc w:val="left"/>
            </w:pPr>
            <w:r>
              <w:rPr>
                <w:rFonts w:ascii="仿宋_GB2312" w:hAnsi="仿宋_GB2312" w:cs="仿宋_GB2312" w:eastAsia="仿宋_GB2312"/>
              </w:rPr>
              <w:t xml:space="preserve"> 540000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A07031503-苗木类</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株</w:t>
            </w:r>
          </w:p>
        </w:tc>
        <w:tc>
          <w:tcPr>
            <w:tcW w:type="dxa" w:w="755"/>
          </w:tcPr>
          <w:p>
            <w:pPr>
              <w:pStyle w:val="null3"/>
              <w:jc w:val="left"/>
            </w:pPr>
            <w:r>
              <w:rPr>
                <w:rFonts w:ascii="仿宋_GB2312" w:hAnsi="仿宋_GB2312" w:cs="仿宋_GB2312" w:eastAsia="仿宋_GB2312"/>
              </w:rPr>
              <w:t xml:space="preserve"> 1760000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详见附件：政府采购投标（响应）担保函</w:t>
      </w:r>
    </w:p>
    <w:p>
      <w:pPr>
        <w:pStyle w:val="null3"/>
        <w:ind w:firstLine="960"/>
        <w:jc w:val="left"/>
      </w:pPr>
      <w:r>
        <w:rPr>
          <w:rFonts w:ascii="仿宋_GB2312" w:hAnsi="仿宋_GB2312" w:cs="仿宋_GB2312" w:eastAsia="仿宋_GB2312"/>
        </w:rPr>
        <w:t>详见附件：投标保证保险凭证</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详见附件：售后服务承诺书</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