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白沙县教育城域网建设项目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[HNJB-]20250800001[GK]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白沙黎族自治县教育局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海南建邦工程咨询有限公司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白沙黎族自治县教育局</w:t>
      </w:r>
      <w:r>
        <w:rPr>
          <w:rFonts w:ascii="仿宋_GB2312" w:hAnsi="仿宋_GB2312" w:cs="仿宋_GB2312" w:eastAsia="仿宋_GB2312"/>
        </w:rPr>
        <w:t xml:space="preserve"> 委托， </w:t>
      </w:r>
      <w:r>
        <w:rPr>
          <w:rFonts w:ascii="仿宋_GB2312" w:hAnsi="仿宋_GB2312" w:cs="仿宋_GB2312" w:eastAsia="仿宋_GB2312"/>
        </w:rPr>
        <w:t>海南建邦工程咨询有限公司</w:t>
      </w:r>
      <w:r>
        <w:rPr>
          <w:rFonts w:ascii="仿宋_GB2312" w:hAnsi="仿宋_GB2312" w:cs="仿宋_GB2312" w:eastAsia="仿宋_GB2312"/>
        </w:rPr>
        <w:t xml:space="preserve"> 对 </w:t>
      </w:r>
      <w:r>
        <w:rPr>
          <w:rFonts w:ascii="仿宋_GB2312" w:hAnsi="仿宋_GB2312" w:cs="仿宋_GB2312" w:eastAsia="仿宋_GB2312"/>
        </w:rPr>
        <w:t>白沙县教育城域网建设项目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[HNJB-]20250800001[GK]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白沙县教育城域网建设项目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4,931,000.00元</w:t>
      </w:r>
      <w:r>
        <w:rPr>
          <w:rFonts w:ascii="仿宋_GB2312" w:hAnsi="仿宋_GB2312" w:cs="仿宋_GB2312" w:eastAsia="仿宋_GB2312"/>
        </w:rPr>
        <w:t>肆佰玖拾叁万壹仟元整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自合同签订之日起50日历天</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1、具备《基础电信业务经营许可证》或《增值电信业务经营许可证》：（提供证书有效期内复印件并加盖单位公章）</w:t>
      </w:r>
    </w:p>
    <w:p>
      <w:pPr>
        <w:pStyle w:val="null3"/>
        <w:jc w:val="left"/>
      </w:pPr>
      <w:r>
        <w:rPr>
          <w:rFonts w:ascii="仿宋_GB2312" w:hAnsi="仿宋_GB2312" w:cs="仿宋_GB2312" w:eastAsia="仿宋_GB2312"/>
        </w:rPr>
        <w:t>2、参加政府采购活动前三年内，无环保类行政处罚记录：（提供资格承诺函加盖公章）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白沙黎族自治县教育局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海南省白沙黎族自治县牙叉镇滨河北路63号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572899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羊工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0898-27723287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海南建邦工程咨询有限公司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海南省海口市龙华区海垦街道金垦路金牛生态小区A2栋405房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0898-68951786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采购包1：4,931,000.00元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从提交响应文件的截止之日起算的90天内有效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代理服务费收费标准：代理费金额：11100.67元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最高限价：4897890.00元，超过最高限价的投标文件视为无效响应。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3、 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联系人：史工</w:t>
      </w:r>
    </w:p>
    <w:p>
      <w:pPr>
        <w:pStyle w:val="null3"/>
        <w:jc w:val="left"/>
      </w:pPr>
      <w:r>
        <w:rPr>
          <w:rFonts w:ascii="仿宋_GB2312" w:hAnsi="仿宋_GB2312" w:cs="仿宋_GB2312" w:eastAsia="仿宋_GB2312"/>
        </w:rPr>
        <w:t>联系电话：0898-68951786</w:t>
      </w:r>
    </w:p>
    <w:p>
      <w:pPr>
        <w:pStyle w:val="null3"/>
        <w:jc w:val="left"/>
      </w:pPr>
      <w:r>
        <w:rPr>
          <w:rFonts w:ascii="仿宋_GB2312" w:hAnsi="仿宋_GB2312" w:cs="仿宋_GB2312" w:eastAsia="仿宋_GB2312"/>
        </w:rPr>
        <w:t>地址：海南省海口市龙华区海垦街道金垦路金牛生态小区A2栋405房</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平台组网同时满足</w:t>
      </w:r>
      <w:r>
        <w:rPr>
          <w:rFonts w:ascii="仿宋_GB2312" w:hAnsi="仿宋_GB2312" w:cs="仿宋_GB2312" w:eastAsia="仿宋_GB2312"/>
          <w:sz w:val="32"/>
        </w:rPr>
        <w:t>IPv4/v6。用于白沙教育城域的网枢纽节点、传输网络、校园网络的组网确保每个终端接入的并行带宽为300(100)Mbps。300(100)光纤进班，接入指标:下行300(100)M,上行300(100)M带宽。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4,931,000.00</w:t>
      </w:r>
    </w:p>
    <w:p>
      <w:pPr>
        <w:pStyle w:val="null3"/>
        <w:jc w:val="left"/>
      </w:pPr>
      <w:r>
        <w:rPr>
          <w:rFonts w:ascii="仿宋_GB2312" w:hAnsi="仿宋_GB2312" w:cs="仿宋_GB2312" w:eastAsia="仿宋_GB2312"/>
        </w:rPr>
        <w:t>采购包最高限价（元）: 4,897,890.00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C16020400-安全集成实施服务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4,931,000.00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C16020400-安全集成实施服务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4,897,890.00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标的名称：C16020400-安全集成实施服务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76"/>
              <w:gridCol w:w="169"/>
              <w:gridCol w:w="276"/>
              <w:gridCol w:w="632"/>
              <w:gridCol w:w="1194"/>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类型</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数量</w:t>
                  </w:r>
                  <w:r>
                    <w:rPr>
                      <w:rFonts w:ascii="仿宋_GB2312" w:hAnsi="仿宋_GB2312" w:cs="仿宋_GB2312" w:eastAsia="仿宋_GB2312"/>
                      <w:sz w:val="18"/>
                      <w:color w:val="000000"/>
                    </w:rPr>
                    <w:t>(间/条)</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网速（</w:t>
                  </w:r>
                  <w:r>
                    <w:rPr>
                      <w:rFonts w:ascii="仿宋_GB2312" w:hAnsi="仿宋_GB2312" w:cs="仿宋_GB2312" w:eastAsia="仿宋_GB2312"/>
                      <w:sz w:val="18"/>
                      <w:color w:val="000000"/>
                    </w:rPr>
                    <w:t>Mbps）</w:t>
                  </w:r>
                </w:p>
              </w:tc>
              <w:tc>
                <w:tcPr>
                  <w:tcW w:type="dxa" w:w="182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服务规格</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普通教室接入网络及运维服务</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646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1.平台组网同时满足IPv4/v6。用于白沙教育城域的网枢纽节点、传输网络、校园网络的组网确保每个终端接入的并行带宽为100Mbps。             2.100M光纤进班，接入指标:下行100M,上行100M带宽。</w:t>
                  </w:r>
                </w:p>
              </w:tc>
              <w:tc>
                <w:tcPr>
                  <w:tcW w:type="dxa" w:w="1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可为高带宽教育教学应用提供高质量的网络支持，如国家中小学智慧教育平台和海南省智慧教育平台资源访问、同步专递课堂教学、在线直播教学、师资视频培训、教育视频会议、远程实时监控等应用，为网上办公、学籍管理、教师管理、招生考试管理、财务管理、智慧校园管理系统、教育装备管理等系统提供安全可靠的网络运行环境。</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功能教室接入网路及运维服务</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308</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1.平台组网同时满足IPv4/v6。用于白沙教育城域的网枢纽节点、传输网络、校园网络的组网确保每个终端接入的并行带宽为100Mbps。            2.100光纤进班，接入指标:下行100M,上行100M带宽。</w:t>
                  </w: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2.提供可保障带宽的专用隔离网络，专用通道，在接入层、IP骨干层、传输层采用相关网络保障手段，有效保障教育专网的用户体验和网络服务质量。</w:t>
                  </w:r>
                </w:p>
                <w:p>
                  <w:pPr>
                    <w:pStyle w:val="null3"/>
                    <w:jc w:val="both"/>
                  </w:pPr>
                  <w:r>
                    <w:rPr>
                      <w:rFonts w:ascii="仿宋_GB2312" w:hAnsi="仿宋_GB2312" w:cs="仿宋_GB2312" w:eastAsia="仿宋_GB2312"/>
                      <w:sz w:val="18"/>
                      <w:color w:val="000000"/>
                    </w:rPr>
                    <w:t>3.</w:t>
                  </w:r>
                  <w:r>
                    <w:rPr>
                      <w:rFonts w:ascii="仿宋_GB2312" w:hAnsi="仿宋_GB2312" w:cs="仿宋_GB2312" w:eastAsia="仿宋_GB2312"/>
                      <w:sz w:val="18"/>
                      <w:color w:val="000000"/>
                    </w:rPr>
                    <w:t>提供多网接入功能，基于光宽进班接入方式，可同时访问互联网、教育专网，并提供班级与班级、班级与学校之间的互访功能。</w:t>
                  </w:r>
                </w:p>
                <w:p>
                  <w:pPr>
                    <w:pStyle w:val="null3"/>
                    <w:jc w:val="both"/>
                  </w:pPr>
                  <w:r>
                    <w:rPr>
                      <w:rFonts w:ascii="仿宋_GB2312" w:hAnsi="仿宋_GB2312" w:cs="仿宋_GB2312" w:eastAsia="仿宋_GB2312"/>
                      <w:sz w:val="18"/>
                      <w:color w:val="000000"/>
                    </w:rPr>
                    <w:t>4.教育专网基于网络运营商提供的城域网，需具备大带宽、高速转发和安全隔离能力。直连核心实现扁平化组网，快速访问互联网，教育专网通过PON网络完成光宽进班高速接入，并在承载网络提供虚拟专用隔离通道,实现班级用户快速访问互联网、教育专网及教育云、城域网的建设要求教育专网要尽量保证校园流量与其他公众业务流量的隔离。</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同步课堂教室接入网路</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1.平台组网同时满足IPv4/v6。用于白沙教育城域的网枢纽节点、传输网络、校园网络的组网确保每个终端接入的并行带宽为100Mbps。                         2.100光纤进班，接入指标:下行100M,上行100M带宽。</w:t>
                  </w:r>
                </w:p>
              </w:tc>
              <w:tc>
                <w:tcPr>
                  <w:tcW w:type="dxa" w:w="11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教育专网建设需从教室终端开始，到互联网出口或数据中心，全程网络实现光纤连接，运营商需根据现有的技术手段，满足接入段光纤带宽可以达到最高1G高速带宽。教育专网要求提供高速接入带宽保障，专用隔离网络，并可实现班班、班校、校校之间的互访。</w:t>
                  </w:r>
                </w:p>
                <w:p>
                  <w:pPr>
                    <w:pStyle w:val="null3"/>
                    <w:jc w:val="both"/>
                  </w:pPr>
                  <w:r>
                    <w:rPr>
                      <w:rFonts w:ascii="仿宋_GB2312" w:hAnsi="仿宋_GB2312" w:cs="仿宋_GB2312" w:eastAsia="仿宋_GB2312"/>
                      <w:sz w:val="18"/>
                      <w:color w:val="000000"/>
                    </w:rPr>
                    <w:t>6.提供7×24小时热线在线技术支持服务及专属报障热线电话，学校通过运维热线进行报障，在线支持服务时间为7×24小时。运维方需在报障后0.5小时间内作出响应，1个小时必须安排工作人员到达现场，非光缆故障24小时内解决，光缆故障不超过48小时内解决；如遇严重光缆受损情况，不超过两周解决。对于特殊情况未能及时处理的故障，运营商需要及时与校方沟通说明情况或提供临时解决问题。</w:t>
                  </w:r>
                </w:p>
                <w:p>
                  <w:pPr>
                    <w:pStyle w:val="null3"/>
                    <w:jc w:val="both"/>
                  </w:pPr>
                  <w:r>
                    <w:rPr>
                      <w:rFonts w:ascii="仿宋_GB2312" w:hAnsi="仿宋_GB2312" w:cs="仿宋_GB2312" w:eastAsia="仿宋_GB2312"/>
                      <w:sz w:val="18"/>
                      <w:color w:val="000000"/>
                    </w:rPr>
                    <w:t>7.成立教育城域网运维小组，负责区域网络的日常运维及应急处置。通过QoS对教育教学业务流量提供带宽保证机制，保证网络服务质量，避免网络拥塞并在时延、抖动和减少数据包丢失方面进行控制。市县教育城域网枢纽节点部署QoS监测服务器，实时分析网络流量情况，制定对与教育无关应用阻断、限速等流量控制策略，且定期生成QoS监测报告，有效监测每条传输线路。</w:t>
                  </w:r>
                </w:p>
                <w:p>
                  <w:pPr>
                    <w:pStyle w:val="null3"/>
                    <w:jc w:val="both"/>
                  </w:pPr>
                  <w:r>
                    <w:rPr>
                      <w:rFonts w:ascii="仿宋_GB2312" w:hAnsi="仿宋_GB2312" w:cs="仿宋_GB2312" w:eastAsia="仿宋_GB2312"/>
                      <w:sz w:val="18"/>
                      <w:color w:val="000000"/>
                    </w:rPr>
                    <w:t>8.特别保障服务：</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如遇省县级重要活动和任务时，服务提供方需提供驻场特别保障服务，全天24小时服务电话响应，协助完成重要活动（活动前协助安装、检查设备的运行情况，活动期间，保障设备的正常使用），具体驻场时间据具体需求而定；</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2）对我县各中、小学校由于撤并等发生的网络移址等，服务商应帮助移机。</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教师办公室接入网络及运维服务</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220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1.平台组网同时满足IPv4/v6。用于白沙教育城域的网枢纽节点、传输网络、校园网络的组网确保每个终端接入的并行带宽为100Mbps。                         2.100光纤进班，接入指标:下行100M,上行100M带宽。</w:t>
                  </w:r>
                </w:p>
              </w:tc>
              <w:tc>
                <w:tcPr>
                  <w:tcW w:type="dxa" w:w="1194"/>
                  <w:vMerge/>
                  <w:tcBorders>
                    <w:top w:val="none" w:color="000000" w:sz="4"/>
                    <w:left w:val="single" w:color="000000" w:sz="4"/>
                    <w:bottom w:val="single" w:color="000000" w:sz="4"/>
                    <w:right w:val="single" w:color="000000" w:sz="4"/>
                  </w:tcBorders>
                </w:tcP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计算机教室接入网络及运维服务</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57</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300</w:t>
                  </w:r>
                </w:p>
              </w:tc>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1.平台组网同时满足IPv4/v6。用于白沙教育城域的网枢纽节点、传输网络、校园网络的组网确保每个终端接入的并行带宽为300Mbps。                          2.300光纤进班，接入指标:下行300M,上行300M带宽。</w:t>
                  </w:r>
                </w:p>
              </w:tc>
              <w:tc>
                <w:tcPr>
                  <w:tcW w:type="dxa" w:w="1194"/>
                  <w:vMerge/>
                  <w:tcBorders>
                    <w:top w:val="none" w:color="000000" w:sz="4"/>
                    <w:left w:val="single" w:color="000000" w:sz="4"/>
                    <w:bottom w:val="single" w:color="000000" w:sz="4"/>
                    <w:right w:val="single" w:color="000000" w:sz="4"/>
                  </w:tcBorders>
                </w:tcP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城域网管理及安全服务</w:t>
                  </w:r>
                </w:p>
              </w:tc>
              <w:tc>
                <w:tcPr>
                  <w:tcW w:type="dxa" w:w="1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1257</w:t>
                  </w:r>
                </w:p>
              </w:tc>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教育城域网需符合</w:t>
                  </w:r>
                  <w:r>
                    <w:rPr>
                      <w:rFonts w:ascii="仿宋_GB2312" w:hAnsi="仿宋_GB2312" w:cs="仿宋_GB2312" w:eastAsia="仿宋_GB2312"/>
                      <w:sz w:val="18"/>
                      <w:color w:val="000000"/>
                    </w:rPr>
                    <w:t>GB/T 22240-2020的等保要求，达到安全定级的二级标准。城域网出口部署≥10G安全审计、安全防护设备，作为互联网出口和教育城域网边界安全的设备，实现对教育城域网和互联网流量的安全审计、安全告警、安全事件溯源。要中标人需有计划性（一个季度）的对网络单元格进行漏洞、弱口令、基线自查，修复，形成闭环。</w:t>
                  </w:r>
                </w:p>
                <w:p>
                  <w:pPr>
                    <w:pStyle w:val="null3"/>
                    <w:jc w:val="both"/>
                  </w:pPr>
                  <w:r>
                    <w:rPr>
                      <w:rFonts w:ascii="仿宋_GB2312" w:hAnsi="仿宋_GB2312" w:cs="仿宋_GB2312" w:eastAsia="仿宋_GB2312"/>
                      <w:sz w:val="18"/>
                      <w:color w:val="000000"/>
                    </w:rPr>
                    <w:t>2.提供流量监控与威胁管理、网络边界安全与管理、全量日志采集与分析、网络信息推送与共享服务。引入流量监控技术，精准识别并拦截恶意软件、钓鱼网站及矿池地址等安全威胁，同时对上网行为进行细致审计，确保对潜在安全风险的及时发现与有效管控。集成威胁感知系统，敏锐捕捉并深入分析新型网络攻击行为，提供安全运营态势报告主动推送，紧急事件即时短信通知，实现快速响应与高效处置。要求：</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1）能够基于IP五元组、VLAN、链路、数据流向、共享用户、移动终端、应用协议/协议组和IP/IP群组的速率和连接数控制，最小颗粒支持Kb。</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2）能够针对内网用户进行基于应用层协议、URL的行为管理。能够单条策略总控和单IP限速，可分别设置总控带宽和单IP带宽。能够基于应用协议和应用协议群组的流量和连接数控制。</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能够基于域名和URL的流量和连接数控制。能够满足流量控制动作：转发、阻断、限速、重定向等。能够支持应用级被动测量：针对网络流量中每一条会话，进行基于应用级的质量测量；支持对客户端时延、传输时延及应用服务器时延的分段记录与策略。支持上网行为管理的同时，支持基于应用协议和应用协议群组的流量镜像、基于域名和URL的流量镜像，基于时间的流量镜像。</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在网络安全边界方面，白沙教育城域网出口处部署防火墙系统，实施访问控制与边界隔离策略。根据业务需求动态调整安全控制策略，定期进行策略优化与维护，提供基于特征的威胁检测功能，主要应用于漏洞攻击防护、WEB安全防护、恶意代码防护，确保网络边界的安全稳固。要求：</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对黑客攻击、蠕虫/病毒、木马、恶意代码、间谍软件/广告软件、DoS/DDoS等常见的攻击防御，支持缓冲区溢出、SQL注入、IDS/IPS逃逸等攻击的防御，支持IPS发现攻击后抓取报文，并支持通过WEB下载对应抓包文件，供客户进行分析。</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可基于病毒特征进行检测，实现病毒库手动和自动升级，实现病毒日志和报表；防病毒本地库数量600万+支持基于文件协议、邮件协议（SMTP/POP3/iMAP)、共享协议（NFS/SMB）的病毒功能。可基于病毒特征进行检测、动作响应、提供报表。发现病毒发送的告警信息，支持用户编辑告警内容。支持聚合场景下的四维自定义攻击流向图取证，攻击趋势取证、攻击链分布取证和实体信息取证，展示攻击者和受害者的威胁情报与资产信息，可查看会话详情，会话详情包括检测、响应等基本信息，并支持查看会话关联告警情况，及添加白名单、发布预警、生成工单等操作</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）支持对</w:t>
                  </w:r>
                  <w:r>
                    <w:rPr>
                      <w:rFonts w:ascii="仿宋_GB2312" w:hAnsi="仿宋_GB2312" w:cs="仿宋_GB2312" w:eastAsia="仿宋_GB2312"/>
                      <w:sz w:val="18"/>
                      <w:color w:val="000000"/>
                    </w:rPr>
                    <w:t>Land、Smurf、Fraggle、Ping of Death、Tear Drop、IP Spoofing、IP分片报文、ARP欺骗、ARP主动反向查询、TCP报文标志位不合法、超大ICMP报文、地址扫描、端口扫描等攻击防范，还包括针对SYN Flood、UPD Flood、ICMP Flood、DNS Flood等常见DDoS攻击的检测防御。</w:t>
                  </w:r>
                </w:p>
                <w:p>
                  <w:pPr>
                    <w:pStyle w:val="null3"/>
                    <w:jc w:val="both"/>
                  </w:pPr>
                  <w:r>
                    <w:rPr>
                      <w:rFonts w:ascii="仿宋_GB2312" w:hAnsi="仿宋_GB2312" w:cs="仿宋_GB2312" w:eastAsia="仿宋_GB2312"/>
                      <w:sz w:val="18"/>
                      <w:color w:val="000000"/>
                    </w:rPr>
                    <w:t>4、服务需提供全量日志采集与分析，借助网络全协议识别与还原技术，结合网络行为知识库，实现对城域网内安全防护网关、审计网关等关键节点的全流量采集。确保网络流量与事件的全面记录，为网络安全行为与事件检测、深度分析、快速发现及有效追溯提供坚实的数据基础。要求：</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1）日志转发与存储支持数字签名与加密，数字签名支持SM3和SHA256，加密模式支持AES和SM4，日志接收支持解密。</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2）可通过接收协议限制日志接收速率，包括Http接收、syslog接收、SNMPtrap接收、TCP接收、WMI接收、aliyun接收。</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3）可满足kafka日志接收转发、大数据安全域同步、APT沙箱报告转发等大数据联调功能。Kafka收发支持SSL加密。</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4）可通过接收协议限制日志接收速率，包括Http接收、syslog接收、SNMPtrap接收、TCP接收、WMI接收、aliyun接收。</w:t>
                  </w:r>
                </w:p>
              </w:tc>
            </w:tr>
            <w:tr>
              <w:tc>
                <w:tcPr>
                  <w:tcW w:type="dxa" w:w="276"/>
                  <w:vMerge/>
                  <w:tcBorders>
                    <w:top w:val="none" w:color="000000" w:sz="4"/>
                    <w:left w:val="single" w:color="000000" w:sz="4"/>
                    <w:bottom w:val="single" w:color="000000" w:sz="4"/>
                    <w:right w:val="single" w:color="000000" w:sz="4"/>
                  </w:tcBorders>
                </w:tcPr>
                <w:p/>
              </w:tc>
              <w:tc>
                <w:tcPr>
                  <w:tcW w:type="dxa" w:w="169"/>
                  <w:vMerge/>
                  <w:tcBorders>
                    <w:top w:val="none" w:color="000000" w:sz="4"/>
                    <w:left w:val="single" w:color="000000" w:sz="4"/>
                    <w:bottom w:val="single" w:color="000000" w:sz="4"/>
                    <w:right w:val="single" w:color="000000" w:sz="4"/>
                  </w:tcBorders>
                </w:tcPr>
                <w:p/>
              </w:tc>
              <w:tc>
                <w:tcPr>
                  <w:tcW w:type="dxa" w:w="276"/>
                  <w:vMerge/>
                  <w:tcBorders>
                    <w:top w:val="none" w:color="000000" w:sz="4"/>
                    <w:left w:val="single" w:color="000000" w:sz="4"/>
                    <w:bottom w:val="single" w:color="000000" w:sz="4"/>
                    <w:right w:val="single" w:color="000000" w:sz="4"/>
                  </w:tcBorders>
                </w:tcPr>
                <w:p/>
              </w:tc>
              <w:tc>
                <w:tcPr>
                  <w:tcW w:type="dxa" w:w="632"/>
                  <w:vMerge/>
                  <w:tcBorders>
                    <w:top w:val="none" w:color="000000" w:sz="4"/>
                    <w:left w:val="single" w:color="000000" w:sz="4"/>
                    <w:bottom w:val="single" w:color="000000" w:sz="4"/>
                    <w:right w:val="single" w:color="000000" w:sz="4"/>
                  </w:tcBorders>
                </w:tcPr>
                <w:p/>
              </w:tc>
              <w:tc>
                <w:tcPr>
                  <w:tcW w:type="dxa" w:w="1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w:t>
                  </w:r>
                  <w:r>
                    <w:rPr>
                      <w:rFonts w:ascii="仿宋_GB2312" w:hAnsi="仿宋_GB2312" w:cs="仿宋_GB2312" w:eastAsia="仿宋_GB2312"/>
                      <w:sz w:val="18"/>
                      <w:color w:val="000000"/>
                    </w:rPr>
                    <w:t>支持解析规则性能以界面列表形式显示，可了解解析耗时、解析成功或失败次数等信息。</w:t>
                  </w:r>
                </w:p>
                <w:p>
                  <w:pPr>
                    <w:pStyle w:val="null3"/>
                    <w:jc w:val="both"/>
                  </w:pPr>
                  <w:r>
                    <w:rPr>
                      <w:rFonts w:ascii="仿宋_GB2312" w:hAnsi="仿宋_GB2312" w:cs="仿宋_GB2312" w:eastAsia="仿宋_GB2312"/>
                      <w:sz w:val="18"/>
                      <w:color w:val="000000"/>
                    </w:rPr>
                    <w:t>2.</w:t>
                  </w:r>
                  <w:r>
                    <w:rPr>
                      <w:rFonts w:ascii="仿宋_GB2312" w:hAnsi="仿宋_GB2312" w:cs="仿宋_GB2312" w:eastAsia="仿宋_GB2312"/>
                      <w:sz w:val="18"/>
                      <w:color w:val="000000"/>
                    </w:rPr>
                    <w:t>支撑复杂场景下的安全建模分析的活动列表配置，支持对象列表、元素列表、动态阈值三种列表类型的新增、编辑；支持通过数据来源（手动录入、模型写入、</w:t>
                  </w:r>
                  <w:r>
                    <w:rPr>
                      <w:rFonts w:ascii="仿宋_GB2312" w:hAnsi="仿宋_GB2312" w:cs="仿宋_GB2312" w:eastAsia="仿宋_GB2312"/>
                      <w:sz w:val="18"/>
                      <w:color w:val="000000"/>
                    </w:rPr>
                    <w:t>OPENAPI）、有效时间等配置对象列表；支持通过数据来源、元素类型（数值、字符串、IP）、有效时间等配置元素列表；支持通过数据来源、数据类型等配置动态阈值</w:t>
                  </w:r>
                </w:p>
                <w:p>
                  <w:pPr>
                    <w:pStyle w:val="null3"/>
                    <w:jc w:val="both"/>
                  </w:pPr>
                  <w:r>
                    <w:rPr>
                      <w:rFonts w:ascii="仿宋_GB2312" w:hAnsi="仿宋_GB2312" w:cs="仿宋_GB2312" w:eastAsia="仿宋_GB2312"/>
                      <w:sz w:val="18"/>
                      <w:color w:val="000000"/>
                    </w:rPr>
                    <w:t>4.服务需提供统一网管平台与自助服务平台，运营管理平台具备智慧装维软件/小程序，支持将业内重大安全情报（如Wannacry勒索病毒泛滥、重大漏洞风险等事件）通过微信小程序等多种方式推送至管理员，帮助其及时了解业内动态、感知风险。</w:t>
                  </w:r>
                </w:p>
                <w:p>
                  <w:pPr>
                    <w:pStyle w:val="null3"/>
                    <w:jc w:val="both"/>
                  </w:pPr>
                  <w:r>
                    <w:rPr>
                      <w:rFonts w:ascii="仿宋_GB2312" w:hAnsi="仿宋_GB2312" w:cs="仿宋_GB2312" w:eastAsia="仿宋_GB2312"/>
                      <w:sz w:val="18"/>
                      <w:color w:val="000000"/>
                    </w:rPr>
                    <w:t>5.服务提供的统一网管平台应该具备可视化管理界面，可对端点的网络情况进行监测，应满足等保三级要求，具备端云联动，且云平台采用冗余方式部署，能够保证系统的高可用，具备WAF应用防护、入侵防御等功能；主机通过服务器安全卫士实现安全防护、定期进行漏洞扫描、实时掌握主机安全情况。</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1.交货期（合同服务期限）：自合同签订之日起50日历天</w:t>
            </w:r>
          </w:p>
          <w:p>
            <w:pPr>
              <w:pStyle w:val="null3"/>
              <w:ind w:firstLine="480"/>
              <w:jc w:val="left"/>
            </w:pPr>
            <w:r>
              <w:rPr>
                <w:rFonts w:ascii="仿宋_GB2312" w:hAnsi="仿宋_GB2312" w:cs="仿宋_GB2312" w:eastAsia="仿宋_GB2312"/>
                <w:sz w:val="24"/>
              </w:rPr>
              <w:t>2.付款方式：所有网络安装验收合格后每半年支付一次费用</w:t>
            </w:r>
            <w:r>
              <w:rPr>
                <w:rFonts w:ascii="仿宋_GB2312" w:hAnsi="仿宋_GB2312" w:cs="仿宋_GB2312" w:eastAsia="仿宋_GB2312"/>
                <w:sz w:val="24"/>
              </w:rPr>
              <w:t>，第一次支付合同金额的</w:t>
            </w:r>
            <w:r>
              <w:rPr>
                <w:rFonts w:ascii="仿宋_GB2312" w:hAnsi="仿宋_GB2312" w:cs="仿宋_GB2312" w:eastAsia="仿宋_GB2312"/>
                <w:sz w:val="24"/>
              </w:rPr>
              <w:t>17%，剩余五次支付合同总价的16.6%</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3.质量要求：合格</w:t>
            </w:r>
          </w:p>
          <w:p>
            <w:pPr>
              <w:pStyle w:val="null3"/>
              <w:ind w:firstLine="480"/>
              <w:jc w:val="left"/>
            </w:pPr>
            <w:r>
              <w:rPr>
                <w:rFonts w:ascii="仿宋_GB2312" w:hAnsi="仿宋_GB2312" w:cs="仿宋_GB2312" w:eastAsia="仿宋_GB2312"/>
                <w:sz w:val="24"/>
              </w:rPr>
              <w:t>4.质保期：</w:t>
            </w:r>
            <w:r>
              <w:rPr>
                <w:rFonts w:ascii="仿宋_GB2312" w:hAnsi="仿宋_GB2312" w:cs="仿宋_GB2312" w:eastAsia="仿宋_GB2312"/>
                <w:sz w:val="24"/>
              </w:rPr>
              <w:t>3</w:t>
            </w:r>
            <w:r>
              <w:rPr>
                <w:rFonts w:ascii="仿宋_GB2312" w:hAnsi="仿宋_GB2312" w:cs="仿宋_GB2312" w:eastAsia="仿宋_GB2312"/>
                <w:sz w:val="24"/>
              </w:rPr>
              <w:t>年</w:t>
            </w:r>
          </w:p>
          <w:p>
            <w:pPr>
              <w:pStyle w:val="null3"/>
              <w:ind w:firstLine="480"/>
              <w:jc w:val="left"/>
            </w:pPr>
            <w:r>
              <w:rPr>
                <w:rFonts w:ascii="仿宋_GB2312" w:hAnsi="仿宋_GB2312" w:cs="仿宋_GB2312" w:eastAsia="仿宋_GB2312"/>
                <w:sz w:val="24"/>
              </w:rPr>
              <w:t>5.实施地点：</w:t>
            </w:r>
            <w:r>
              <w:rPr>
                <w:rFonts w:ascii="仿宋_GB2312" w:hAnsi="仿宋_GB2312" w:cs="仿宋_GB2312" w:eastAsia="仿宋_GB2312"/>
                <w:sz w:val="24"/>
              </w:rPr>
              <w:t>白沙黎族自治县教育局</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具备《基础电信业务经营许可证》或《增值电信业务经营许可证》</w:t>
            </w:r>
          </w:p>
        </w:tc>
        <w:tc>
          <w:tcPr>
            <w:tcW w:type="dxa" w:w="3322"/>
          </w:tcPr>
          <w:p>
            <w:pPr>
              <w:pStyle w:val="null3"/>
              <w:jc w:val="left"/>
            </w:pPr>
            <w:r>
              <w:rPr>
                <w:rFonts w:ascii="仿宋_GB2312" w:hAnsi="仿宋_GB2312" w:cs="仿宋_GB2312" w:eastAsia="仿宋_GB2312"/>
              </w:rPr>
              <w:t>（提供证书有效期内复印件并加盖单位公章）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（提供资格承诺函加盖公章）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技术部分51.00分</w:t>
            </w:r>
          </w:p>
          <w:p>
            <w:pPr>
              <w:pStyle w:val="null3"/>
              <w:jc w:val="both"/>
            </w:pPr>
            <w:r>
              <w:rPr>
                <w:rFonts w:ascii="仿宋_GB2312" w:hAnsi="仿宋_GB2312" w:cs="仿宋_GB2312" w:eastAsia="仿宋_GB2312"/>
              </w:rPr>
              <w:t>商务部分39.00分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投标人针对本项目提供的总体设计方案，内容包括但不限于：①组网设计；②接入方案；③安全方案。评标专家根据投标人提供的方案进行评分：方案中包含以上要求满足的全部内容，且上述内容完整、条理清晰，针对实际情况，考虑问题周全的得12分，每缺少一项扣4分，一项有内容缺陷扣2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供应商针对本项目提供的项目实施方案，内容包括但不限于：①项目实施进度；②质量保证措施；③安装调试方案。评标专家根据供应商提供的方案进行评分： 方案中包含以上要求满足的全部内容，且上述内容完整、条理清晰，针对实际情况，考虑问题周全的得12分。每缺少一项扣4分，扣完为止。本项满分12分。 方案中包含以上各项，但若有内容缺陷的则一项扣2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针对本项目提供的应急保障方案，内容包括但不限于：①应急人员配备及故障响应；②现场保障配合服务；③质量保障方案；④应急服务方案保证措施。评标专家根据投标人提供的方案进行评分：方案中包含以上要求满足的全部内容，且上述内容完整、条理清晰，针对实际情况，考虑问题周全的得12分，每缺少一项扣3分，一项有内容缺陷每处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提供的售后服务方案，内容包括但不限于：①服务承诺；②服务体系；③售后方式及响应时间；④具有学校所在区域内售后服务点详细信息；⑤售后服务考核方案。评标专家根据投标人提供的方案进行评分：方案中包含以上要求满足的全部内容，且上述内容完整、条理清晰，针对实际情况，考虑问题周全的得15分，每缺少一项扣3分，一项有内容缺陷扣1.5分，扣完为止。本项满分15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供应商对招标文件“第三章 采购需求”技术和服务要求中“三、采购服务需求表”进行点对点比较响应：其中每项不满足扣0.5分，12项或以上不满足则本项不得分； 注：对需提供佐证证明材料的技术要求，供应商应逐项按要求提供佐证材料证明，未提供证明材料或证明材料不满足竞争性磋商文件要求的，该参数的响应将视被为负偏离。</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供应商综合能力</w:t>
            </w:r>
          </w:p>
        </w:tc>
        <w:tc>
          <w:tcPr>
            <w:tcW w:type="dxa" w:w="2492"/>
          </w:tcPr>
          <w:p>
            <w:pPr>
              <w:pStyle w:val="null3"/>
              <w:jc w:val="both"/>
            </w:pPr>
            <w:r>
              <w:rPr>
                <w:rFonts w:ascii="仿宋_GB2312" w:hAnsi="仿宋_GB2312" w:cs="仿宋_GB2312" w:eastAsia="仿宋_GB2312"/>
              </w:rPr>
              <w:t>供应商具有以下证书，每提供一个证书得2分，满分10分。 1、ISO 9001质量管理体系认证证书 2、ISO 27001信息安全管理体系认证证书 3、ISO 20000信息技术服务管理体系认证证书 4、GB/T37228应急预案管理能力评价认证证书 5、供应商获得省级或省级以上网络安全应急技术支撑单位证书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供应商提供2021年1月1日至今类似项目案例：每提供1个得1分，最高得6分。 注：时间以签订时间为准，须提供每个合同关键页部分复印件，加盖供应商公章，同一客户有多个合同的按照1个案例计算。</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项目团队能力1</w:t>
            </w:r>
          </w:p>
        </w:tc>
        <w:tc>
          <w:tcPr>
            <w:tcW w:type="dxa" w:w="2492"/>
          </w:tcPr>
          <w:p>
            <w:pPr>
              <w:pStyle w:val="null3"/>
              <w:jc w:val="both"/>
            </w:pPr>
            <w:r>
              <w:rPr>
                <w:rFonts w:ascii="仿宋_GB2312" w:hAnsi="仿宋_GB2312" w:cs="仿宋_GB2312" w:eastAsia="仿宋_GB2312"/>
              </w:rPr>
              <w:t>供应商派本项目经理具有以下证书；①信息系统项目管理师证书、②高级通信工程师证书、③信息安全工程师证书、④信息系统运维管理工程师证书。 同时满足4个证书得8分，缺一个证书扣2分。 证明材料:提供证书（证书复印件或证书查询截图），及在本项目投标单位2025年1月至今任意3个月的社保缴纳证明并加盖公章。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项目团队能力2</w:t>
            </w:r>
          </w:p>
        </w:tc>
        <w:tc>
          <w:tcPr>
            <w:tcW w:type="dxa" w:w="2492"/>
          </w:tcPr>
          <w:p>
            <w:pPr>
              <w:pStyle w:val="null3"/>
              <w:jc w:val="both"/>
            </w:pPr>
            <w:r>
              <w:rPr>
                <w:rFonts w:ascii="仿宋_GB2312" w:hAnsi="仿宋_GB2312" w:cs="仿宋_GB2312" w:eastAsia="仿宋_GB2312"/>
              </w:rPr>
              <w:t>供应商投入的通信技术维护团队成员（除项目经理外），均具有任意以下证书之一：①软考中高级资格证书（信息系统项目管理师、②系统集成项目管理工程师、③网络规划设计师、④网络工程师、⑤信息安全工程师等）、⑥CISP证书、⑦ITIL证书、⑧中级及中级以上通信专业技术人员职业资格证书、⑨光缆线务员或线务员类证书，每提供一个证书得1分，满分9分，不提供不得分，1人多证计算1次。证明材料:提供证书（证书复印件或证书查询截图），及在本项目投标单位2025年1月至今任意3个月的社保缴纳证明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[HNJB-]20250800001[GK]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白沙县教育城域网建设项目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白沙县教育城域网建设项目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C16020400-安全集成实施服务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4897890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