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A2AB1">
      <w:pPr>
        <w:rPr>
          <w:rFonts w:ascii="楷体" w:hAnsi="楷体" w:eastAsia="楷体"/>
          <w:sz w:val="24"/>
          <w:u w:val="single"/>
        </w:rPr>
      </w:pPr>
      <w:r>
        <w:rPr>
          <w:rFonts w:hint="eastAsia" w:ascii="宋体" w:hAnsi="宋体"/>
          <w:b/>
          <w:sz w:val="30"/>
          <w:szCs w:val="30"/>
        </w:rPr>
        <w:t>合同编号：</w:t>
      </w:r>
      <w:r>
        <w:rPr>
          <w:rFonts w:ascii="楷体" w:hAnsi="楷体" w:eastAsia="楷体"/>
          <w:sz w:val="24"/>
          <w:u w:val="single"/>
        </w:rPr>
        <w:t xml:space="preserve">        </w:t>
      </w:r>
      <w:r>
        <w:rPr>
          <w:rFonts w:hint="eastAsia" w:ascii="楷体" w:hAnsi="楷体" w:eastAsia="楷体"/>
          <w:sz w:val="24"/>
          <w:u w:val="single"/>
        </w:rPr>
        <w:t xml:space="preserve">   </w:t>
      </w:r>
    </w:p>
    <w:p w14:paraId="01C3764A">
      <w:pPr>
        <w:spacing w:line="360" w:lineRule="auto"/>
        <w:jc w:val="left"/>
        <w:rPr>
          <w:rFonts w:ascii="宋体" w:hAnsi="宋体"/>
          <w:b/>
          <w:sz w:val="30"/>
          <w:szCs w:val="30"/>
        </w:rPr>
      </w:pPr>
    </w:p>
    <w:p w14:paraId="17E1F2CD">
      <w:pPr>
        <w:spacing w:line="360" w:lineRule="auto"/>
        <w:ind w:right="40" w:firstLine="4350" w:firstLineChars="1450"/>
        <w:jc w:val="left"/>
        <w:rPr>
          <w:rFonts w:ascii="宋体" w:hAnsi="宋体" w:cs="宋体"/>
          <w:sz w:val="30"/>
          <w:szCs w:val="30"/>
        </w:rPr>
      </w:pPr>
    </w:p>
    <w:p w14:paraId="170BBEC9">
      <w:pPr>
        <w:spacing w:line="360" w:lineRule="auto"/>
        <w:ind w:right="40" w:firstLine="4350" w:firstLineChars="1450"/>
        <w:jc w:val="left"/>
        <w:rPr>
          <w:rFonts w:ascii="宋体" w:hAnsi="宋体" w:cs="宋体"/>
          <w:sz w:val="30"/>
          <w:szCs w:val="30"/>
        </w:rPr>
      </w:pPr>
    </w:p>
    <w:p w14:paraId="0A02E72F">
      <w:pPr>
        <w:spacing w:line="360" w:lineRule="auto"/>
        <w:jc w:val="center"/>
        <w:rPr>
          <w:rFonts w:ascii="宋体" w:hAnsi="宋体"/>
          <w:b/>
          <w:sz w:val="72"/>
          <w:szCs w:val="72"/>
        </w:rPr>
      </w:pPr>
      <w:r>
        <w:rPr>
          <w:rFonts w:hint="eastAsia" w:ascii="宋体" w:hAnsi="宋体"/>
          <w:b/>
          <w:sz w:val="72"/>
          <w:szCs w:val="72"/>
        </w:rPr>
        <w:t>海南省政府采购项目</w:t>
      </w:r>
    </w:p>
    <w:p w14:paraId="393D8C75">
      <w:pPr>
        <w:spacing w:line="360" w:lineRule="auto"/>
        <w:rPr>
          <w:rFonts w:ascii="宋体" w:hAnsi="宋体"/>
          <w:b/>
          <w:sz w:val="30"/>
          <w:szCs w:val="30"/>
        </w:rPr>
      </w:pPr>
    </w:p>
    <w:p w14:paraId="520ED090">
      <w:pPr>
        <w:spacing w:line="360" w:lineRule="auto"/>
        <w:jc w:val="center"/>
        <w:rPr>
          <w:rFonts w:ascii="宋体" w:hAnsi="宋体"/>
          <w:b/>
          <w:sz w:val="110"/>
          <w:szCs w:val="110"/>
        </w:rPr>
      </w:pPr>
      <w:r>
        <w:rPr>
          <w:rFonts w:hint="eastAsia" w:ascii="宋体" w:hAnsi="宋体"/>
          <w:b/>
          <w:sz w:val="110"/>
          <w:szCs w:val="110"/>
        </w:rPr>
        <w:t xml:space="preserve">合 </w:t>
      </w:r>
      <w:r>
        <w:rPr>
          <w:rFonts w:hint="eastAsia" w:ascii="宋体" w:hAnsi="宋体"/>
          <w:b/>
          <w:sz w:val="32"/>
          <w:szCs w:val="32"/>
        </w:rPr>
        <w:t xml:space="preserve">  </w:t>
      </w:r>
      <w:r>
        <w:rPr>
          <w:rFonts w:hint="eastAsia" w:ascii="宋体" w:hAnsi="宋体"/>
          <w:b/>
          <w:sz w:val="110"/>
          <w:szCs w:val="110"/>
        </w:rPr>
        <w:t xml:space="preserve">同 </w:t>
      </w:r>
      <w:r>
        <w:rPr>
          <w:rFonts w:hint="eastAsia" w:ascii="宋体" w:hAnsi="宋体"/>
          <w:b/>
          <w:sz w:val="32"/>
          <w:szCs w:val="32"/>
        </w:rPr>
        <w:t xml:space="preserve">  </w:t>
      </w:r>
      <w:r>
        <w:rPr>
          <w:rFonts w:hint="eastAsia" w:ascii="宋体" w:hAnsi="宋体"/>
          <w:b/>
          <w:sz w:val="110"/>
          <w:szCs w:val="110"/>
        </w:rPr>
        <w:t>书</w:t>
      </w:r>
    </w:p>
    <w:p w14:paraId="7E26CBBC">
      <w:pPr>
        <w:spacing w:line="360" w:lineRule="auto"/>
        <w:jc w:val="center"/>
        <w:rPr>
          <w:rFonts w:ascii="宋体" w:hAnsi="宋体"/>
          <w:b/>
          <w:sz w:val="32"/>
          <w:szCs w:val="32"/>
        </w:rPr>
      </w:pPr>
    </w:p>
    <w:p w14:paraId="1431E406">
      <w:pPr>
        <w:spacing w:line="360" w:lineRule="auto"/>
        <w:rPr>
          <w:rFonts w:ascii="宋体" w:hAnsi="宋体"/>
          <w:b/>
          <w:sz w:val="32"/>
          <w:szCs w:val="32"/>
        </w:rPr>
      </w:pPr>
    </w:p>
    <w:p w14:paraId="28CD8F04">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p>
    <w:p w14:paraId="067E3AD0">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p>
    <w:p w14:paraId="596B0725">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项目名称：</w:t>
      </w:r>
      <w:r>
        <w:rPr>
          <w:rFonts w:hint="eastAsia" w:ascii="宋体" w:hAnsi="宋体"/>
          <w:b/>
          <w:sz w:val="32"/>
          <w:szCs w:val="32"/>
          <w:u w:val="single"/>
        </w:rPr>
        <w:t xml:space="preserve">                     </w:t>
      </w:r>
      <w:r>
        <w:rPr>
          <w:rFonts w:hint="eastAsia" w:ascii="宋体" w:hAnsi="宋体"/>
          <w:b/>
          <w:sz w:val="32"/>
          <w:szCs w:val="32"/>
        </w:rPr>
        <w:t xml:space="preserve"> </w:t>
      </w:r>
    </w:p>
    <w:p w14:paraId="6ADB05E5">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项目编号：</w:t>
      </w:r>
      <w:r>
        <w:rPr>
          <w:rFonts w:hint="eastAsia" w:ascii="宋体" w:hAnsi="宋体"/>
          <w:b/>
          <w:sz w:val="32"/>
          <w:szCs w:val="32"/>
          <w:u w:val="single"/>
        </w:rPr>
        <w:t xml:space="preserve">                     </w:t>
      </w:r>
      <w:r>
        <w:rPr>
          <w:rFonts w:hint="eastAsia" w:ascii="宋体" w:hAnsi="宋体"/>
          <w:b/>
          <w:sz w:val="32"/>
          <w:szCs w:val="32"/>
        </w:rPr>
        <w:t xml:space="preserve"> </w:t>
      </w:r>
    </w:p>
    <w:p w14:paraId="134F4BC4">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甲    方：</w:t>
      </w:r>
      <w:r>
        <w:rPr>
          <w:rFonts w:hint="eastAsia" w:ascii="宋体" w:hAnsi="宋体"/>
          <w:b/>
          <w:sz w:val="32"/>
          <w:szCs w:val="32"/>
          <w:u w:val="single"/>
        </w:rPr>
        <w:t xml:space="preserve">                     </w:t>
      </w:r>
      <w:r>
        <w:rPr>
          <w:rFonts w:hint="eastAsia" w:ascii="宋体" w:hAnsi="宋体"/>
          <w:b/>
          <w:sz w:val="32"/>
          <w:szCs w:val="32"/>
        </w:rPr>
        <w:t xml:space="preserve">  </w:t>
      </w:r>
    </w:p>
    <w:p w14:paraId="70CC904B">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乙    方：</w:t>
      </w:r>
      <w:r>
        <w:rPr>
          <w:rFonts w:hint="eastAsia" w:ascii="宋体" w:hAnsi="宋体"/>
          <w:b/>
          <w:sz w:val="32"/>
          <w:szCs w:val="32"/>
          <w:u w:val="single"/>
        </w:rPr>
        <w:t xml:space="preserve">                     </w:t>
      </w:r>
      <w:r>
        <w:rPr>
          <w:rFonts w:hint="eastAsia" w:ascii="宋体" w:hAnsi="宋体"/>
          <w:b/>
          <w:sz w:val="32"/>
          <w:szCs w:val="32"/>
        </w:rPr>
        <w:t xml:space="preserve"> </w:t>
      </w:r>
    </w:p>
    <w:p w14:paraId="32756CBA">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签订日期：</w:t>
      </w:r>
      <w:r>
        <w:rPr>
          <w:rFonts w:hint="eastAsia" w:ascii="宋体" w:hAnsi="宋体"/>
          <w:b/>
          <w:sz w:val="32"/>
          <w:szCs w:val="32"/>
          <w:u w:val="single"/>
        </w:rPr>
        <w:t xml:space="preserve">      </w:t>
      </w:r>
      <w:r>
        <w:rPr>
          <w:rFonts w:hint="eastAsia" w:ascii="宋体" w:hAnsi="宋体"/>
          <w:b/>
          <w:sz w:val="32"/>
          <w:szCs w:val="32"/>
        </w:rPr>
        <w:t>年</w:t>
      </w:r>
      <w:r>
        <w:rPr>
          <w:rFonts w:hint="eastAsia" w:ascii="宋体" w:hAnsi="宋体"/>
          <w:b/>
          <w:sz w:val="32"/>
          <w:szCs w:val="32"/>
          <w:u w:val="single"/>
        </w:rPr>
        <w:t xml:space="preserve">   </w:t>
      </w:r>
      <w:r>
        <w:rPr>
          <w:rFonts w:hint="eastAsia" w:ascii="宋体" w:hAnsi="宋体"/>
          <w:b/>
          <w:sz w:val="32"/>
          <w:szCs w:val="32"/>
        </w:rPr>
        <w:t xml:space="preserve"> 月</w:t>
      </w:r>
      <w:r>
        <w:rPr>
          <w:rFonts w:hint="eastAsia" w:ascii="宋体" w:hAnsi="宋体"/>
          <w:b/>
          <w:sz w:val="32"/>
          <w:szCs w:val="32"/>
          <w:u w:val="single"/>
        </w:rPr>
        <w:t xml:space="preserve">    </w:t>
      </w:r>
      <w:r>
        <w:rPr>
          <w:rFonts w:hint="eastAsia" w:ascii="宋体" w:hAnsi="宋体"/>
          <w:b/>
          <w:sz w:val="32"/>
          <w:szCs w:val="32"/>
        </w:rPr>
        <w:t>日</w:t>
      </w:r>
    </w:p>
    <w:p w14:paraId="70FE7AA0">
      <w:pPr>
        <w:pStyle w:val="2"/>
      </w:pPr>
    </w:p>
    <w:p w14:paraId="6C9CB450">
      <w:pPr>
        <w:spacing w:line="360" w:lineRule="auto"/>
        <w:ind w:firstLine="1285" w:firstLineChars="400"/>
        <w:rPr>
          <w:rFonts w:ascii="宋体" w:hAnsi="宋体"/>
          <w:b/>
          <w:sz w:val="32"/>
          <w:szCs w:val="32"/>
        </w:rPr>
      </w:pPr>
    </w:p>
    <w:p w14:paraId="2FBB99D8">
      <w:pPr>
        <w:keepNext w:val="0"/>
        <w:keepLines w:val="0"/>
        <w:pageBreakBefore w:val="0"/>
        <w:kinsoku/>
        <w:wordWrap/>
        <w:overflowPunct/>
        <w:topLinePunct w:val="0"/>
        <w:autoSpaceDE/>
        <w:autoSpaceDN/>
        <w:bidi w:val="0"/>
        <w:spacing w:line="520" w:lineRule="exact"/>
        <w:ind w:left="0"/>
        <w:jc w:val="center"/>
        <w:textAlignment w:val="auto"/>
        <w:rPr>
          <w:rFonts w:ascii="仿宋" w:hAnsi="仿宋" w:eastAsia="仿宋"/>
          <w:b/>
          <w:sz w:val="32"/>
          <w:szCs w:val="32"/>
          <w:lang w:eastAsia="zh-CN"/>
        </w:rPr>
      </w:pPr>
      <w:r>
        <w:rPr>
          <w:rFonts w:ascii="宋体" w:hAnsi="宋体"/>
          <w:b/>
          <w:sz w:val="32"/>
          <w:szCs w:val="32"/>
        </w:rPr>
        <w:br w:type="page"/>
      </w:r>
      <w:r>
        <w:rPr>
          <w:rFonts w:hint="eastAsia" w:ascii="仿宋" w:hAnsi="仿宋" w:eastAsia="仿宋"/>
          <w:b/>
          <w:sz w:val="32"/>
          <w:szCs w:val="32"/>
          <w:lang w:eastAsia="zh-CN"/>
        </w:rPr>
        <w:t>合同专用条款</w:t>
      </w:r>
    </w:p>
    <w:p w14:paraId="4FCA7D09">
      <w:pPr>
        <w:keepNext w:val="0"/>
        <w:keepLines w:val="0"/>
        <w:pageBreakBefore w:val="0"/>
        <w:kinsoku/>
        <w:wordWrap/>
        <w:overflowPunct/>
        <w:topLinePunct w:val="0"/>
        <w:autoSpaceDE/>
        <w:autoSpaceDN/>
        <w:bidi w:val="0"/>
        <w:spacing w:line="520" w:lineRule="exact"/>
        <w:ind w:left="0"/>
        <w:jc w:val="center"/>
        <w:textAlignment w:val="auto"/>
        <w:rPr>
          <w:rFonts w:ascii="仿宋" w:hAnsi="仿宋" w:eastAsia="仿宋"/>
          <w:b/>
          <w:sz w:val="32"/>
          <w:szCs w:val="32"/>
          <w:lang w:eastAsia="zh-CN"/>
        </w:rPr>
      </w:pPr>
    </w:p>
    <w:p w14:paraId="507A656E">
      <w:pPr>
        <w:keepNext w:val="0"/>
        <w:keepLines w:val="0"/>
        <w:pageBreakBefore w:val="0"/>
        <w:kinsoku/>
        <w:wordWrap/>
        <w:overflowPunct/>
        <w:topLinePunct w:val="0"/>
        <w:autoSpaceDE/>
        <w:autoSpaceDN/>
        <w:bidi w:val="0"/>
        <w:spacing w:line="520" w:lineRule="exact"/>
        <w:ind w:left="0" w:firstLine="560" w:firstLineChars="200"/>
        <w:textAlignment w:val="auto"/>
        <w:rPr>
          <w:rFonts w:ascii="仿宋" w:hAnsi="仿宋" w:eastAsia="仿宋" w:cs="宋体"/>
          <w:sz w:val="28"/>
          <w:szCs w:val="28"/>
          <w:lang w:eastAsia="zh-CN"/>
        </w:rPr>
      </w:pPr>
      <w:r>
        <w:rPr>
          <w:rFonts w:hint="eastAsia" w:ascii="仿宋" w:hAnsi="仿宋" w:eastAsia="仿宋" w:cs="宋体"/>
          <w:sz w:val="28"/>
          <w:szCs w:val="28"/>
          <w:u w:val="single"/>
          <w:lang w:eastAsia="zh-CN"/>
        </w:rPr>
        <w:t xml:space="preserve">白沙黎族自治县住房保障服务中心 </w:t>
      </w:r>
      <w:r>
        <w:rPr>
          <w:rFonts w:hint="eastAsia" w:ascii="仿宋" w:hAnsi="仿宋" w:eastAsia="仿宋" w:cs="宋体"/>
          <w:sz w:val="28"/>
          <w:szCs w:val="28"/>
          <w:lang w:eastAsia="zh-CN"/>
        </w:rPr>
        <w:t xml:space="preserve">以 </w:t>
      </w:r>
      <w:r>
        <w:rPr>
          <w:rFonts w:hint="eastAsia" w:ascii="仿宋" w:hAnsi="仿宋" w:eastAsia="仿宋" w:cs="宋体"/>
          <w:sz w:val="28"/>
          <w:szCs w:val="28"/>
          <w:u w:val="single"/>
          <w:lang w:eastAsia="zh-CN"/>
        </w:rPr>
        <w:t xml:space="preserve">公开招标的方式  </w:t>
      </w:r>
      <w:r>
        <w:rPr>
          <w:rFonts w:hint="eastAsia" w:ascii="仿宋" w:hAnsi="仿宋" w:eastAsia="仿宋" w:cs="宋体"/>
          <w:sz w:val="28"/>
          <w:szCs w:val="28"/>
          <w:lang w:eastAsia="zh-CN"/>
        </w:rPr>
        <w:t xml:space="preserve">对 </w:t>
      </w:r>
      <w:r>
        <w:rPr>
          <w:rFonts w:hint="eastAsia" w:ascii="仿宋" w:hAnsi="仿宋" w:eastAsia="仿宋" w:cs="宋体"/>
          <w:sz w:val="28"/>
          <w:szCs w:val="28"/>
          <w:u w:val="single"/>
          <w:lang w:eastAsia="zh-CN"/>
        </w:rPr>
        <w:t xml:space="preserve">  白沙黎族自治县</w:t>
      </w:r>
      <w:r>
        <w:rPr>
          <w:rFonts w:hint="eastAsia" w:ascii="仿宋" w:hAnsi="仿宋" w:eastAsia="仿宋" w:cs="宋体"/>
          <w:sz w:val="28"/>
          <w:szCs w:val="28"/>
          <w:u w:val="single"/>
          <w:lang w:val="en-US" w:eastAsia="zh-CN"/>
        </w:rPr>
        <w:t>阳光、方亮、碧绿、南湖一区、南湖二区五个公租房小区物业服务</w:t>
      </w:r>
      <w:r>
        <w:rPr>
          <w:rFonts w:hint="eastAsia" w:ascii="仿宋" w:hAnsi="仿宋" w:eastAsia="仿宋" w:cs="宋体"/>
          <w:sz w:val="28"/>
          <w:szCs w:val="28"/>
          <w:u w:val="single"/>
          <w:lang w:eastAsia="zh-CN"/>
        </w:rPr>
        <w:t xml:space="preserve"> </w:t>
      </w:r>
      <w:r>
        <w:rPr>
          <w:rFonts w:hint="eastAsia" w:ascii="仿宋" w:hAnsi="仿宋" w:eastAsia="仿宋" w:cs="宋体"/>
          <w:sz w:val="28"/>
          <w:szCs w:val="28"/>
          <w:lang w:eastAsia="zh-CN"/>
        </w:rPr>
        <w:t>项目（项目编号：</w:t>
      </w:r>
      <w:r>
        <w:rPr>
          <w:rFonts w:hint="eastAsia" w:ascii="仿宋" w:hAnsi="仿宋" w:eastAsia="仿宋" w:cs="宋体"/>
          <w:sz w:val="28"/>
          <w:szCs w:val="28"/>
          <w:u w:val="single"/>
          <w:lang w:eastAsia="zh-CN"/>
        </w:rPr>
        <w:t xml:space="preserve">       </w:t>
      </w:r>
      <w:r>
        <w:rPr>
          <w:rFonts w:hint="eastAsia" w:ascii="仿宋" w:hAnsi="仿宋" w:eastAsia="仿宋" w:cs="宋体"/>
          <w:sz w:val="28"/>
          <w:szCs w:val="28"/>
          <w:lang w:eastAsia="zh-CN"/>
        </w:rPr>
        <w:t>）进行了采购，</w:t>
      </w:r>
      <w:r>
        <w:rPr>
          <w:rFonts w:hint="eastAsia" w:ascii="仿宋" w:hAnsi="仿宋" w:eastAsia="仿宋" w:cs="宋体"/>
          <w:sz w:val="28"/>
          <w:szCs w:val="28"/>
          <w:u w:val="single"/>
          <w:lang w:eastAsia="zh-CN"/>
        </w:rPr>
        <w:t xml:space="preserve">   （中标供应商名称）</w:t>
      </w:r>
      <w:r>
        <w:rPr>
          <w:rFonts w:hint="eastAsia" w:ascii="仿宋" w:hAnsi="仿宋" w:eastAsia="仿宋" w:cs="宋体"/>
          <w:sz w:val="28"/>
          <w:szCs w:val="28"/>
          <w:lang w:eastAsia="zh-CN"/>
        </w:rPr>
        <w:t>为该项目中标供应商。</w:t>
      </w:r>
    </w:p>
    <w:p w14:paraId="0F89A8BC">
      <w:pPr>
        <w:keepNext w:val="0"/>
        <w:keepLines w:val="0"/>
        <w:pageBreakBefore w:val="0"/>
        <w:kinsoku/>
        <w:wordWrap/>
        <w:overflowPunct/>
        <w:topLinePunct w:val="0"/>
        <w:autoSpaceDE/>
        <w:autoSpaceDN/>
        <w:bidi w:val="0"/>
        <w:spacing w:line="520" w:lineRule="exact"/>
        <w:ind w:left="0" w:firstLine="560" w:firstLineChars="200"/>
        <w:textAlignment w:val="auto"/>
        <w:rPr>
          <w:rFonts w:ascii="仿宋" w:hAnsi="仿宋" w:eastAsia="仿宋" w:cs="宋体"/>
          <w:sz w:val="28"/>
          <w:szCs w:val="28"/>
          <w:lang w:eastAsia="zh-CN"/>
        </w:rPr>
      </w:pPr>
      <w:r>
        <w:rPr>
          <w:rFonts w:hint="eastAsia" w:ascii="仿宋" w:hAnsi="仿宋" w:eastAsia="仿宋" w:cs="宋体"/>
          <w:sz w:val="28"/>
          <w:szCs w:val="28"/>
          <w:u w:val="single"/>
          <w:lang w:eastAsia="zh-CN"/>
        </w:rPr>
        <w:t xml:space="preserve">白沙黎族自治县住房保障服务中心 </w:t>
      </w:r>
      <w:r>
        <w:rPr>
          <w:rFonts w:hint="eastAsia" w:ascii="仿宋" w:hAnsi="仿宋" w:eastAsia="仿宋" w:cs="宋体"/>
          <w:sz w:val="28"/>
          <w:szCs w:val="28"/>
          <w:lang w:val="zh-CN" w:eastAsia="zh-CN"/>
        </w:rPr>
        <w:t>(以下简称：甲方)</w:t>
      </w:r>
      <w:r>
        <w:rPr>
          <w:rFonts w:hint="eastAsia" w:ascii="仿宋" w:hAnsi="仿宋" w:eastAsia="仿宋" w:cs="宋体"/>
          <w:sz w:val="28"/>
          <w:szCs w:val="28"/>
          <w:lang w:eastAsia="zh-CN"/>
        </w:rPr>
        <w:t xml:space="preserve">和 </w:t>
      </w:r>
      <w:r>
        <w:rPr>
          <w:rFonts w:hint="eastAsia" w:ascii="仿宋" w:hAnsi="仿宋" w:eastAsia="仿宋" w:cs="宋体"/>
          <w:sz w:val="28"/>
          <w:szCs w:val="28"/>
          <w:u w:val="single"/>
          <w:lang w:eastAsia="zh-CN"/>
        </w:rPr>
        <w:t xml:space="preserve"> （中标供应商名称）   </w:t>
      </w:r>
      <w:r>
        <w:rPr>
          <w:rFonts w:hint="eastAsia" w:ascii="仿宋" w:hAnsi="仿宋" w:eastAsia="仿宋" w:cs="宋体"/>
          <w:sz w:val="28"/>
          <w:szCs w:val="28"/>
          <w:lang w:val="zh-CN" w:eastAsia="zh-CN"/>
        </w:rPr>
        <w:t>(以下简称：乙方)</w:t>
      </w:r>
      <w:r>
        <w:rPr>
          <w:rFonts w:hint="eastAsia" w:ascii="仿宋" w:hAnsi="仿宋" w:eastAsia="仿宋" w:cs="宋体"/>
          <w:sz w:val="28"/>
          <w:szCs w:val="28"/>
          <w:lang w:eastAsia="zh-CN"/>
        </w:rPr>
        <w:t>根据《中华人民共和国民法典》、</w:t>
      </w:r>
      <w:r>
        <w:rPr>
          <w:rFonts w:hint="eastAsia" w:ascii="仿宋" w:hAnsi="仿宋" w:eastAsia="仿宋" w:cs="宋体"/>
          <w:sz w:val="28"/>
          <w:szCs w:val="28"/>
          <w:lang w:val="zh-CN" w:eastAsia="zh-CN"/>
        </w:rPr>
        <w:t>《中华人民共和国政府采购法》等相</w:t>
      </w:r>
      <w:r>
        <w:rPr>
          <w:rFonts w:hint="eastAsia" w:ascii="仿宋" w:hAnsi="仿宋" w:eastAsia="仿宋" w:cs="宋体"/>
          <w:sz w:val="28"/>
          <w:szCs w:val="28"/>
          <w:lang w:eastAsia="zh-CN"/>
        </w:rPr>
        <w:t>关法律法规，遵循平等、自愿、公平和诚实信用原则，同意按照下面的条款和条件订立本政府采购合同，共同信守。</w:t>
      </w:r>
    </w:p>
    <w:p w14:paraId="6D7FC502">
      <w:pPr>
        <w:keepNext w:val="0"/>
        <w:keepLines w:val="0"/>
        <w:pageBreakBefore w:val="0"/>
        <w:kinsoku/>
        <w:wordWrap/>
        <w:overflowPunct/>
        <w:topLinePunct w:val="0"/>
        <w:autoSpaceDE/>
        <w:autoSpaceDN/>
        <w:bidi w:val="0"/>
        <w:spacing w:line="520" w:lineRule="exact"/>
        <w:ind w:left="0" w:firstLine="562" w:firstLineChars="200"/>
        <w:textAlignment w:val="auto"/>
        <w:outlineLvl w:val="0"/>
        <w:rPr>
          <w:rFonts w:ascii="仿宋" w:hAnsi="仿宋" w:eastAsia="仿宋" w:cs="宋体"/>
          <w:b/>
          <w:sz w:val="28"/>
          <w:szCs w:val="28"/>
          <w:lang w:eastAsia="zh-CN"/>
        </w:rPr>
      </w:pPr>
      <w:r>
        <w:rPr>
          <w:rFonts w:hint="eastAsia" w:ascii="仿宋" w:hAnsi="仿宋" w:eastAsia="仿宋" w:cs="宋体"/>
          <w:b/>
          <w:sz w:val="28"/>
          <w:szCs w:val="28"/>
          <w:lang w:eastAsia="zh-CN"/>
        </w:rPr>
        <w:t>一、政府采购合同文件</w:t>
      </w:r>
    </w:p>
    <w:p w14:paraId="51F4687D">
      <w:pPr>
        <w:keepNext w:val="0"/>
        <w:keepLines w:val="0"/>
        <w:pageBreakBefore w:val="0"/>
        <w:kinsoku/>
        <w:wordWrap/>
        <w:overflowPunct/>
        <w:topLinePunct w:val="0"/>
        <w:autoSpaceDE/>
        <w:autoSpaceDN/>
        <w:bidi w:val="0"/>
        <w:spacing w:line="520" w:lineRule="exact"/>
        <w:ind w:left="0"/>
        <w:textAlignment w:val="auto"/>
        <w:rPr>
          <w:rFonts w:ascii="仿宋" w:hAnsi="仿宋" w:eastAsia="仿宋" w:cs="宋体"/>
          <w:sz w:val="28"/>
          <w:szCs w:val="28"/>
          <w:lang w:eastAsia="zh-CN"/>
        </w:rPr>
      </w:pPr>
      <w:r>
        <w:rPr>
          <w:rFonts w:hint="eastAsia" w:ascii="仿宋" w:hAnsi="仿宋" w:eastAsia="仿宋" w:cs="宋体"/>
          <w:sz w:val="28"/>
          <w:szCs w:val="28"/>
          <w:lang w:eastAsia="zh-CN"/>
        </w:rPr>
        <w:t xml:space="preserve">    本政府采购合同所附下列文件是构成本政府采购合同不可分割的部分：</w:t>
      </w:r>
    </w:p>
    <w:p w14:paraId="6EBFEC29">
      <w:pPr>
        <w:keepNext w:val="0"/>
        <w:keepLines w:val="0"/>
        <w:pageBreakBefore w:val="0"/>
        <w:kinsoku/>
        <w:wordWrap/>
        <w:overflowPunct/>
        <w:topLinePunct w:val="0"/>
        <w:autoSpaceDE/>
        <w:autoSpaceDN/>
        <w:bidi w:val="0"/>
        <w:spacing w:line="520" w:lineRule="exact"/>
        <w:ind w:left="0" w:firstLine="560" w:firstLineChars="200"/>
        <w:textAlignment w:val="auto"/>
        <w:rPr>
          <w:rFonts w:ascii="仿宋" w:hAnsi="仿宋" w:eastAsia="仿宋" w:cs="宋体"/>
          <w:sz w:val="28"/>
          <w:szCs w:val="28"/>
          <w:lang w:eastAsia="zh-CN"/>
        </w:rPr>
      </w:pPr>
      <w:r>
        <w:rPr>
          <w:rFonts w:hint="eastAsia" w:ascii="仿宋" w:hAnsi="仿宋" w:eastAsia="仿宋" w:cs="宋体"/>
          <w:sz w:val="28"/>
          <w:szCs w:val="28"/>
          <w:lang w:eastAsia="zh-CN"/>
        </w:rPr>
        <w:t>1.招标文件（含澄清或者修改文件）；</w:t>
      </w:r>
    </w:p>
    <w:p w14:paraId="506275D2">
      <w:pPr>
        <w:keepNext w:val="0"/>
        <w:keepLines w:val="0"/>
        <w:pageBreakBefore w:val="0"/>
        <w:kinsoku/>
        <w:wordWrap/>
        <w:overflowPunct/>
        <w:topLinePunct w:val="0"/>
        <w:autoSpaceDE/>
        <w:autoSpaceDN/>
        <w:bidi w:val="0"/>
        <w:spacing w:line="520" w:lineRule="exact"/>
        <w:ind w:left="0" w:firstLine="560" w:firstLineChars="200"/>
        <w:textAlignment w:val="auto"/>
        <w:rPr>
          <w:rFonts w:ascii="仿宋" w:hAnsi="仿宋" w:eastAsia="仿宋" w:cs="宋体"/>
          <w:sz w:val="28"/>
          <w:szCs w:val="28"/>
          <w:lang w:eastAsia="zh-CN"/>
        </w:rPr>
      </w:pPr>
      <w:r>
        <w:rPr>
          <w:rFonts w:hint="eastAsia" w:ascii="仿宋" w:hAnsi="仿宋" w:eastAsia="仿宋" w:cs="宋体"/>
          <w:sz w:val="28"/>
          <w:szCs w:val="28"/>
          <w:lang w:eastAsia="zh-CN"/>
        </w:rPr>
        <w:t>2.招标文件的更正公告、变更公告；</w:t>
      </w:r>
    </w:p>
    <w:p w14:paraId="2DA46EFD">
      <w:pPr>
        <w:keepNext w:val="0"/>
        <w:keepLines w:val="0"/>
        <w:pageBreakBefore w:val="0"/>
        <w:kinsoku/>
        <w:wordWrap/>
        <w:overflowPunct/>
        <w:topLinePunct w:val="0"/>
        <w:autoSpaceDE/>
        <w:autoSpaceDN/>
        <w:bidi w:val="0"/>
        <w:spacing w:line="520" w:lineRule="exact"/>
        <w:ind w:left="0" w:firstLine="560" w:firstLineChars="200"/>
        <w:textAlignment w:val="auto"/>
        <w:rPr>
          <w:rFonts w:ascii="仿宋" w:hAnsi="仿宋" w:eastAsia="仿宋" w:cs="宋体"/>
          <w:sz w:val="28"/>
          <w:szCs w:val="28"/>
          <w:lang w:eastAsia="zh-CN"/>
        </w:rPr>
      </w:pPr>
      <w:r>
        <w:rPr>
          <w:rFonts w:hint="eastAsia" w:ascii="仿宋" w:hAnsi="仿宋" w:eastAsia="仿宋" w:cs="宋体"/>
          <w:sz w:val="28"/>
          <w:szCs w:val="28"/>
          <w:lang w:eastAsia="zh-CN"/>
        </w:rPr>
        <w:t>3.乙方提交的投标文件（含澄清或者说明文件）；</w:t>
      </w:r>
    </w:p>
    <w:p w14:paraId="04CAEC9B">
      <w:pPr>
        <w:keepNext w:val="0"/>
        <w:keepLines w:val="0"/>
        <w:pageBreakBefore w:val="0"/>
        <w:kinsoku/>
        <w:wordWrap/>
        <w:overflowPunct/>
        <w:topLinePunct w:val="0"/>
        <w:autoSpaceDE/>
        <w:autoSpaceDN/>
        <w:bidi w:val="0"/>
        <w:spacing w:line="520" w:lineRule="exact"/>
        <w:ind w:left="0" w:firstLine="560" w:firstLineChars="200"/>
        <w:textAlignment w:val="auto"/>
        <w:rPr>
          <w:rFonts w:ascii="仿宋" w:hAnsi="仿宋" w:eastAsia="仿宋" w:cs="宋体"/>
          <w:sz w:val="28"/>
          <w:szCs w:val="28"/>
          <w:lang w:eastAsia="zh-CN"/>
        </w:rPr>
      </w:pPr>
      <w:r>
        <w:rPr>
          <w:rFonts w:hint="eastAsia" w:ascii="仿宋" w:hAnsi="仿宋" w:eastAsia="仿宋" w:cs="宋体"/>
          <w:sz w:val="28"/>
          <w:szCs w:val="28"/>
          <w:lang w:eastAsia="zh-CN"/>
        </w:rPr>
        <w:t>4.政府采购合同条款；</w:t>
      </w:r>
    </w:p>
    <w:p w14:paraId="377831B4">
      <w:pPr>
        <w:keepNext w:val="0"/>
        <w:keepLines w:val="0"/>
        <w:pageBreakBefore w:val="0"/>
        <w:kinsoku/>
        <w:wordWrap/>
        <w:overflowPunct/>
        <w:topLinePunct w:val="0"/>
        <w:autoSpaceDE/>
        <w:autoSpaceDN/>
        <w:bidi w:val="0"/>
        <w:spacing w:line="520" w:lineRule="exact"/>
        <w:ind w:left="0" w:firstLine="560" w:firstLineChars="200"/>
        <w:textAlignment w:val="auto"/>
        <w:rPr>
          <w:rFonts w:ascii="仿宋" w:hAnsi="仿宋" w:eastAsia="仿宋" w:cs="宋体"/>
          <w:sz w:val="28"/>
          <w:szCs w:val="28"/>
          <w:lang w:eastAsia="zh-CN"/>
        </w:rPr>
      </w:pPr>
      <w:r>
        <w:rPr>
          <w:rFonts w:hint="eastAsia" w:ascii="仿宋" w:hAnsi="仿宋" w:eastAsia="仿宋" w:cs="宋体"/>
          <w:sz w:val="28"/>
          <w:szCs w:val="28"/>
          <w:lang w:eastAsia="zh-CN"/>
        </w:rPr>
        <w:t>5.中标通知书；</w:t>
      </w:r>
    </w:p>
    <w:p w14:paraId="7883CB38">
      <w:pPr>
        <w:keepNext w:val="0"/>
        <w:keepLines w:val="0"/>
        <w:pageBreakBefore w:val="0"/>
        <w:kinsoku/>
        <w:wordWrap/>
        <w:overflowPunct/>
        <w:topLinePunct w:val="0"/>
        <w:autoSpaceDE/>
        <w:autoSpaceDN/>
        <w:bidi w:val="0"/>
        <w:spacing w:line="520" w:lineRule="exact"/>
        <w:ind w:left="0" w:firstLine="560" w:firstLineChars="200"/>
        <w:textAlignment w:val="auto"/>
        <w:rPr>
          <w:rFonts w:ascii="仿宋" w:hAnsi="仿宋" w:eastAsia="仿宋" w:cs="宋体"/>
          <w:sz w:val="28"/>
          <w:szCs w:val="28"/>
          <w:lang w:eastAsia="zh-CN"/>
        </w:rPr>
      </w:pPr>
      <w:r>
        <w:rPr>
          <w:rFonts w:hint="eastAsia" w:ascii="仿宋" w:hAnsi="仿宋" w:eastAsia="仿宋" w:cs="宋体"/>
          <w:sz w:val="28"/>
          <w:szCs w:val="28"/>
          <w:lang w:eastAsia="zh-CN"/>
        </w:rPr>
        <w:t>6.政府采购合同的其它附件。</w:t>
      </w:r>
    </w:p>
    <w:p w14:paraId="4B55D202">
      <w:pPr>
        <w:keepNext w:val="0"/>
        <w:keepLines w:val="0"/>
        <w:pageBreakBefore w:val="0"/>
        <w:kinsoku/>
        <w:wordWrap/>
        <w:overflowPunct/>
        <w:topLinePunct w:val="0"/>
        <w:autoSpaceDE/>
        <w:autoSpaceDN/>
        <w:bidi w:val="0"/>
        <w:spacing w:line="520" w:lineRule="exact"/>
        <w:ind w:left="0" w:firstLine="562" w:firstLineChars="200"/>
        <w:textAlignment w:val="auto"/>
        <w:outlineLvl w:val="0"/>
        <w:rPr>
          <w:rFonts w:ascii="仿宋" w:hAnsi="仿宋" w:eastAsia="仿宋" w:cs="宋体"/>
          <w:b/>
          <w:sz w:val="28"/>
          <w:szCs w:val="28"/>
          <w:lang w:eastAsia="zh-CN"/>
        </w:rPr>
      </w:pPr>
      <w:r>
        <w:rPr>
          <w:rFonts w:hint="eastAsia" w:ascii="仿宋" w:hAnsi="仿宋" w:eastAsia="仿宋" w:cs="宋体"/>
          <w:b/>
          <w:sz w:val="28"/>
          <w:szCs w:val="28"/>
          <w:lang w:eastAsia="zh-CN"/>
        </w:rPr>
        <w:t>二、政府采购合同范围和条件</w:t>
      </w:r>
    </w:p>
    <w:p w14:paraId="187BE939">
      <w:pPr>
        <w:keepNext w:val="0"/>
        <w:keepLines w:val="0"/>
        <w:pageBreakBefore w:val="0"/>
        <w:kinsoku/>
        <w:wordWrap/>
        <w:overflowPunct/>
        <w:topLinePunct w:val="0"/>
        <w:autoSpaceDE/>
        <w:autoSpaceDN/>
        <w:bidi w:val="0"/>
        <w:spacing w:line="520" w:lineRule="exact"/>
        <w:ind w:left="0"/>
        <w:textAlignment w:val="auto"/>
        <w:rPr>
          <w:rFonts w:ascii="仿宋" w:hAnsi="仿宋" w:eastAsia="仿宋" w:cs="宋体"/>
          <w:sz w:val="28"/>
          <w:szCs w:val="28"/>
          <w:lang w:eastAsia="zh-CN"/>
        </w:rPr>
      </w:pPr>
      <w:r>
        <w:rPr>
          <w:rFonts w:hint="eastAsia" w:ascii="仿宋" w:hAnsi="仿宋" w:eastAsia="仿宋" w:cs="宋体"/>
          <w:sz w:val="28"/>
          <w:szCs w:val="28"/>
          <w:lang w:eastAsia="zh-CN"/>
        </w:rPr>
        <w:t xml:space="preserve">    本政府采购合同的范围和条件与上述政府采购合同文件的规定相一致。</w:t>
      </w:r>
    </w:p>
    <w:p w14:paraId="36F1100F">
      <w:pPr>
        <w:keepNext w:val="0"/>
        <w:keepLines w:val="0"/>
        <w:pageBreakBefore w:val="0"/>
        <w:kinsoku/>
        <w:wordWrap/>
        <w:overflowPunct/>
        <w:topLinePunct w:val="0"/>
        <w:autoSpaceDE/>
        <w:autoSpaceDN/>
        <w:bidi w:val="0"/>
        <w:spacing w:line="520" w:lineRule="exact"/>
        <w:ind w:left="0" w:firstLine="562" w:firstLineChars="200"/>
        <w:textAlignment w:val="auto"/>
        <w:outlineLvl w:val="0"/>
        <w:rPr>
          <w:rFonts w:ascii="仿宋" w:hAnsi="仿宋" w:eastAsia="仿宋" w:cs="宋体"/>
          <w:b/>
          <w:sz w:val="28"/>
          <w:szCs w:val="28"/>
          <w:lang w:eastAsia="zh-CN"/>
        </w:rPr>
      </w:pPr>
      <w:r>
        <w:rPr>
          <w:rFonts w:hint="eastAsia" w:ascii="仿宋" w:hAnsi="仿宋" w:eastAsia="仿宋" w:cs="宋体"/>
          <w:b/>
          <w:sz w:val="28"/>
          <w:szCs w:val="28"/>
          <w:lang w:eastAsia="zh-CN"/>
        </w:rPr>
        <w:t>三、政府采购合同标的</w:t>
      </w:r>
    </w:p>
    <w:p w14:paraId="26A580AE">
      <w:pPr>
        <w:keepNext w:val="0"/>
        <w:keepLines w:val="0"/>
        <w:pageBreakBefore w:val="0"/>
        <w:kinsoku/>
        <w:wordWrap/>
        <w:overflowPunct/>
        <w:topLinePunct w:val="0"/>
        <w:autoSpaceDE/>
        <w:autoSpaceDN/>
        <w:bidi w:val="0"/>
        <w:spacing w:line="520" w:lineRule="exact"/>
        <w:ind w:left="0"/>
        <w:textAlignment w:val="auto"/>
        <w:rPr>
          <w:rFonts w:ascii="仿宋" w:hAnsi="仿宋" w:eastAsia="仿宋" w:cs="宋体"/>
          <w:sz w:val="28"/>
          <w:szCs w:val="28"/>
          <w:lang w:eastAsia="zh-CN"/>
        </w:rPr>
      </w:pPr>
      <w:r>
        <w:rPr>
          <w:rFonts w:hint="eastAsia" w:ascii="仿宋" w:hAnsi="仿宋" w:eastAsia="仿宋" w:cs="宋体"/>
          <w:sz w:val="28"/>
          <w:szCs w:val="28"/>
          <w:lang w:eastAsia="zh-CN"/>
        </w:rPr>
        <w:t xml:space="preserve">    本政府采购合同的标的为政府采购合同货物清单(同投标文件中的开标一览表/分项报价明细表)中所列货物及相关服务。</w:t>
      </w:r>
    </w:p>
    <w:p w14:paraId="06E4A750">
      <w:pPr>
        <w:keepNext w:val="0"/>
        <w:keepLines w:val="0"/>
        <w:pageBreakBefore w:val="0"/>
        <w:kinsoku/>
        <w:wordWrap/>
        <w:overflowPunct/>
        <w:topLinePunct w:val="0"/>
        <w:autoSpaceDE/>
        <w:autoSpaceDN/>
        <w:bidi w:val="0"/>
        <w:snapToGrid/>
        <w:spacing w:line="520" w:lineRule="exact"/>
        <w:ind w:left="0" w:firstLine="562" w:firstLineChars="200"/>
        <w:textAlignment w:val="auto"/>
        <w:outlineLvl w:val="0"/>
        <w:rPr>
          <w:rFonts w:ascii="仿宋" w:hAnsi="仿宋" w:eastAsia="仿宋" w:cs="宋体"/>
          <w:b/>
          <w:sz w:val="28"/>
          <w:szCs w:val="28"/>
        </w:rPr>
      </w:pPr>
      <w:r>
        <w:rPr>
          <w:rFonts w:hint="eastAsia" w:ascii="仿宋" w:hAnsi="仿宋" w:eastAsia="仿宋" w:cs="宋体"/>
          <w:b/>
          <w:sz w:val="28"/>
          <w:szCs w:val="28"/>
        </w:rPr>
        <w:t>四、政府采购合同金额</w:t>
      </w:r>
    </w:p>
    <w:p w14:paraId="34759347">
      <w:pPr>
        <w:keepNext w:val="0"/>
        <w:keepLines w:val="0"/>
        <w:pageBreakBefore w:val="0"/>
        <w:kinsoku/>
        <w:wordWrap/>
        <w:overflowPunct/>
        <w:topLinePunct w:val="0"/>
        <w:autoSpaceDE/>
        <w:autoSpaceDN/>
        <w:bidi w:val="0"/>
        <w:snapToGrid/>
        <w:spacing w:line="520" w:lineRule="exact"/>
        <w:ind w:left="0"/>
        <w:textAlignment w:val="auto"/>
        <w:rPr>
          <w:rFonts w:ascii="仿宋" w:hAnsi="仿宋" w:eastAsia="仿宋" w:cs="宋体"/>
          <w:b/>
          <w:color w:val="auto"/>
          <w:sz w:val="28"/>
          <w:szCs w:val="28"/>
          <w:lang w:eastAsia="zh-CN"/>
        </w:rPr>
      </w:pPr>
      <w:r>
        <w:rPr>
          <w:rFonts w:hint="eastAsia" w:ascii="仿宋" w:hAnsi="仿宋" w:eastAsia="仿宋" w:cs="宋体"/>
          <w:sz w:val="28"/>
          <w:szCs w:val="28"/>
          <w:lang w:eastAsia="zh-CN"/>
        </w:rPr>
        <w:t xml:space="preserve">    根据上述政府采购合同文件要求，政府采购合同的总金额为人民</w:t>
      </w:r>
      <w:r>
        <w:rPr>
          <w:rFonts w:hint="eastAsia" w:ascii="仿宋" w:hAnsi="仿宋" w:eastAsia="仿宋" w:cs="宋体"/>
          <w:color w:val="auto"/>
          <w:sz w:val="28"/>
          <w:szCs w:val="28"/>
          <w:lang w:eastAsia="zh-CN"/>
        </w:rPr>
        <w:t>币</w:t>
      </w:r>
      <w:r>
        <w:rPr>
          <w:rFonts w:hint="eastAsia" w:ascii="仿宋" w:hAnsi="仿宋" w:eastAsia="仿宋" w:cs="宋体"/>
          <w:color w:val="auto"/>
          <w:sz w:val="28"/>
          <w:szCs w:val="28"/>
          <w:u w:val="single"/>
          <w:lang w:eastAsia="zh-CN"/>
        </w:rPr>
        <w:t xml:space="preserve"> </w:t>
      </w:r>
      <w:r>
        <w:rPr>
          <w:rFonts w:hint="eastAsia" w:ascii="仿宋" w:hAnsi="仿宋" w:eastAsia="仿宋" w:cs="宋体"/>
          <w:color w:val="auto"/>
          <w:sz w:val="28"/>
          <w:szCs w:val="28"/>
          <w:u w:val="single"/>
          <w:lang w:val="en-US" w:eastAsia="zh-CN"/>
        </w:rPr>
        <w:t xml:space="preserve">        </w:t>
      </w:r>
      <w:r>
        <w:rPr>
          <w:rFonts w:hint="eastAsia" w:ascii="仿宋" w:hAnsi="仿宋" w:eastAsia="仿宋" w:cs="宋体"/>
          <w:color w:val="auto"/>
          <w:sz w:val="28"/>
          <w:szCs w:val="28"/>
          <w:u w:val="single"/>
          <w:lang w:eastAsia="zh-CN"/>
        </w:rPr>
        <w:t xml:space="preserve"> </w:t>
      </w:r>
      <w:r>
        <w:rPr>
          <w:rFonts w:hint="eastAsia" w:ascii="仿宋" w:hAnsi="仿宋" w:eastAsia="仿宋" w:cs="宋体"/>
          <w:color w:val="auto"/>
          <w:sz w:val="28"/>
          <w:szCs w:val="28"/>
          <w:lang w:eastAsia="zh-CN"/>
        </w:rPr>
        <w:t>元/年(大写:</w:t>
      </w:r>
      <w:r>
        <w:rPr>
          <w:rFonts w:hint="eastAsia" w:ascii="仿宋" w:hAnsi="仿宋" w:eastAsia="仿宋" w:cs="宋体"/>
          <w:color w:val="auto"/>
          <w:sz w:val="28"/>
          <w:szCs w:val="28"/>
          <w:u w:val="single"/>
          <w:lang w:eastAsia="zh-CN"/>
        </w:rPr>
        <w:t xml:space="preserve"> </w:t>
      </w:r>
      <w:r>
        <w:rPr>
          <w:rFonts w:hint="eastAsia" w:ascii="仿宋" w:hAnsi="仿宋" w:eastAsia="仿宋" w:cs="宋体"/>
          <w:color w:val="auto"/>
          <w:sz w:val="28"/>
          <w:szCs w:val="28"/>
          <w:u w:val="single"/>
          <w:lang w:val="en-US" w:eastAsia="zh-CN"/>
        </w:rPr>
        <w:t xml:space="preserve">          </w:t>
      </w:r>
      <w:r>
        <w:rPr>
          <w:rFonts w:hint="eastAsia" w:ascii="仿宋" w:hAnsi="仿宋" w:eastAsia="仿宋" w:cs="宋体"/>
          <w:color w:val="auto"/>
          <w:sz w:val="28"/>
          <w:szCs w:val="28"/>
          <w:u w:val="single"/>
          <w:lang w:eastAsia="zh-CN"/>
        </w:rPr>
        <w:t xml:space="preserve">  </w:t>
      </w:r>
      <w:r>
        <w:rPr>
          <w:rFonts w:hint="eastAsia" w:ascii="仿宋" w:hAnsi="仿宋" w:eastAsia="仿宋" w:cs="宋体"/>
          <w:color w:val="auto"/>
          <w:sz w:val="28"/>
          <w:szCs w:val="28"/>
          <w:lang w:eastAsia="zh-CN"/>
        </w:rPr>
        <w:t>)。 （此合同价指验收合格并将货物送到交货地点的全部货款）</w:t>
      </w:r>
    </w:p>
    <w:p w14:paraId="14880524">
      <w:pPr>
        <w:keepNext w:val="0"/>
        <w:keepLines w:val="0"/>
        <w:pageBreakBefore w:val="0"/>
        <w:numPr>
          <w:ilvl w:val="0"/>
          <w:numId w:val="1"/>
        </w:numPr>
        <w:kinsoku/>
        <w:wordWrap/>
        <w:overflowPunct/>
        <w:topLinePunct w:val="0"/>
        <w:autoSpaceDE/>
        <w:autoSpaceDN/>
        <w:bidi w:val="0"/>
        <w:snapToGrid/>
        <w:spacing w:line="520" w:lineRule="exact"/>
        <w:ind w:left="0" w:firstLine="562" w:firstLineChars="200"/>
        <w:textAlignment w:val="auto"/>
        <w:outlineLvl w:val="0"/>
        <w:rPr>
          <w:rFonts w:hint="eastAsia" w:ascii="仿宋" w:hAnsi="仿宋" w:eastAsia="仿宋" w:cs="宋体"/>
          <w:b/>
          <w:color w:val="auto"/>
          <w:sz w:val="28"/>
          <w:szCs w:val="28"/>
          <w:lang w:eastAsia="zh-CN"/>
        </w:rPr>
      </w:pPr>
      <w:r>
        <w:rPr>
          <w:rFonts w:hint="eastAsia" w:ascii="仿宋" w:hAnsi="仿宋" w:eastAsia="仿宋" w:cs="宋体"/>
          <w:b/>
          <w:color w:val="auto"/>
          <w:sz w:val="28"/>
          <w:szCs w:val="28"/>
          <w:lang w:eastAsia="zh-CN"/>
        </w:rPr>
        <w:t>付款方式</w:t>
      </w:r>
    </w:p>
    <w:p w14:paraId="2BFB3CCD">
      <w:pPr>
        <w:keepNext w:val="0"/>
        <w:keepLines w:val="0"/>
        <w:pageBreakBefore w:val="0"/>
        <w:kinsoku/>
        <w:wordWrap/>
        <w:overflowPunct/>
        <w:topLinePunct w:val="0"/>
        <w:autoSpaceDE/>
        <w:autoSpaceDN/>
        <w:bidi w:val="0"/>
        <w:snapToGrid/>
        <w:spacing w:line="520" w:lineRule="exact"/>
        <w:ind w:left="0" w:firstLine="560" w:firstLineChars="200"/>
        <w:textAlignment w:val="auto"/>
        <w:rPr>
          <w:rFonts w:hint="eastAsia" w:ascii="仿宋" w:hAnsi="仿宋" w:eastAsia="仿宋" w:cs="宋体"/>
          <w:color w:val="auto"/>
          <w:sz w:val="28"/>
          <w:szCs w:val="28"/>
          <w:lang w:eastAsia="zh-CN"/>
        </w:rPr>
      </w:pPr>
      <w:r>
        <w:rPr>
          <w:rFonts w:hint="eastAsia" w:ascii="仿宋" w:hAnsi="仿宋" w:eastAsia="仿宋" w:cs="宋体"/>
          <w:color w:val="auto"/>
          <w:sz w:val="28"/>
          <w:szCs w:val="28"/>
          <w:lang w:eastAsia="zh-CN"/>
        </w:rPr>
        <w:t>物业服务费按月支付，月费用为￥</w:t>
      </w:r>
      <w:r>
        <w:rPr>
          <w:rFonts w:hint="eastAsia" w:ascii="仿宋" w:hAnsi="仿宋" w:eastAsia="仿宋" w:cs="宋体"/>
          <w:color w:val="auto"/>
          <w:sz w:val="28"/>
          <w:szCs w:val="28"/>
          <w:u w:val="single"/>
          <w:lang w:val="en-US" w:eastAsia="zh-CN"/>
        </w:rPr>
        <w:t xml:space="preserve">      </w:t>
      </w:r>
      <w:r>
        <w:rPr>
          <w:rFonts w:hint="eastAsia" w:ascii="仿宋" w:hAnsi="仿宋" w:eastAsia="仿宋" w:cs="宋体"/>
          <w:color w:val="auto"/>
          <w:sz w:val="28"/>
          <w:szCs w:val="28"/>
          <w:lang w:val="en-US" w:eastAsia="zh-CN"/>
        </w:rPr>
        <w:t>元/月。</w:t>
      </w:r>
      <w:r>
        <w:rPr>
          <w:rFonts w:hint="eastAsia" w:ascii="仿宋" w:hAnsi="仿宋" w:eastAsia="仿宋" w:cs="宋体"/>
          <w:color w:val="auto"/>
          <w:sz w:val="28"/>
          <w:szCs w:val="28"/>
          <w:lang w:eastAsia="zh-CN"/>
        </w:rPr>
        <w:t>付款时间为：从合同签订之日起，每月根据考评结果支付上月服务费，甲方在收到乙方的付款申请、有效发票和考评结果后5个工作日内向乙方支付上月物业服务费。</w:t>
      </w:r>
    </w:p>
    <w:p w14:paraId="4C9AF5A9">
      <w:pPr>
        <w:keepNext w:val="0"/>
        <w:keepLines w:val="0"/>
        <w:pageBreakBefore w:val="0"/>
        <w:kinsoku/>
        <w:wordWrap/>
        <w:overflowPunct/>
        <w:topLinePunct w:val="0"/>
        <w:autoSpaceDE/>
        <w:autoSpaceDN/>
        <w:bidi w:val="0"/>
        <w:snapToGrid/>
        <w:spacing w:line="520" w:lineRule="exact"/>
        <w:ind w:left="0" w:firstLine="562" w:firstLineChars="200"/>
        <w:textAlignment w:val="auto"/>
        <w:outlineLvl w:val="0"/>
        <w:rPr>
          <w:rFonts w:ascii="仿宋" w:hAnsi="仿宋" w:eastAsia="仿宋" w:cs="宋体"/>
          <w:b/>
          <w:color w:val="auto"/>
          <w:sz w:val="28"/>
          <w:szCs w:val="28"/>
          <w:lang w:eastAsia="zh-CN"/>
        </w:rPr>
      </w:pPr>
      <w:r>
        <w:rPr>
          <w:rFonts w:hint="eastAsia" w:ascii="仿宋" w:hAnsi="仿宋" w:eastAsia="仿宋" w:cs="宋体"/>
          <w:b/>
          <w:color w:val="auto"/>
          <w:sz w:val="28"/>
          <w:szCs w:val="28"/>
          <w:lang w:eastAsia="zh-CN"/>
        </w:rPr>
        <w:t>六、交付/履约时间、交付/履约地点和方式</w:t>
      </w:r>
    </w:p>
    <w:p w14:paraId="462E386B">
      <w:pPr>
        <w:keepNext w:val="0"/>
        <w:keepLines w:val="0"/>
        <w:pageBreakBefore w:val="0"/>
        <w:widowControl w:val="0"/>
        <w:kinsoku/>
        <w:wordWrap/>
        <w:overflowPunct/>
        <w:topLinePunct w:val="0"/>
        <w:autoSpaceDE/>
        <w:autoSpaceDN/>
        <w:bidi w:val="0"/>
        <w:adjustRightInd w:val="0"/>
        <w:snapToGrid w:val="0"/>
        <w:spacing w:line="520" w:lineRule="exact"/>
        <w:ind w:left="0" w:firstLine="560" w:firstLineChars="200"/>
        <w:textAlignment w:val="auto"/>
        <w:rPr>
          <w:rFonts w:hint="eastAsia" w:ascii="仿宋" w:hAnsi="仿宋" w:eastAsia="仿宋" w:cs="宋体"/>
          <w:color w:val="auto"/>
          <w:sz w:val="28"/>
          <w:szCs w:val="28"/>
          <w:lang w:eastAsia="zh-CN"/>
        </w:rPr>
      </w:pPr>
      <w:r>
        <w:rPr>
          <w:rFonts w:hint="eastAsia" w:ascii="仿宋" w:hAnsi="仿宋" w:eastAsia="仿宋" w:cs="宋体"/>
          <w:color w:val="auto"/>
          <w:sz w:val="28"/>
          <w:szCs w:val="28"/>
          <w:lang w:eastAsia="zh-CN"/>
        </w:rPr>
        <w:t>服务期：服务期限为签订合同之日起三年</w:t>
      </w:r>
      <w:r>
        <w:rPr>
          <w:rFonts w:hint="eastAsia" w:ascii="仿宋" w:hAnsi="仿宋" w:eastAsia="仿宋" w:cs="宋体"/>
          <w:color w:val="auto"/>
          <w:sz w:val="28"/>
          <w:szCs w:val="28"/>
          <w:lang w:val="en-US" w:eastAsia="zh-CN"/>
        </w:rPr>
        <w:t xml:space="preserve"> </w:t>
      </w:r>
      <w:r>
        <w:rPr>
          <w:rFonts w:hint="eastAsia" w:ascii="仿宋" w:hAnsi="仿宋" w:eastAsia="仿宋" w:cs="宋体"/>
          <w:color w:val="auto"/>
          <w:sz w:val="28"/>
          <w:szCs w:val="28"/>
          <w:lang w:eastAsia="zh-CN"/>
        </w:rPr>
        <w:t>（即</w:t>
      </w:r>
      <w:r>
        <w:rPr>
          <w:rFonts w:hint="eastAsia" w:ascii="仿宋" w:hAnsi="仿宋" w:eastAsia="仿宋" w:cs="宋体"/>
          <w:color w:val="auto"/>
          <w:sz w:val="28"/>
          <w:szCs w:val="28"/>
          <w:u w:val="single"/>
          <w:lang w:val="en-US" w:eastAsia="zh-CN"/>
        </w:rPr>
        <w:t xml:space="preserve"> </w:t>
      </w:r>
      <w:bookmarkStart w:id="0" w:name="_GoBack"/>
      <w:bookmarkEnd w:id="0"/>
      <w:r>
        <w:rPr>
          <w:rFonts w:hint="eastAsia" w:ascii="仿宋" w:hAnsi="仿宋" w:eastAsia="仿宋" w:cs="宋体"/>
          <w:color w:val="auto"/>
          <w:sz w:val="28"/>
          <w:szCs w:val="28"/>
          <w:u w:val="single"/>
          <w:lang w:val="en-US" w:eastAsia="zh-CN"/>
        </w:rPr>
        <w:t xml:space="preserve">    </w:t>
      </w:r>
      <w:r>
        <w:rPr>
          <w:rFonts w:hint="eastAsia" w:ascii="仿宋" w:hAnsi="仿宋" w:eastAsia="仿宋" w:cs="宋体"/>
          <w:color w:val="auto"/>
          <w:sz w:val="28"/>
          <w:szCs w:val="28"/>
          <w:lang w:eastAsia="zh-CN"/>
        </w:rPr>
        <w:t>年</w:t>
      </w:r>
      <w:r>
        <w:rPr>
          <w:rFonts w:hint="eastAsia" w:ascii="仿宋" w:hAnsi="仿宋" w:eastAsia="仿宋" w:cs="宋体"/>
          <w:color w:val="auto"/>
          <w:sz w:val="28"/>
          <w:szCs w:val="28"/>
          <w:u w:val="single"/>
          <w:lang w:val="en-US" w:eastAsia="zh-CN"/>
        </w:rPr>
        <w:t xml:space="preserve">  </w:t>
      </w:r>
      <w:r>
        <w:rPr>
          <w:rFonts w:hint="eastAsia" w:ascii="仿宋" w:hAnsi="仿宋" w:eastAsia="仿宋" w:cs="宋体"/>
          <w:color w:val="auto"/>
          <w:sz w:val="28"/>
          <w:szCs w:val="28"/>
          <w:lang w:eastAsia="zh-CN"/>
        </w:rPr>
        <w:t>月</w:t>
      </w:r>
      <w:r>
        <w:rPr>
          <w:rFonts w:hint="eastAsia" w:ascii="仿宋" w:hAnsi="仿宋" w:eastAsia="仿宋" w:cs="宋体"/>
          <w:color w:val="auto"/>
          <w:sz w:val="28"/>
          <w:szCs w:val="28"/>
          <w:u w:val="single"/>
          <w:lang w:val="en-US" w:eastAsia="zh-CN"/>
        </w:rPr>
        <w:t xml:space="preserve">  </w:t>
      </w:r>
      <w:r>
        <w:rPr>
          <w:rFonts w:hint="eastAsia" w:ascii="仿宋" w:hAnsi="仿宋" w:eastAsia="仿宋" w:cs="宋体"/>
          <w:color w:val="auto"/>
          <w:sz w:val="28"/>
          <w:szCs w:val="28"/>
          <w:lang w:eastAsia="zh-CN"/>
        </w:rPr>
        <w:t>日至</w:t>
      </w:r>
      <w:r>
        <w:rPr>
          <w:rFonts w:hint="eastAsia" w:ascii="仿宋" w:hAnsi="仿宋" w:eastAsia="仿宋" w:cs="宋体"/>
          <w:color w:val="auto"/>
          <w:sz w:val="28"/>
          <w:szCs w:val="28"/>
          <w:u w:val="single"/>
          <w:lang w:val="en-US" w:eastAsia="zh-CN"/>
        </w:rPr>
        <w:t xml:space="preserve">     </w:t>
      </w:r>
      <w:r>
        <w:rPr>
          <w:rFonts w:hint="eastAsia" w:ascii="仿宋" w:hAnsi="仿宋" w:eastAsia="仿宋" w:cs="宋体"/>
          <w:color w:val="auto"/>
          <w:sz w:val="28"/>
          <w:szCs w:val="28"/>
          <w:lang w:val="en-US" w:eastAsia="zh-CN"/>
        </w:rPr>
        <w:t>年</w:t>
      </w:r>
      <w:r>
        <w:rPr>
          <w:rFonts w:hint="eastAsia" w:ascii="仿宋" w:hAnsi="仿宋" w:eastAsia="仿宋" w:cs="宋体"/>
          <w:color w:val="auto"/>
          <w:sz w:val="28"/>
          <w:szCs w:val="28"/>
          <w:u w:val="single"/>
          <w:lang w:val="en-US" w:eastAsia="zh-CN"/>
        </w:rPr>
        <w:t xml:space="preserve">  </w:t>
      </w:r>
      <w:r>
        <w:rPr>
          <w:rFonts w:hint="eastAsia" w:ascii="仿宋" w:hAnsi="仿宋" w:eastAsia="仿宋" w:cs="宋体"/>
          <w:color w:val="auto"/>
          <w:sz w:val="28"/>
          <w:szCs w:val="28"/>
          <w:lang w:eastAsia="zh-CN"/>
        </w:rPr>
        <w:t>月</w:t>
      </w:r>
      <w:r>
        <w:rPr>
          <w:rFonts w:hint="eastAsia" w:ascii="仿宋" w:hAnsi="仿宋" w:eastAsia="仿宋" w:cs="宋体"/>
          <w:color w:val="auto"/>
          <w:sz w:val="28"/>
          <w:szCs w:val="28"/>
          <w:u w:val="single"/>
          <w:lang w:val="en-US" w:eastAsia="zh-CN"/>
        </w:rPr>
        <w:t xml:space="preserve">  </w:t>
      </w:r>
      <w:r>
        <w:rPr>
          <w:rFonts w:hint="eastAsia" w:ascii="仿宋" w:hAnsi="仿宋" w:eastAsia="仿宋" w:cs="宋体"/>
          <w:color w:val="auto"/>
          <w:sz w:val="28"/>
          <w:szCs w:val="28"/>
          <w:lang w:eastAsia="zh-CN"/>
        </w:rPr>
        <w:t>日止），合同期届满后，如甲方尚未确定新的物业服务企业，双方继续签订补充合同至甲方确定新的物业服务企业止。</w:t>
      </w:r>
    </w:p>
    <w:p w14:paraId="0A94D71F">
      <w:pPr>
        <w:keepNext w:val="0"/>
        <w:keepLines w:val="0"/>
        <w:pageBreakBefore w:val="0"/>
        <w:kinsoku/>
        <w:wordWrap/>
        <w:overflowPunct/>
        <w:topLinePunct w:val="0"/>
        <w:autoSpaceDE/>
        <w:autoSpaceDN/>
        <w:bidi w:val="0"/>
        <w:snapToGrid/>
        <w:spacing w:line="520" w:lineRule="exact"/>
        <w:ind w:left="0" w:firstLine="560" w:firstLineChars="200"/>
        <w:textAlignment w:val="auto"/>
        <w:rPr>
          <w:rFonts w:hint="eastAsia" w:ascii="仿宋" w:hAnsi="仿宋" w:eastAsia="仿宋" w:cs="宋体"/>
          <w:color w:val="auto"/>
          <w:sz w:val="28"/>
          <w:szCs w:val="28"/>
          <w:lang w:val="en-US" w:eastAsia="zh-CN"/>
        </w:rPr>
      </w:pPr>
      <w:r>
        <w:rPr>
          <w:rFonts w:hint="eastAsia" w:ascii="仿宋" w:hAnsi="仿宋" w:eastAsia="仿宋" w:cs="宋体"/>
          <w:color w:val="auto"/>
          <w:sz w:val="28"/>
          <w:szCs w:val="28"/>
          <w:lang w:eastAsia="zh-CN"/>
        </w:rPr>
        <w:t>服务地点：海南省白沙黎族自治县</w:t>
      </w:r>
      <w:r>
        <w:rPr>
          <w:rFonts w:hint="eastAsia" w:ascii="仿宋" w:hAnsi="仿宋" w:eastAsia="仿宋" w:cs="宋体"/>
          <w:color w:val="auto"/>
          <w:sz w:val="28"/>
          <w:szCs w:val="28"/>
          <w:lang w:val="en-US" w:eastAsia="zh-CN"/>
        </w:rPr>
        <w:t>阳光、方亮、碧绿、南湖一区、南湖二区五个公租房小区。</w:t>
      </w:r>
    </w:p>
    <w:p w14:paraId="614DEC54">
      <w:pPr>
        <w:pStyle w:val="13"/>
        <w:keepNext w:val="0"/>
        <w:keepLines w:val="0"/>
        <w:pageBreakBefore w:val="0"/>
        <w:kinsoku/>
        <w:wordWrap/>
        <w:overflowPunct/>
        <w:topLinePunct w:val="0"/>
        <w:autoSpaceDE/>
        <w:autoSpaceDN/>
        <w:bidi w:val="0"/>
        <w:spacing w:line="520" w:lineRule="exact"/>
        <w:ind w:left="0" w:firstLine="552"/>
        <w:jc w:val="left"/>
        <w:textAlignment w:val="auto"/>
      </w:pPr>
      <w:r>
        <w:rPr>
          <w:rFonts w:hint="eastAsia" w:ascii="仿宋" w:hAnsi="仿宋" w:eastAsia="仿宋" w:cs="宋体"/>
          <w:b/>
          <w:color w:val="auto"/>
          <w:sz w:val="28"/>
          <w:szCs w:val="28"/>
          <w:lang w:eastAsia="zh-CN"/>
        </w:rPr>
        <w:t>七、人员需求</w:t>
      </w:r>
    </w:p>
    <w:tbl>
      <w:tblPr>
        <w:tblStyle w:val="9"/>
        <w:tblW w:w="8334" w:type="dxa"/>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57"/>
        <w:gridCol w:w="847"/>
        <w:gridCol w:w="847"/>
        <w:gridCol w:w="847"/>
        <w:gridCol w:w="847"/>
        <w:gridCol w:w="847"/>
        <w:gridCol w:w="847"/>
        <w:gridCol w:w="847"/>
        <w:gridCol w:w="848"/>
      </w:tblGrid>
      <w:tr w14:paraId="0BD63AB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520" w:hRule="atLeast"/>
          <w:jc w:val="center"/>
        </w:trPr>
        <w:tc>
          <w:tcPr>
            <w:tcW w:w="155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11FB4CC5">
            <w:pPr>
              <w:pStyle w:val="13"/>
              <w:keepNext w:val="0"/>
              <w:keepLines w:val="0"/>
              <w:pageBreakBefore w:val="0"/>
              <w:widowControl/>
              <w:kinsoku/>
              <w:wordWrap/>
              <w:overflowPunct/>
              <w:topLinePunct w:val="0"/>
              <w:autoSpaceDE/>
              <w:autoSpaceDN/>
              <w:bidi w:val="0"/>
              <w:adjustRightInd/>
              <w:snapToGrid/>
              <w:spacing w:line="360" w:lineRule="exact"/>
              <w:ind w:left="0"/>
              <w:jc w:val="center"/>
              <w:textAlignment w:val="auto"/>
            </w:pPr>
            <w:r>
              <w:rPr>
                <w:rFonts w:ascii="仿宋_GB2312" w:hAnsi="仿宋_GB2312" w:eastAsia="仿宋_GB2312" w:cs="仿宋_GB2312"/>
                <w:sz w:val="24"/>
              </w:rPr>
              <w:t>项目</w:t>
            </w:r>
          </w:p>
        </w:tc>
        <w:tc>
          <w:tcPr>
            <w:tcW w:w="84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704836DA">
            <w:pPr>
              <w:pStyle w:val="13"/>
              <w:keepNext w:val="0"/>
              <w:keepLines w:val="0"/>
              <w:pageBreakBefore w:val="0"/>
              <w:widowControl/>
              <w:kinsoku/>
              <w:wordWrap/>
              <w:overflowPunct/>
              <w:topLinePunct w:val="0"/>
              <w:autoSpaceDE/>
              <w:autoSpaceDN/>
              <w:bidi w:val="0"/>
              <w:adjustRightInd/>
              <w:snapToGrid/>
              <w:spacing w:line="360" w:lineRule="exact"/>
              <w:ind w:left="0"/>
              <w:jc w:val="center"/>
              <w:textAlignment w:val="auto"/>
            </w:pPr>
            <w:r>
              <w:rPr>
                <w:rFonts w:ascii="仿宋_GB2312" w:hAnsi="仿宋_GB2312" w:eastAsia="仿宋_GB2312" w:cs="仿宋_GB2312"/>
                <w:sz w:val="24"/>
              </w:rPr>
              <w:t>项目经理</w:t>
            </w:r>
          </w:p>
        </w:tc>
        <w:tc>
          <w:tcPr>
            <w:tcW w:w="84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46EA4418">
            <w:pPr>
              <w:pStyle w:val="13"/>
              <w:keepNext w:val="0"/>
              <w:keepLines w:val="0"/>
              <w:pageBreakBefore w:val="0"/>
              <w:widowControl/>
              <w:kinsoku/>
              <w:wordWrap/>
              <w:overflowPunct/>
              <w:topLinePunct w:val="0"/>
              <w:autoSpaceDE/>
              <w:autoSpaceDN/>
              <w:bidi w:val="0"/>
              <w:adjustRightInd/>
              <w:snapToGrid/>
              <w:spacing w:line="360" w:lineRule="exact"/>
              <w:ind w:left="0"/>
              <w:jc w:val="center"/>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电工主管</w:t>
            </w:r>
          </w:p>
        </w:tc>
        <w:tc>
          <w:tcPr>
            <w:tcW w:w="84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71E21F77">
            <w:pPr>
              <w:pStyle w:val="13"/>
              <w:keepNext w:val="0"/>
              <w:keepLines w:val="0"/>
              <w:pageBreakBefore w:val="0"/>
              <w:widowControl/>
              <w:kinsoku/>
              <w:wordWrap/>
              <w:overflowPunct/>
              <w:topLinePunct w:val="0"/>
              <w:autoSpaceDE/>
              <w:autoSpaceDN/>
              <w:bidi w:val="0"/>
              <w:adjustRightInd/>
              <w:snapToGrid/>
              <w:spacing w:line="360" w:lineRule="exact"/>
              <w:ind w:left="0"/>
              <w:jc w:val="center"/>
              <w:textAlignment w:val="auto"/>
            </w:pPr>
            <w:r>
              <w:rPr>
                <w:rFonts w:ascii="仿宋_GB2312" w:hAnsi="仿宋_GB2312" w:eastAsia="仿宋_GB2312" w:cs="仿宋_GB2312"/>
                <w:sz w:val="24"/>
              </w:rPr>
              <w:t>水电工</w:t>
            </w:r>
          </w:p>
        </w:tc>
        <w:tc>
          <w:tcPr>
            <w:tcW w:w="84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530C2DBA">
            <w:pPr>
              <w:pStyle w:val="13"/>
              <w:keepNext w:val="0"/>
              <w:keepLines w:val="0"/>
              <w:pageBreakBefore w:val="0"/>
              <w:widowControl/>
              <w:kinsoku/>
              <w:wordWrap/>
              <w:overflowPunct/>
              <w:topLinePunct w:val="0"/>
              <w:autoSpaceDE/>
              <w:autoSpaceDN/>
              <w:bidi w:val="0"/>
              <w:adjustRightInd/>
              <w:snapToGrid/>
              <w:spacing w:line="360" w:lineRule="exact"/>
              <w:ind w:left="0"/>
              <w:jc w:val="center"/>
              <w:textAlignment w:val="auto"/>
            </w:pPr>
            <w:r>
              <w:rPr>
                <w:rFonts w:ascii="仿宋_GB2312" w:hAnsi="仿宋_GB2312" w:eastAsia="仿宋_GB2312" w:cs="仿宋_GB2312"/>
                <w:sz w:val="24"/>
              </w:rPr>
              <w:t>秩序维护员</w:t>
            </w:r>
          </w:p>
        </w:tc>
        <w:tc>
          <w:tcPr>
            <w:tcW w:w="84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71555EE7">
            <w:pPr>
              <w:pStyle w:val="13"/>
              <w:keepNext w:val="0"/>
              <w:keepLines w:val="0"/>
              <w:pageBreakBefore w:val="0"/>
              <w:widowControl/>
              <w:kinsoku/>
              <w:wordWrap/>
              <w:overflowPunct/>
              <w:topLinePunct w:val="0"/>
              <w:autoSpaceDE/>
              <w:autoSpaceDN/>
              <w:bidi w:val="0"/>
              <w:adjustRightInd/>
              <w:snapToGrid/>
              <w:spacing w:line="360" w:lineRule="exact"/>
              <w:ind w:left="0"/>
              <w:jc w:val="center"/>
              <w:textAlignment w:val="auto"/>
            </w:pPr>
            <w:r>
              <w:rPr>
                <w:rFonts w:ascii="仿宋_GB2312" w:hAnsi="仿宋_GB2312" w:eastAsia="仿宋_GB2312" w:cs="仿宋_GB2312"/>
                <w:sz w:val="24"/>
              </w:rPr>
              <w:t>保洁员</w:t>
            </w:r>
          </w:p>
        </w:tc>
        <w:tc>
          <w:tcPr>
            <w:tcW w:w="84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065D0908">
            <w:pPr>
              <w:pStyle w:val="13"/>
              <w:keepNext w:val="0"/>
              <w:keepLines w:val="0"/>
              <w:pageBreakBefore w:val="0"/>
              <w:widowControl/>
              <w:kinsoku/>
              <w:wordWrap/>
              <w:overflowPunct/>
              <w:topLinePunct w:val="0"/>
              <w:autoSpaceDE/>
              <w:autoSpaceDN/>
              <w:bidi w:val="0"/>
              <w:adjustRightInd/>
              <w:snapToGrid/>
              <w:spacing w:line="360" w:lineRule="exact"/>
              <w:ind w:left="0"/>
              <w:jc w:val="center"/>
              <w:textAlignment w:val="auto"/>
            </w:pPr>
            <w:r>
              <w:rPr>
                <w:rFonts w:ascii="仿宋_GB2312" w:hAnsi="仿宋_GB2312" w:eastAsia="仿宋_GB2312" w:cs="仿宋_GB2312"/>
                <w:sz w:val="24"/>
              </w:rPr>
              <w:t>绿化员</w:t>
            </w:r>
          </w:p>
        </w:tc>
        <w:tc>
          <w:tcPr>
            <w:tcW w:w="84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41E0026E">
            <w:pPr>
              <w:pStyle w:val="13"/>
              <w:keepNext w:val="0"/>
              <w:keepLines w:val="0"/>
              <w:pageBreakBefore w:val="0"/>
              <w:widowControl/>
              <w:kinsoku/>
              <w:wordWrap/>
              <w:overflowPunct/>
              <w:topLinePunct w:val="0"/>
              <w:autoSpaceDE/>
              <w:autoSpaceDN/>
              <w:bidi w:val="0"/>
              <w:adjustRightInd/>
              <w:snapToGrid/>
              <w:spacing w:line="360" w:lineRule="exact"/>
              <w:ind w:left="0"/>
              <w:jc w:val="center"/>
              <w:textAlignment w:val="auto"/>
            </w:pPr>
            <w:r>
              <w:rPr>
                <w:rFonts w:ascii="仿宋_GB2312" w:hAnsi="仿宋_GB2312" w:eastAsia="仿宋_GB2312" w:cs="仿宋_GB2312"/>
                <w:sz w:val="24"/>
              </w:rPr>
              <w:t>客服/收费</w:t>
            </w:r>
          </w:p>
        </w:tc>
        <w:tc>
          <w:tcPr>
            <w:tcW w:w="84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480A8F72">
            <w:pPr>
              <w:pStyle w:val="13"/>
              <w:keepNext w:val="0"/>
              <w:keepLines w:val="0"/>
              <w:pageBreakBefore w:val="0"/>
              <w:widowControl/>
              <w:kinsoku/>
              <w:wordWrap/>
              <w:overflowPunct/>
              <w:topLinePunct w:val="0"/>
              <w:autoSpaceDE/>
              <w:autoSpaceDN/>
              <w:bidi w:val="0"/>
              <w:adjustRightInd/>
              <w:snapToGrid/>
              <w:spacing w:line="360" w:lineRule="exact"/>
              <w:ind w:left="0"/>
              <w:jc w:val="center"/>
              <w:textAlignment w:val="auto"/>
            </w:pPr>
            <w:r>
              <w:rPr>
                <w:rFonts w:ascii="仿宋_GB2312" w:hAnsi="仿宋_GB2312" w:eastAsia="仿宋_GB2312" w:cs="仿宋_GB2312"/>
                <w:sz w:val="24"/>
              </w:rPr>
              <w:t>合计</w:t>
            </w:r>
          </w:p>
        </w:tc>
      </w:tr>
      <w:tr w14:paraId="78E6BB1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854" w:hRule="atLeast"/>
          <w:jc w:val="center"/>
        </w:trPr>
        <w:tc>
          <w:tcPr>
            <w:tcW w:w="155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24757DAA">
            <w:pPr>
              <w:pStyle w:val="13"/>
              <w:keepNext w:val="0"/>
              <w:keepLines w:val="0"/>
              <w:pageBreakBefore w:val="0"/>
              <w:widowControl/>
              <w:kinsoku/>
              <w:wordWrap/>
              <w:overflowPunct/>
              <w:topLinePunct w:val="0"/>
              <w:autoSpaceDE/>
              <w:autoSpaceDN/>
              <w:bidi w:val="0"/>
              <w:adjustRightInd/>
              <w:snapToGrid/>
              <w:spacing w:line="360" w:lineRule="exact"/>
              <w:ind w:left="0"/>
              <w:jc w:val="center"/>
              <w:textAlignment w:val="auto"/>
            </w:pPr>
            <w:r>
              <w:rPr>
                <w:rFonts w:ascii="仿宋_GB2312" w:hAnsi="仿宋_GB2312" w:eastAsia="仿宋_GB2312" w:cs="仿宋_GB2312"/>
                <w:sz w:val="24"/>
              </w:rPr>
              <w:t>白沙黎族自治县阳光、方亮、碧绿、南湖一区、南湖二区五个公租房小区</w:t>
            </w:r>
          </w:p>
        </w:tc>
        <w:tc>
          <w:tcPr>
            <w:tcW w:w="84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1C2AD05">
            <w:pPr>
              <w:pStyle w:val="13"/>
              <w:keepNext w:val="0"/>
              <w:keepLines w:val="0"/>
              <w:pageBreakBefore w:val="0"/>
              <w:widowControl/>
              <w:kinsoku/>
              <w:wordWrap/>
              <w:overflowPunct/>
              <w:topLinePunct w:val="0"/>
              <w:autoSpaceDE/>
              <w:autoSpaceDN/>
              <w:bidi w:val="0"/>
              <w:adjustRightInd/>
              <w:snapToGrid/>
              <w:spacing w:line="360" w:lineRule="exact"/>
              <w:ind w:left="0"/>
              <w:jc w:val="center"/>
              <w:textAlignment w:val="auto"/>
            </w:pPr>
            <w:r>
              <w:rPr>
                <w:rFonts w:ascii="仿宋_GB2312" w:hAnsi="仿宋_GB2312" w:eastAsia="仿宋_GB2312" w:cs="仿宋_GB2312"/>
                <w:sz w:val="24"/>
              </w:rPr>
              <w:t>2</w:t>
            </w:r>
          </w:p>
        </w:tc>
        <w:tc>
          <w:tcPr>
            <w:tcW w:w="84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9CFE1E9">
            <w:pPr>
              <w:pStyle w:val="13"/>
              <w:keepNext w:val="0"/>
              <w:keepLines w:val="0"/>
              <w:pageBreakBefore w:val="0"/>
              <w:widowControl/>
              <w:kinsoku/>
              <w:wordWrap/>
              <w:overflowPunct/>
              <w:topLinePunct w:val="0"/>
              <w:autoSpaceDE/>
              <w:autoSpaceDN/>
              <w:bidi w:val="0"/>
              <w:adjustRightInd/>
              <w:snapToGrid/>
              <w:spacing w:line="360" w:lineRule="exact"/>
              <w:ind w:left="0"/>
              <w:jc w:val="center"/>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w:t>
            </w:r>
          </w:p>
        </w:tc>
        <w:tc>
          <w:tcPr>
            <w:tcW w:w="84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962C4AA">
            <w:pPr>
              <w:pStyle w:val="13"/>
              <w:keepNext w:val="0"/>
              <w:keepLines w:val="0"/>
              <w:pageBreakBefore w:val="0"/>
              <w:widowControl/>
              <w:kinsoku/>
              <w:wordWrap/>
              <w:overflowPunct/>
              <w:topLinePunct w:val="0"/>
              <w:autoSpaceDE/>
              <w:autoSpaceDN/>
              <w:bidi w:val="0"/>
              <w:adjustRightInd/>
              <w:snapToGrid/>
              <w:spacing w:line="360" w:lineRule="exact"/>
              <w:ind w:left="0"/>
              <w:jc w:val="center"/>
              <w:textAlignment w:val="auto"/>
              <w:rPr>
                <w:rFonts w:hint="eastAsia" w:eastAsia="仿宋_GB2312"/>
                <w:lang w:eastAsia="zh-CN"/>
              </w:rPr>
            </w:pPr>
            <w:r>
              <w:rPr>
                <w:rFonts w:hint="eastAsia" w:ascii="仿宋_GB2312" w:hAnsi="仿宋_GB2312" w:eastAsia="仿宋_GB2312" w:cs="仿宋_GB2312"/>
                <w:sz w:val="24"/>
                <w:lang w:val="en-US" w:eastAsia="zh-CN"/>
              </w:rPr>
              <w:t>1</w:t>
            </w:r>
          </w:p>
        </w:tc>
        <w:tc>
          <w:tcPr>
            <w:tcW w:w="84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BC1A108">
            <w:pPr>
              <w:pStyle w:val="13"/>
              <w:keepNext w:val="0"/>
              <w:keepLines w:val="0"/>
              <w:pageBreakBefore w:val="0"/>
              <w:widowControl/>
              <w:kinsoku/>
              <w:wordWrap/>
              <w:overflowPunct/>
              <w:topLinePunct w:val="0"/>
              <w:autoSpaceDE/>
              <w:autoSpaceDN/>
              <w:bidi w:val="0"/>
              <w:adjustRightInd/>
              <w:snapToGrid/>
              <w:spacing w:line="360" w:lineRule="exact"/>
              <w:ind w:left="0"/>
              <w:jc w:val="center"/>
              <w:textAlignment w:val="auto"/>
            </w:pPr>
            <w:r>
              <w:rPr>
                <w:rFonts w:ascii="仿宋_GB2312" w:hAnsi="仿宋_GB2312" w:eastAsia="仿宋_GB2312" w:cs="仿宋_GB2312"/>
                <w:sz w:val="24"/>
              </w:rPr>
              <w:t>12</w:t>
            </w:r>
          </w:p>
        </w:tc>
        <w:tc>
          <w:tcPr>
            <w:tcW w:w="84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7E847C22">
            <w:pPr>
              <w:pStyle w:val="13"/>
              <w:keepNext w:val="0"/>
              <w:keepLines w:val="0"/>
              <w:pageBreakBefore w:val="0"/>
              <w:widowControl/>
              <w:kinsoku/>
              <w:wordWrap/>
              <w:overflowPunct/>
              <w:topLinePunct w:val="0"/>
              <w:autoSpaceDE/>
              <w:autoSpaceDN/>
              <w:bidi w:val="0"/>
              <w:adjustRightInd/>
              <w:snapToGrid/>
              <w:spacing w:line="360" w:lineRule="exact"/>
              <w:ind w:left="0"/>
              <w:jc w:val="center"/>
              <w:textAlignment w:val="auto"/>
            </w:pPr>
            <w:r>
              <w:rPr>
                <w:rFonts w:ascii="仿宋_GB2312" w:hAnsi="仿宋_GB2312" w:eastAsia="仿宋_GB2312" w:cs="仿宋_GB2312"/>
                <w:sz w:val="24"/>
              </w:rPr>
              <w:t>13</w:t>
            </w:r>
          </w:p>
        </w:tc>
        <w:tc>
          <w:tcPr>
            <w:tcW w:w="84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625C705">
            <w:pPr>
              <w:pStyle w:val="13"/>
              <w:keepNext w:val="0"/>
              <w:keepLines w:val="0"/>
              <w:pageBreakBefore w:val="0"/>
              <w:widowControl/>
              <w:kinsoku/>
              <w:wordWrap/>
              <w:overflowPunct/>
              <w:topLinePunct w:val="0"/>
              <w:autoSpaceDE/>
              <w:autoSpaceDN/>
              <w:bidi w:val="0"/>
              <w:adjustRightInd/>
              <w:snapToGrid/>
              <w:spacing w:line="360" w:lineRule="exact"/>
              <w:ind w:left="0" w:firstLine="240" w:firstLineChars="100"/>
              <w:jc w:val="both"/>
              <w:textAlignment w:val="auto"/>
            </w:pPr>
            <w:r>
              <w:rPr>
                <w:rFonts w:ascii="仿宋_GB2312" w:hAnsi="仿宋_GB2312" w:eastAsia="仿宋_GB2312" w:cs="仿宋_GB2312"/>
                <w:sz w:val="24"/>
              </w:rPr>
              <w:t>2</w:t>
            </w:r>
          </w:p>
        </w:tc>
        <w:tc>
          <w:tcPr>
            <w:tcW w:w="84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29ABD3E">
            <w:pPr>
              <w:pStyle w:val="13"/>
              <w:keepNext w:val="0"/>
              <w:keepLines w:val="0"/>
              <w:pageBreakBefore w:val="0"/>
              <w:widowControl/>
              <w:kinsoku/>
              <w:wordWrap/>
              <w:overflowPunct/>
              <w:topLinePunct w:val="0"/>
              <w:autoSpaceDE/>
              <w:autoSpaceDN/>
              <w:bidi w:val="0"/>
              <w:adjustRightInd/>
              <w:snapToGrid/>
              <w:spacing w:line="360" w:lineRule="exact"/>
              <w:ind w:left="0" w:firstLine="240" w:firstLineChars="100"/>
              <w:jc w:val="both"/>
              <w:textAlignment w:val="auto"/>
            </w:pPr>
            <w:r>
              <w:rPr>
                <w:rFonts w:ascii="仿宋_GB2312" w:hAnsi="仿宋_GB2312" w:eastAsia="仿宋_GB2312" w:cs="仿宋_GB2312"/>
                <w:sz w:val="24"/>
              </w:rPr>
              <w:t>2</w:t>
            </w:r>
          </w:p>
        </w:tc>
        <w:tc>
          <w:tcPr>
            <w:tcW w:w="848"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1099669">
            <w:pPr>
              <w:pStyle w:val="13"/>
              <w:keepNext w:val="0"/>
              <w:keepLines w:val="0"/>
              <w:pageBreakBefore w:val="0"/>
              <w:widowControl/>
              <w:kinsoku/>
              <w:wordWrap/>
              <w:overflowPunct/>
              <w:topLinePunct w:val="0"/>
              <w:autoSpaceDE/>
              <w:autoSpaceDN/>
              <w:bidi w:val="0"/>
              <w:adjustRightInd/>
              <w:snapToGrid/>
              <w:spacing w:line="360" w:lineRule="exact"/>
              <w:ind w:left="0" w:firstLine="220"/>
              <w:jc w:val="both"/>
              <w:textAlignment w:val="auto"/>
            </w:pPr>
            <w:r>
              <w:rPr>
                <w:rFonts w:ascii="仿宋_GB2312" w:hAnsi="仿宋_GB2312" w:eastAsia="仿宋_GB2312" w:cs="仿宋_GB2312"/>
                <w:sz w:val="24"/>
              </w:rPr>
              <w:t>33</w:t>
            </w:r>
          </w:p>
        </w:tc>
      </w:tr>
    </w:tbl>
    <w:p w14:paraId="66362312">
      <w:pPr>
        <w:keepNext w:val="0"/>
        <w:keepLines w:val="0"/>
        <w:pageBreakBefore w:val="0"/>
        <w:widowControl w:val="0"/>
        <w:kinsoku/>
        <w:wordWrap/>
        <w:overflowPunct/>
        <w:topLinePunct w:val="0"/>
        <w:autoSpaceDE/>
        <w:autoSpaceDN/>
        <w:bidi w:val="0"/>
        <w:adjustRightInd/>
        <w:snapToGrid/>
        <w:spacing w:line="540" w:lineRule="exact"/>
        <w:ind w:left="0" w:firstLine="562" w:firstLineChars="200"/>
        <w:textAlignment w:val="auto"/>
        <w:outlineLvl w:val="0"/>
        <w:rPr>
          <w:rFonts w:hint="default" w:ascii="仿宋" w:hAnsi="仿宋" w:eastAsia="仿宋" w:cs="宋体"/>
          <w:b/>
          <w:color w:val="auto"/>
          <w:sz w:val="28"/>
          <w:szCs w:val="28"/>
          <w:lang w:val="en-US" w:eastAsia="zh-CN"/>
        </w:rPr>
      </w:pPr>
      <w:r>
        <w:rPr>
          <w:rFonts w:hint="eastAsia" w:ascii="仿宋" w:hAnsi="仿宋" w:eastAsia="仿宋" w:cs="宋体"/>
          <w:b/>
          <w:color w:val="auto"/>
          <w:sz w:val="28"/>
          <w:szCs w:val="28"/>
          <w:lang w:eastAsia="zh-CN"/>
        </w:rPr>
        <w:t>八、物业服务</w:t>
      </w:r>
      <w:r>
        <w:rPr>
          <w:rFonts w:hint="eastAsia" w:ascii="仿宋" w:hAnsi="仿宋" w:eastAsia="仿宋" w:cs="宋体"/>
          <w:b/>
          <w:color w:val="auto"/>
          <w:sz w:val="28"/>
          <w:szCs w:val="28"/>
          <w:lang w:val="en-US" w:eastAsia="zh-CN"/>
        </w:rPr>
        <w:t>内容</w:t>
      </w:r>
    </w:p>
    <w:p w14:paraId="58E52336">
      <w:pPr>
        <w:keepNext w:val="0"/>
        <w:keepLines w:val="0"/>
        <w:pageBreakBefore w:val="0"/>
        <w:widowControl w:val="0"/>
        <w:kinsoku/>
        <w:wordWrap/>
        <w:overflowPunct/>
        <w:topLinePunct w:val="0"/>
        <w:autoSpaceDE/>
        <w:autoSpaceDN/>
        <w:bidi w:val="0"/>
        <w:adjustRightInd/>
        <w:snapToGrid/>
        <w:spacing w:line="540" w:lineRule="exact"/>
        <w:ind w:left="0" w:firstLine="562" w:firstLineChars="200"/>
        <w:textAlignment w:val="auto"/>
        <w:rPr>
          <w:rFonts w:hint="eastAsia" w:ascii="仿宋" w:hAnsi="仿宋" w:eastAsia="仿宋" w:cs="宋体"/>
          <w:b/>
          <w:bCs/>
          <w:color w:val="auto"/>
          <w:sz w:val="28"/>
          <w:szCs w:val="28"/>
          <w:lang w:eastAsia="zh-CN"/>
        </w:rPr>
      </w:pPr>
      <w:r>
        <w:rPr>
          <w:rFonts w:hint="eastAsia" w:ascii="仿宋" w:hAnsi="仿宋" w:eastAsia="仿宋" w:cs="宋体"/>
          <w:b/>
          <w:bCs/>
          <w:color w:val="auto"/>
          <w:sz w:val="28"/>
          <w:szCs w:val="28"/>
          <w:lang w:eastAsia="zh-CN"/>
        </w:rPr>
        <w:t>(一)房屋共用部位的维修、养护和管理</w:t>
      </w:r>
    </w:p>
    <w:p w14:paraId="02280435">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hint="eastAsia" w:ascii="仿宋" w:hAnsi="仿宋" w:eastAsia="仿宋" w:cs="宋体"/>
          <w:color w:val="auto"/>
          <w:sz w:val="28"/>
          <w:szCs w:val="28"/>
          <w:lang w:eastAsia="zh-CN"/>
        </w:rPr>
      </w:pPr>
      <w:r>
        <w:rPr>
          <w:rFonts w:hint="eastAsia" w:ascii="仿宋" w:hAnsi="仿宋" w:eastAsia="仿宋" w:cs="宋体"/>
          <w:color w:val="auto"/>
          <w:sz w:val="28"/>
          <w:szCs w:val="28"/>
          <w:lang w:eastAsia="zh-CN"/>
        </w:rPr>
        <w:t>共用部位是指房屋主体承重结构部位(包括：基础、内外承重墙体、柱、梁、楼板、屋顶)、外墙、楼梯间、公共走廊通道、门厅、庭院。</w:t>
      </w:r>
    </w:p>
    <w:p w14:paraId="3ED8525E">
      <w:pPr>
        <w:keepNext w:val="0"/>
        <w:keepLines w:val="0"/>
        <w:pageBreakBefore w:val="0"/>
        <w:widowControl w:val="0"/>
        <w:kinsoku/>
        <w:wordWrap/>
        <w:overflowPunct/>
        <w:topLinePunct w:val="0"/>
        <w:autoSpaceDE/>
        <w:autoSpaceDN/>
        <w:bidi w:val="0"/>
        <w:adjustRightInd/>
        <w:snapToGrid/>
        <w:spacing w:line="540" w:lineRule="exact"/>
        <w:ind w:left="0" w:firstLine="562" w:firstLineChars="200"/>
        <w:textAlignment w:val="auto"/>
        <w:rPr>
          <w:rFonts w:hint="eastAsia" w:ascii="仿宋" w:hAnsi="仿宋" w:eastAsia="仿宋" w:cs="宋体"/>
          <w:b/>
          <w:bCs/>
          <w:color w:val="auto"/>
          <w:sz w:val="28"/>
          <w:szCs w:val="28"/>
          <w:lang w:eastAsia="zh-CN"/>
        </w:rPr>
      </w:pPr>
      <w:r>
        <w:rPr>
          <w:rFonts w:hint="eastAsia" w:ascii="仿宋" w:hAnsi="仿宋" w:eastAsia="仿宋" w:cs="宋体"/>
          <w:b/>
          <w:bCs/>
          <w:color w:val="auto"/>
          <w:sz w:val="28"/>
          <w:szCs w:val="28"/>
          <w:lang w:eastAsia="zh-CN"/>
        </w:rPr>
        <w:t>(二)物业共用设施设备维修、养护、运行和管理</w:t>
      </w:r>
    </w:p>
    <w:p w14:paraId="01787D5A">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hint="eastAsia" w:ascii="仿宋" w:hAnsi="仿宋" w:eastAsia="仿宋" w:cs="宋体"/>
          <w:color w:val="auto"/>
          <w:sz w:val="28"/>
          <w:szCs w:val="28"/>
          <w:lang w:eastAsia="zh-CN"/>
        </w:rPr>
      </w:pPr>
      <w:r>
        <w:rPr>
          <w:rFonts w:hint="eastAsia" w:ascii="仿宋" w:hAnsi="仿宋" w:eastAsia="仿宋" w:cs="宋体"/>
          <w:color w:val="auto"/>
          <w:sz w:val="28"/>
          <w:szCs w:val="28"/>
          <w:lang w:eastAsia="zh-CN"/>
        </w:rPr>
        <w:t>公共设施设备是指公用的上下水道、落水管、电梯、天线、供配电设施、通讯线路、水箱、水泵、污水管、污水井、公共照明、消防设施设备、化粪池、监控设备、绿地、道路、沟渠、停车场、车棚、垃圾收集设施、公益文体设施和公用设施设备使用的房屋等。</w:t>
      </w:r>
    </w:p>
    <w:p w14:paraId="11996E89">
      <w:pPr>
        <w:keepNext w:val="0"/>
        <w:keepLines w:val="0"/>
        <w:pageBreakBefore w:val="0"/>
        <w:widowControl w:val="0"/>
        <w:kinsoku/>
        <w:wordWrap/>
        <w:overflowPunct/>
        <w:topLinePunct w:val="0"/>
        <w:autoSpaceDE/>
        <w:autoSpaceDN/>
        <w:bidi w:val="0"/>
        <w:adjustRightInd/>
        <w:snapToGrid/>
        <w:spacing w:line="540" w:lineRule="exact"/>
        <w:ind w:left="0" w:firstLine="562" w:firstLineChars="200"/>
        <w:textAlignment w:val="auto"/>
        <w:rPr>
          <w:rFonts w:hint="eastAsia" w:ascii="仿宋" w:hAnsi="仿宋" w:eastAsia="仿宋" w:cs="宋体"/>
          <w:b/>
          <w:bCs/>
          <w:color w:val="auto"/>
          <w:sz w:val="28"/>
          <w:szCs w:val="28"/>
          <w:lang w:eastAsia="zh-CN"/>
        </w:rPr>
      </w:pPr>
      <w:r>
        <w:rPr>
          <w:rFonts w:hint="eastAsia" w:ascii="仿宋" w:hAnsi="仿宋" w:eastAsia="仿宋" w:cs="宋体"/>
          <w:b/>
          <w:bCs/>
          <w:color w:val="auto"/>
          <w:sz w:val="28"/>
          <w:szCs w:val="28"/>
          <w:lang w:val="en-US" w:eastAsia="zh-CN"/>
        </w:rPr>
        <w:t>(三)</w:t>
      </w:r>
      <w:r>
        <w:rPr>
          <w:rFonts w:hint="eastAsia" w:ascii="仿宋" w:hAnsi="仿宋" w:eastAsia="仿宋" w:cs="宋体"/>
          <w:b/>
          <w:bCs/>
          <w:color w:val="auto"/>
          <w:sz w:val="28"/>
          <w:szCs w:val="28"/>
          <w:lang w:eastAsia="zh-CN"/>
        </w:rPr>
        <w:t>环境卫生</w:t>
      </w:r>
    </w:p>
    <w:p w14:paraId="1392E7AF">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hint="eastAsia" w:ascii="仿宋" w:hAnsi="仿宋" w:eastAsia="仿宋" w:cs="宋体"/>
          <w:color w:val="auto"/>
          <w:sz w:val="28"/>
          <w:szCs w:val="28"/>
          <w:lang w:eastAsia="zh-CN"/>
        </w:rPr>
      </w:pPr>
      <w:r>
        <w:rPr>
          <w:rFonts w:hint="eastAsia" w:ascii="仿宋" w:hAnsi="仿宋" w:eastAsia="仿宋" w:cs="宋体"/>
          <w:color w:val="auto"/>
          <w:sz w:val="28"/>
          <w:szCs w:val="28"/>
          <w:lang w:eastAsia="zh-CN"/>
        </w:rPr>
        <w:t>1、小区内公共部位的清洁卫生；</w:t>
      </w:r>
    </w:p>
    <w:p w14:paraId="253AF945">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hint="eastAsia" w:ascii="仿宋" w:hAnsi="仿宋" w:eastAsia="仿宋" w:cs="宋体"/>
          <w:color w:val="auto"/>
          <w:sz w:val="28"/>
          <w:szCs w:val="28"/>
          <w:lang w:eastAsia="zh-CN"/>
        </w:rPr>
      </w:pPr>
      <w:r>
        <w:rPr>
          <w:rFonts w:hint="eastAsia" w:ascii="仿宋" w:hAnsi="仿宋" w:eastAsia="仿宋" w:cs="宋体"/>
          <w:color w:val="auto"/>
          <w:sz w:val="28"/>
          <w:szCs w:val="28"/>
          <w:lang w:eastAsia="zh-CN"/>
        </w:rPr>
        <w:t>2、小区内房屋共用部位的清洁卫生，公共场所的清洁卫生、垃圾的收集等；</w:t>
      </w:r>
    </w:p>
    <w:p w14:paraId="2CDAF314">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hint="eastAsia" w:ascii="仿宋" w:hAnsi="仿宋" w:eastAsia="仿宋" w:cs="宋体"/>
          <w:color w:val="auto"/>
          <w:sz w:val="28"/>
          <w:szCs w:val="28"/>
          <w:lang w:eastAsia="zh-CN"/>
        </w:rPr>
      </w:pPr>
      <w:r>
        <w:rPr>
          <w:rFonts w:hint="eastAsia" w:ascii="仿宋" w:hAnsi="仿宋" w:eastAsia="仿宋" w:cs="宋体"/>
          <w:color w:val="auto"/>
          <w:sz w:val="28"/>
          <w:szCs w:val="28"/>
          <w:lang w:eastAsia="zh-CN"/>
        </w:rPr>
        <w:t>3、公共绿地、花木、园艺小品等的维护和管理。</w:t>
      </w:r>
    </w:p>
    <w:p w14:paraId="1203396C">
      <w:pPr>
        <w:keepNext w:val="0"/>
        <w:keepLines w:val="0"/>
        <w:pageBreakBefore w:val="0"/>
        <w:widowControl w:val="0"/>
        <w:kinsoku/>
        <w:wordWrap/>
        <w:overflowPunct/>
        <w:topLinePunct w:val="0"/>
        <w:autoSpaceDE/>
        <w:autoSpaceDN/>
        <w:bidi w:val="0"/>
        <w:adjustRightInd/>
        <w:snapToGrid/>
        <w:spacing w:line="540" w:lineRule="exact"/>
        <w:ind w:left="0" w:firstLine="562" w:firstLineChars="200"/>
        <w:textAlignment w:val="auto"/>
        <w:rPr>
          <w:rFonts w:hint="eastAsia" w:ascii="仿宋" w:hAnsi="仿宋" w:eastAsia="仿宋" w:cs="宋体"/>
          <w:b/>
          <w:bCs/>
          <w:color w:val="auto"/>
          <w:sz w:val="28"/>
          <w:szCs w:val="28"/>
          <w:lang w:eastAsia="zh-CN"/>
        </w:rPr>
      </w:pPr>
      <w:r>
        <w:rPr>
          <w:rFonts w:hint="eastAsia" w:ascii="仿宋" w:hAnsi="仿宋" w:eastAsia="仿宋" w:cs="宋体"/>
          <w:b/>
          <w:bCs/>
          <w:color w:val="auto"/>
          <w:sz w:val="28"/>
          <w:szCs w:val="28"/>
          <w:lang w:val="en-US" w:eastAsia="zh-CN"/>
        </w:rPr>
        <w:t>(四)</w:t>
      </w:r>
      <w:r>
        <w:rPr>
          <w:rFonts w:hint="eastAsia" w:ascii="仿宋" w:hAnsi="仿宋" w:eastAsia="仿宋" w:cs="宋体"/>
          <w:b/>
          <w:bCs/>
          <w:color w:val="auto"/>
          <w:sz w:val="28"/>
          <w:szCs w:val="28"/>
          <w:lang w:eastAsia="zh-CN"/>
        </w:rPr>
        <w:t>秩序维护</w:t>
      </w:r>
    </w:p>
    <w:p w14:paraId="7AD19421">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hint="eastAsia" w:ascii="仿宋" w:hAnsi="仿宋" w:eastAsia="仿宋" w:cs="宋体"/>
          <w:color w:val="auto"/>
          <w:sz w:val="28"/>
          <w:szCs w:val="28"/>
          <w:lang w:eastAsia="zh-CN"/>
        </w:rPr>
      </w:pPr>
      <w:r>
        <w:rPr>
          <w:rFonts w:hint="eastAsia" w:ascii="仿宋" w:hAnsi="仿宋" w:eastAsia="仿宋" w:cs="宋体"/>
          <w:color w:val="auto"/>
          <w:sz w:val="28"/>
          <w:szCs w:val="28"/>
          <w:lang w:eastAsia="zh-CN"/>
        </w:rPr>
        <w:t>1、小区内公共区域的安全监控、巡视、门岗执勤，发现治安案件、火警、交通事故和其他意外突发事件及时处理或上报有关部门处理；</w:t>
      </w:r>
    </w:p>
    <w:p w14:paraId="6CBD4AC4">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hint="eastAsia" w:ascii="仿宋" w:hAnsi="仿宋" w:eastAsia="仿宋" w:cs="宋体"/>
          <w:color w:val="auto"/>
          <w:sz w:val="28"/>
          <w:szCs w:val="28"/>
          <w:lang w:eastAsia="zh-CN"/>
        </w:rPr>
      </w:pPr>
      <w:r>
        <w:rPr>
          <w:rFonts w:hint="eastAsia" w:ascii="仿宋" w:hAnsi="仿宋" w:eastAsia="仿宋" w:cs="宋体"/>
          <w:color w:val="auto"/>
          <w:sz w:val="28"/>
          <w:szCs w:val="28"/>
          <w:lang w:eastAsia="zh-CN"/>
        </w:rPr>
        <w:t>2、交通与车辆停放秩序的管理；</w:t>
      </w:r>
    </w:p>
    <w:p w14:paraId="405A83D0">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hint="eastAsia" w:ascii="仿宋" w:hAnsi="仿宋" w:eastAsia="仿宋" w:cs="宋体"/>
          <w:color w:val="auto"/>
          <w:sz w:val="28"/>
          <w:szCs w:val="28"/>
          <w:lang w:eastAsia="zh-CN"/>
        </w:rPr>
      </w:pPr>
      <w:r>
        <w:rPr>
          <w:rFonts w:hint="eastAsia" w:ascii="仿宋" w:hAnsi="仿宋" w:eastAsia="仿宋" w:cs="宋体"/>
          <w:color w:val="auto"/>
          <w:sz w:val="28"/>
          <w:szCs w:val="28"/>
          <w:lang w:eastAsia="zh-CN"/>
        </w:rPr>
        <w:t>本物业管理区域内的业主、物业使用人在本物业管理区域停放 车辆的，停放人应与乙方另行签订合同(临时停放车辆的除外)。</w:t>
      </w:r>
    </w:p>
    <w:p w14:paraId="45796819">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hint="eastAsia" w:ascii="仿宋" w:hAnsi="仿宋" w:eastAsia="仿宋" w:cs="宋体"/>
          <w:color w:val="auto"/>
          <w:sz w:val="28"/>
          <w:szCs w:val="28"/>
          <w:lang w:eastAsia="zh-CN"/>
        </w:rPr>
      </w:pPr>
      <w:r>
        <w:rPr>
          <w:rFonts w:hint="eastAsia" w:ascii="仿宋" w:hAnsi="仿宋" w:eastAsia="仿宋" w:cs="宋体"/>
          <w:color w:val="auto"/>
          <w:sz w:val="28"/>
          <w:szCs w:val="28"/>
          <w:lang w:eastAsia="zh-CN"/>
        </w:rPr>
        <w:t>3、管理与物业相关的工程图纸、住用户档案等；</w:t>
      </w:r>
    </w:p>
    <w:p w14:paraId="1C836639">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hint="eastAsia" w:ascii="仿宋" w:hAnsi="仿宋" w:eastAsia="仿宋" w:cs="宋体"/>
          <w:color w:val="auto"/>
          <w:sz w:val="28"/>
          <w:szCs w:val="28"/>
          <w:lang w:eastAsia="zh-CN"/>
        </w:rPr>
      </w:pPr>
      <w:r>
        <w:rPr>
          <w:rFonts w:hint="eastAsia" w:ascii="仿宋" w:hAnsi="仿宋" w:eastAsia="仿宋" w:cs="宋体"/>
          <w:color w:val="auto"/>
          <w:sz w:val="28"/>
          <w:szCs w:val="28"/>
          <w:lang w:eastAsia="zh-CN"/>
        </w:rPr>
        <w:t>4、做好来访者的出入登记，对可疑人员进行询问，不许闲杂人 员进入小区，实行对装修施工人员核发出入证；</w:t>
      </w:r>
    </w:p>
    <w:p w14:paraId="14F7D0BC">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hint="eastAsia" w:ascii="仿宋" w:hAnsi="仿宋" w:eastAsia="仿宋" w:cs="宋体"/>
          <w:color w:val="auto"/>
          <w:sz w:val="28"/>
          <w:szCs w:val="28"/>
          <w:lang w:eastAsia="zh-CN"/>
        </w:rPr>
      </w:pPr>
      <w:r>
        <w:rPr>
          <w:rFonts w:hint="eastAsia" w:ascii="仿宋" w:hAnsi="仿宋" w:eastAsia="仿宋" w:cs="宋体"/>
          <w:color w:val="auto"/>
          <w:sz w:val="28"/>
          <w:szCs w:val="28"/>
          <w:lang w:eastAsia="zh-CN"/>
        </w:rPr>
        <w:t>5、对小区装修施工进行管理；</w:t>
      </w:r>
    </w:p>
    <w:p w14:paraId="561E1784">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hint="eastAsia" w:ascii="仿宋" w:hAnsi="仿宋" w:eastAsia="仿宋" w:cs="宋体"/>
          <w:color w:val="auto"/>
          <w:sz w:val="28"/>
          <w:szCs w:val="28"/>
          <w:lang w:eastAsia="zh-CN"/>
        </w:rPr>
      </w:pPr>
      <w:r>
        <w:rPr>
          <w:rFonts w:hint="eastAsia" w:ascii="仿宋" w:hAnsi="仿宋" w:eastAsia="仿宋" w:cs="宋体"/>
          <w:color w:val="auto"/>
          <w:sz w:val="28"/>
          <w:szCs w:val="28"/>
          <w:lang w:eastAsia="zh-CN"/>
        </w:rPr>
        <w:t>6、物品从本小区搬出须出示物业管理中心开具的放行条方可放 行。</w:t>
      </w:r>
    </w:p>
    <w:p w14:paraId="00CB34B9">
      <w:pPr>
        <w:keepNext w:val="0"/>
        <w:keepLines w:val="0"/>
        <w:pageBreakBefore w:val="0"/>
        <w:widowControl w:val="0"/>
        <w:kinsoku/>
        <w:wordWrap/>
        <w:overflowPunct/>
        <w:topLinePunct w:val="0"/>
        <w:autoSpaceDE/>
        <w:autoSpaceDN/>
        <w:bidi w:val="0"/>
        <w:adjustRightInd/>
        <w:snapToGrid/>
        <w:spacing w:line="540" w:lineRule="exact"/>
        <w:ind w:left="0" w:firstLine="562" w:firstLineChars="200"/>
        <w:textAlignment w:val="auto"/>
        <w:rPr>
          <w:rFonts w:hint="eastAsia" w:ascii="仿宋" w:hAnsi="仿宋" w:eastAsia="仿宋" w:cs="宋体"/>
          <w:b/>
          <w:bCs/>
          <w:color w:val="auto"/>
          <w:sz w:val="28"/>
          <w:szCs w:val="28"/>
          <w:lang w:eastAsia="zh-CN"/>
        </w:rPr>
      </w:pPr>
      <w:r>
        <w:rPr>
          <w:rFonts w:hint="eastAsia" w:ascii="仿宋" w:hAnsi="仿宋" w:eastAsia="仿宋" w:cs="宋体"/>
          <w:b/>
          <w:bCs/>
          <w:color w:val="auto"/>
          <w:sz w:val="28"/>
          <w:szCs w:val="28"/>
          <w:lang w:eastAsia="zh-CN"/>
        </w:rPr>
        <w:t>(五)其它事项</w:t>
      </w:r>
    </w:p>
    <w:p w14:paraId="47B2B1C5">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hint="eastAsia" w:ascii="仿宋" w:hAnsi="仿宋" w:eastAsia="仿宋" w:cs="宋体"/>
          <w:color w:val="auto"/>
          <w:sz w:val="28"/>
          <w:szCs w:val="28"/>
          <w:lang w:eastAsia="zh-CN"/>
        </w:rPr>
      </w:pPr>
      <w:r>
        <w:rPr>
          <w:rFonts w:hint="eastAsia" w:ascii="仿宋" w:hAnsi="仿宋" w:eastAsia="仿宋" w:cs="宋体"/>
          <w:color w:val="auto"/>
          <w:sz w:val="28"/>
          <w:szCs w:val="28"/>
          <w:lang w:eastAsia="zh-CN"/>
        </w:rPr>
        <w:t>乙方受业主、物业使用人的委托对其房屋专有部分的维修、养护及其它特约服务的费用，由当事人自行约定。</w:t>
      </w:r>
    </w:p>
    <w:p w14:paraId="50B94C58">
      <w:pPr>
        <w:keepNext w:val="0"/>
        <w:keepLines w:val="0"/>
        <w:pageBreakBefore w:val="0"/>
        <w:widowControl w:val="0"/>
        <w:kinsoku/>
        <w:wordWrap/>
        <w:overflowPunct/>
        <w:topLinePunct w:val="0"/>
        <w:autoSpaceDE/>
        <w:autoSpaceDN/>
        <w:bidi w:val="0"/>
        <w:adjustRightInd/>
        <w:snapToGrid/>
        <w:spacing w:line="540" w:lineRule="exact"/>
        <w:ind w:left="0" w:firstLine="562" w:firstLineChars="200"/>
        <w:textAlignment w:val="auto"/>
        <w:rPr>
          <w:rFonts w:hint="eastAsia" w:ascii="宋体" w:hAnsi="宋体" w:eastAsia="宋体" w:cs="宋体"/>
          <w:b/>
          <w:bCs/>
          <w:color w:val="auto"/>
          <w:sz w:val="28"/>
          <w:szCs w:val="28"/>
          <w:lang w:val="en-US" w:eastAsia="zh-CN"/>
        </w:rPr>
      </w:pPr>
      <w:r>
        <w:rPr>
          <w:rFonts w:hint="eastAsia" w:ascii="仿宋" w:hAnsi="仿宋" w:eastAsia="仿宋" w:cs="宋体"/>
          <w:b/>
          <w:bCs/>
          <w:color w:val="auto"/>
          <w:sz w:val="28"/>
          <w:szCs w:val="28"/>
          <w:lang w:eastAsia="zh-CN"/>
        </w:rPr>
        <w:t>九、服务</w:t>
      </w:r>
      <w:r>
        <w:rPr>
          <w:rFonts w:hint="eastAsia" w:ascii="仿宋" w:hAnsi="仿宋" w:eastAsia="仿宋" w:cs="宋体"/>
          <w:b/>
          <w:bCs/>
          <w:color w:val="auto"/>
          <w:sz w:val="28"/>
          <w:szCs w:val="28"/>
          <w:lang w:val="en-US" w:eastAsia="zh-CN"/>
        </w:rPr>
        <w:t>要求及标准</w:t>
      </w:r>
    </w:p>
    <w:p w14:paraId="391DC904">
      <w:pPr>
        <w:keepNext w:val="0"/>
        <w:keepLines w:val="0"/>
        <w:pageBreakBefore w:val="0"/>
        <w:widowControl w:val="0"/>
        <w:kinsoku/>
        <w:wordWrap/>
        <w:overflowPunct/>
        <w:topLinePunct w:val="0"/>
        <w:autoSpaceDE/>
        <w:autoSpaceDN/>
        <w:bidi w:val="0"/>
        <w:adjustRightInd/>
        <w:spacing w:line="540" w:lineRule="exact"/>
        <w:ind w:left="0" w:firstLine="560" w:firstLineChars="200"/>
        <w:jc w:val="left"/>
        <w:textAlignment w:val="auto"/>
        <w:rPr>
          <w:rFonts w:hint="eastAsia"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lang w:eastAsia="zh-CN"/>
        </w:rPr>
        <w:t>详见附件二《物业服务要求及标准》。</w:t>
      </w:r>
    </w:p>
    <w:p w14:paraId="2C3238F6">
      <w:pPr>
        <w:keepNext w:val="0"/>
        <w:keepLines w:val="0"/>
        <w:pageBreakBefore w:val="0"/>
        <w:widowControl w:val="0"/>
        <w:kinsoku/>
        <w:wordWrap/>
        <w:overflowPunct/>
        <w:topLinePunct w:val="0"/>
        <w:autoSpaceDE/>
        <w:autoSpaceDN/>
        <w:bidi w:val="0"/>
        <w:adjustRightInd/>
        <w:spacing w:line="540" w:lineRule="exact"/>
        <w:ind w:left="0" w:firstLine="562" w:firstLineChars="200"/>
        <w:jc w:val="left"/>
        <w:textAlignment w:val="auto"/>
        <w:rPr>
          <w:rFonts w:hint="eastAsia" w:ascii="仿宋" w:hAnsi="仿宋" w:eastAsia="仿宋" w:cs="仿宋"/>
          <w:b/>
          <w:bCs/>
          <w:color w:val="000000"/>
          <w:sz w:val="28"/>
          <w:szCs w:val="28"/>
          <w:highlight w:val="none"/>
          <w:lang w:eastAsia="zh-CN"/>
        </w:rPr>
      </w:pPr>
      <w:r>
        <w:rPr>
          <w:rFonts w:hint="eastAsia" w:ascii="仿宋" w:hAnsi="仿宋" w:eastAsia="仿宋" w:cs="仿宋"/>
          <w:b/>
          <w:bCs/>
          <w:color w:val="000000"/>
          <w:sz w:val="28"/>
          <w:szCs w:val="28"/>
          <w:highlight w:val="none"/>
          <w:lang w:eastAsia="zh-CN"/>
        </w:rPr>
        <w:t>十、双方的权利和义务</w:t>
      </w:r>
    </w:p>
    <w:p w14:paraId="43655045">
      <w:pPr>
        <w:keepNext w:val="0"/>
        <w:keepLines w:val="0"/>
        <w:pageBreakBefore w:val="0"/>
        <w:widowControl w:val="0"/>
        <w:kinsoku/>
        <w:wordWrap/>
        <w:overflowPunct/>
        <w:topLinePunct w:val="0"/>
        <w:autoSpaceDE/>
        <w:autoSpaceDN/>
        <w:bidi w:val="0"/>
        <w:adjustRightInd/>
        <w:spacing w:line="540" w:lineRule="exact"/>
        <w:ind w:left="0" w:firstLine="560" w:firstLineChars="200"/>
        <w:jc w:val="left"/>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(一)甲方的权利和义务</w:t>
      </w:r>
    </w:p>
    <w:p w14:paraId="5A60C14D">
      <w:pPr>
        <w:keepNext w:val="0"/>
        <w:keepLines w:val="0"/>
        <w:pageBreakBefore w:val="0"/>
        <w:widowControl w:val="0"/>
        <w:kinsoku/>
        <w:wordWrap/>
        <w:overflowPunct/>
        <w:topLinePunct w:val="0"/>
        <w:autoSpaceDE/>
        <w:autoSpaceDN/>
        <w:bidi w:val="0"/>
        <w:adjustRightInd/>
        <w:spacing w:line="540" w:lineRule="exact"/>
        <w:ind w:left="0" w:firstLine="560" w:firstLineChars="200"/>
        <w:jc w:val="left"/>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1、代表和维护产权人、使用人的合法权益；</w:t>
      </w:r>
    </w:p>
    <w:p w14:paraId="2039483C">
      <w:pPr>
        <w:keepNext w:val="0"/>
        <w:keepLines w:val="0"/>
        <w:pageBreakBefore w:val="0"/>
        <w:widowControl w:val="0"/>
        <w:kinsoku/>
        <w:wordWrap/>
        <w:overflowPunct/>
        <w:topLinePunct w:val="0"/>
        <w:autoSpaceDE/>
        <w:autoSpaceDN/>
        <w:bidi w:val="0"/>
        <w:adjustRightInd/>
        <w:spacing w:line="540" w:lineRule="exact"/>
        <w:ind w:left="0" w:firstLine="560" w:firstLineChars="200"/>
        <w:jc w:val="left"/>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2、有权要求乙方按合同约定提供物业服务，监督乙方履行本合 同，对乙方提供的物业有建议、督促的权利；</w:t>
      </w:r>
    </w:p>
    <w:p w14:paraId="1A05B987">
      <w:pPr>
        <w:keepNext w:val="0"/>
        <w:keepLines w:val="0"/>
        <w:pageBreakBefore w:val="0"/>
        <w:widowControl w:val="0"/>
        <w:kinsoku/>
        <w:wordWrap/>
        <w:overflowPunct/>
        <w:topLinePunct w:val="0"/>
        <w:autoSpaceDE/>
        <w:autoSpaceDN/>
        <w:bidi w:val="0"/>
        <w:adjustRightInd/>
        <w:spacing w:line="540" w:lineRule="exact"/>
        <w:ind w:left="0" w:firstLine="560" w:firstLineChars="200"/>
        <w:jc w:val="left"/>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3、审定乙方拟定的物业管理制度；</w:t>
      </w:r>
    </w:p>
    <w:p w14:paraId="5DAF033F">
      <w:pPr>
        <w:keepNext w:val="0"/>
        <w:keepLines w:val="0"/>
        <w:pageBreakBefore w:val="0"/>
        <w:widowControl w:val="0"/>
        <w:kinsoku/>
        <w:wordWrap/>
        <w:overflowPunct/>
        <w:topLinePunct w:val="0"/>
        <w:autoSpaceDE/>
        <w:autoSpaceDN/>
        <w:bidi w:val="0"/>
        <w:adjustRightInd/>
        <w:spacing w:line="540" w:lineRule="exact"/>
        <w:ind w:left="0" w:firstLine="560" w:firstLineChars="200"/>
        <w:jc w:val="left"/>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4、检查监督乙方管理工作的实施及制度的执行情况；</w:t>
      </w:r>
    </w:p>
    <w:p w14:paraId="3456DAE3">
      <w:pPr>
        <w:keepNext w:val="0"/>
        <w:keepLines w:val="0"/>
        <w:pageBreakBefore w:val="0"/>
        <w:widowControl w:val="0"/>
        <w:kinsoku/>
        <w:wordWrap/>
        <w:overflowPunct/>
        <w:topLinePunct w:val="0"/>
        <w:autoSpaceDE/>
        <w:autoSpaceDN/>
        <w:bidi w:val="0"/>
        <w:adjustRightInd/>
        <w:spacing w:line="540" w:lineRule="exact"/>
        <w:ind w:left="0" w:firstLine="560" w:firstLineChars="200"/>
        <w:jc w:val="left"/>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5、审定乙方提供的物业管理服务年度计划、财务预算及决算；</w:t>
      </w:r>
    </w:p>
    <w:p w14:paraId="3A0B8BA1">
      <w:pPr>
        <w:keepNext w:val="0"/>
        <w:keepLines w:val="0"/>
        <w:pageBreakBefore w:val="0"/>
        <w:widowControl w:val="0"/>
        <w:kinsoku/>
        <w:wordWrap/>
        <w:overflowPunct/>
        <w:topLinePunct w:val="0"/>
        <w:autoSpaceDE/>
        <w:autoSpaceDN/>
        <w:bidi w:val="0"/>
        <w:adjustRightInd/>
        <w:spacing w:line="540" w:lineRule="exact"/>
        <w:ind w:left="0" w:firstLine="560" w:firstLineChars="200"/>
        <w:jc w:val="left"/>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6、在合同生效之日起十日内按照《物业管理条例》规定的标准 向乙方提供不低于总建筑面积的2‰配备物业管理用房；</w:t>
      </w:r>
    </w:p>
    <w:p w14:paraId="5292C62E">
      <w:pPr>
        <w:keepNext w:val="0"/>
        <w:keepLines w:val="0"/>
        <w:pageBreakBefore w:val="0"/>
        <w:widowControl w:val="0"/>
        <w:kinsoku/>
        <w:wordWrap/>
        <w:overflowPunct/>
        <w:topLinePunct w:val="0"/>
        <w:autoSpaceDE/>
        <w:autoSpaceDN/>
        <w:bidi w:val="0"/>
        <w:adjustRightInd/>
        <w:spacing w:line="540" w:lineRule="exact"/>
        <w:ind w:left="0" w:firstLine="560" w:firstLineChars="200"/>
        <w:jc w:val="left"/>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7、负责收集、整理物业管理所需全部图纸、档案、资料，并于 合同生效之日起向乙方移交；</w:t>
      </w:r>
    </w:p>
    <w:p w14:paraId="601FFE3B">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hint="eastAsia" w:ascii="仿宋" w:hAnsi="仿宋" w:eastAsia="仿宋" w:cs="宋体"/>
          <w:color w:val="auto"/>
          <w:sz w:val="28"/>
          <w:szCs w:val="28"/>
          <w:lang w:eastAsia="zh-CN"/>
        </w:rPr>
      </w:pPr>
      <w:r>
        <w:rPr>
          <w:rFonts w:hint="eastAsia" w:ascii="仿宋" w:hAnsi="仿宋" w:eastAsia="仿宋" w:cs="仿宋"/>
          <w:color w:val="000000"/>
          <w:sz w:val="28"/>
          <w:szCs w:val="28"/>
          <w:highlight w:val="none"/>
        </w:rPr>
        <w:t>8、按照安全、公平、合理的原则，正确处理物业的给、排水， 通风、通行、卫生、环保等方面的相</w:t>
      </w:r>
      <w:r>
        <w:rPr>
          <w:rFonts w:hint="eastAsia" w:ascii="仿宋" w:hAnsi="仿宋" w:eastAsia="仿宋" w:cs="宋体"/>
          <w:color w:val="auto"/>
          <w:sz w:val="28"/>
          <w:szCs w:val="28"/>
          <w:lang w:eastAsia="zh-CN"/>
        </w:rPr>
        <w:t>邻关系；</w:t>
      </w:r>
    </w:p>
    <w:p w14:paraId="5D7E08B4">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hint="eastAsia" w:ascii="仿宋" w:hAnsi="仿宋" w:eastAsia="仿宋" w:cs="宋体"/>
          <w:color w:val="auto"/>
          <w:sz w:val="28"/>
          <w:szCs w:val="28"/>
          <w:lang w:eastAsia="zh-CN"/>
        </w:rPr>
      </w:pPr>
      <w:r>
        <w:rPr>
          <w:rFonts w:hint="eastAsia" w:ascii="仿宋" w:hAnsi="仿宋" w:eastAsia="仿宋" w:cs="宋体"/>
          <w:color w:val="auto"/>
          <w:sz w:val="28"/>
          <w:szCs w:val="28"/>
          <w:lang w:eastAsia="zh-CN"/>
        </w:rPr>
        <w:t>9、物业共用部位及设施设备的修缮，需使用专项维修资金的， 由乙方按实际</w:t>
      </w:r>
      <w:r>
        <w:rPr>
          <w:rFonts w:hint="eastAsia" w:ascii="仿宋" w:hAnsi="仿宋" w:eastAsia="仿宋" w:cs="仿宋"/>
          <w:color w:val="000000"/>
          <w:sz w:val="28"/>
          <w:szCs w:val="28"/>
          <w:highlight w:val="none"/>
        </w:rPr>
        <w:t>预算报价，甲方审核批准拨款后可委托乙方落</w:t>
      </w:r>
      <w:r>
        <w:rPr>
          <w:rFonts w:hint="eastAsia" w:ascii="仿宋" w:hAnsi="仿宋" w:eastAsia="仿宋" w:cs="宋体"/>
          <w:color w:val="auto"/>
          <w:sz w:val="28"/>
          <w:szCs w:val="28"/>
          <w:lang w:eastAsia="zh-CN"/>
        </w:rPr>
        <w:t>实实施。</w:t>
      </w:r>
    </w:p>
    <w:p w14:paraId="0CC0827C">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宋体"/>
          <w:color w:val="auto"/>
          <w:sz w:val="28"/>
          <w:szCs w:val="28"/>
          <w:lang w:eastAsia="zh-CN"/>
        </w:rPr>
        <w:t>10、有关法律、法规规</w:t>
      </w:r>
      <w:r>
        <w:rPr>
          <w:rFonts w:hint="eastAsia" w:ascii="仿宋" w:hAnsi="仿宋" w:eastAsia="仿宋" w:cs="仿宋"/>
          <w:color w:val="000000"/>
          <w:sz w:val="28"/>
          <w:szCs w:val="28"/>
          <w:highlight w:val="none"/>
        </w:rPr>
        <w:t>定的权利和义务。</w:t>
      </w:r>
    </w:p>
    <w:p w14:paraId="1F76CA68">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w:t>
      </w:r>
      <w:r>
        <w:rPr>
          <w:rFonts w:hint="eastAsia" w:ascii="仿宋" w:hAnsi="仿宋" w:eastAsia="仿宋" w:cs="仿宋"/>
          <w:color w:val="000000"/>
          <w:sz w:val="28"/>
          <w:szCs w:val="28"/>
          <w:highlight w:val="none"/>
        </w:rPr>
        <w:t>二)乙方的权利和义务</w:t>
      </w:r>
    </w:p>
    <w:p w14:paraId="4389CD9D">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1、按照本合同约定的物业服务标准和内容提供物业公共服务， 收取物业公共服务费等；</w:t>
      </w:r>
    </w:p>
    <w:p w14:paraId="1F114BCB">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2、根据有关法规和政策，结合实际情况，制定《管理规约》并 报甲方审核；</w:t>
      </w:r>
    </w:p>
    <w:p w14:paraId="1F807CBB">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3、建立健全本物业的物业管理服务档案资料；</w:t>
      </w:r>
    </w:p>
    <w:p w14:paraId="5E839EEF">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4、对业主和物业使用人违反本合同和《管理规约》的行为，采 取劝阻、制止、报告等方式督促业主和物业使用人及时改正；</w:t>
      </w:r>
    </w:p>
    <w:p w14:paraId="4A40D1FF">
      <w:pPr>
        <w:keepNext w:val="0"/>
        <w:keepLines w:val="0"/>
        <w:pageBreakBefore w:val="0"/>
        <w:widowControl w:val="0"/>
        <w:kinsoku/>
        <w:wordWrap/>
        <w:overflowPunct/>
        <w:topLinePunct w:val="0"/>
        <w:autoSpaceDE/>
        <w:autoSpaceDN/>
        <w:bidi w:val="0"/>
        <w:adjustRightInd/>
        <w:spacing w:line="540" w:lineRule="exact"/>
        <w:ind w:left="0" w:firstLine="560" w:firstLineChars="200"/>
        <w:jc w:val="left"/>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5、依据本合同向甲方收取物业服务费用；</w:t>
      </w:r>
    </w:p>
    <w:p w14:paraId="351E5EF2">
      <w:pPr>
        <w:keepNext w:val="0"/>
        <w:keepLines w:val="0"/>
        <w:pageBreakBefore w:val="0"/>
        <w:widowControl w:val="0"/>
        <w:kinsoku/>
        <w:wordWrap/>
        <w:overflowPunct/>
        <w:topLinePunct w:val="0"/>
        <w:autoSpaceDE/>
        <w:autoSpaceDN/>
        <w:bidi w:val="0"/>
        <w:adjustRightInd/>
        <w:spacing w:line="540" w:lineRule="exact"/>
        <w:ind w:left="0" w:firstLine="560" w:firstLineChars="200"/>
        <w:jc w:val="left"/>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6、提前将装饰装修房屋的注意事项和限制条件书面告知甲方， 并与甲方及装修公司订立《装修施工承诺书》;</w:t>
      </w:r>
    </w:p>
    <w:p w14:paraId="488D2C1F">
      <w:pPr>
        <w:keepNext w:val="0"/>
        <w:keepLines w:val="0"/>
        <w:pageBreakBefore w:val="0"/>
        <w:widowControl w:val="0"/>
        <w:kinsoku/>
        <w:wordWrap/>
        <w:overflowPunct/>
        <w:topLinePunct w:val="0"/>
        <w:autoSpaceDE/>
        <w:autoSpaceDN/>
        <w:bidi w:val="0"/>
        <w:adjustRightInd/>
        <w:spacing w:line="540" w:lineRule="exact"/>
        <w:ind w:left="0" w:firstLine="560" w:firstLineChars="200"/>
        <w:jc w:val="left"/>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7、不得违章占用本物业的共用部位、共用设施设备或改变其使 用功能。</w:t>
      </w:r>
    </w:p>
    <w:p w14:paraId="2780E995">
      <w:pPr>
        <w:keepNext w:val="0"/>
        <w:keepLines w:val="0"/>
        <w:pageBreakBefore w:val="0"/>
        <w:widowControl w:val="0"/>
        <w:kinsoku/>
        <w:wordWrap/>
        <w:overflowPunct/>
        <w:topLinePunct w:val="0"/>
        <w:autoSpaceDE/>
        <w:autoSpaceDN/>
        <w:bidi w:val="0"/>
        <w:adjustRightInd/>
        <w:spacing w:line="540" w:lineRule="exact"/>
        <w:ind w:left="0" w:firstLine="560" w:firstLineChars="200"/>
        <w:jc w:val="left"/>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8、有关法律规定和当事人约定的其他权利义务。</w:t>
      </w:r>
    </w:p>
    <w:p w14:paraId="2B7766E2">
      <w:pPr>
        <w:keepNext w:val="0"/>
        <w:keepLines w:val="0"/>
        <w:pageBreakBefore w:val="0"/>
        <w:widowControl w:val="0"/>
        <w:kinsoku/>
        <w:wordWrap/>
        <w:overflowPunct/>
        <w:topLinePunct w:val="0"/>
        <w:autoSpaceDE/>
        <w:autoSpaceDN/>
        <w:bidi w:val="0"/>
        <w:adjustRightInd/>
        <w:spacing w:line="540" w:lineRule="exact"/>
        <w:ind w:left="0" w:firstLine="562" w:firstLineChars="200"/>
        <w:jc w:val="left"/>
        <w:textAlignment w:val="auto"/>
        <w:rPr>
          <w:rFonts w:hint="eastAsia" w:ascii="仿宋" w:hAnsi="仿宋" w:eastAsia="仿宋" w:cs="仿宋"/>
          <w:b/>
          <w:bCs/>
          <w:color w:val="000000"/>
          <w:sz w:val="28"/>
          <w:szCs w:val="28"/>
          <w:highlight w:val="none"/>
          <w:lang w:val="en-US" w:eastAsia="zh-CN"/>
        </w:rPr>
      </w:pPr>
      <w:r>
        <w:rPr>
          <w:rFonts w:hint="eastAsia" w:ascii="仿宋" w:hAnsi="仿宋" w:eastAsia="仿宋" w:cs="仿宋"/>
          <w:b/>
          <w:bCs/>
          <w:color w:val="000000"/>
          <w:sz w:val="28"/>
          <w:szCs w:val="28"/>
          <w:highlight w:val="none"/>
          <w:lang w:val="en-US" w:eastAsia="zh-CN"/>
        </w:rPr>
        <w:t>十一、考核要求</w:t>
      </w:r>
    </w:p>
    <w:p w14:paraId="5382BBCD">
      <w:pPr>
        <w:keepNext w:val="0"/>
        <w:keepLines w:val="0"/>
        <w:pageBreakBefore w:val="0"/>
        <w:widowControl w:val="0"/>
        <w:kinsoku/>
        <w:wordWrap/>
        <w:overflowPunct/>
        <w:topLinePunct w:val="0"/>
        <w:autoSpaceDE/>
        <w:autoSpaceDN/>
        <w:bidi w:val="0"/>
        <w:adjustRightInd/>
        <w:spacing w:line="540" w:lineRule="exact"/>
        <w:ind w:left="0" w:firstLine="560" w:firstLineChars="200"/>
        <w:jc w:val="left"/>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1.甲方对乙方进行定期与不定期检查和监督，对检查中发现的问题可口头或书面通知乙方并限期整改，对乙方个别素质不符合使用要求的员工，甲方有权用书面形式通知乙方辞退调换。甲方每月根据物业考核标准（详见附件三），综合评价乙方服务质量。</w:t>
      </w:r>
    </w:p>
    <w:p w14:paraId="16E54EE8">
      <w:pPr>
        <w:keepNext w:val="0"/>
        <w:keepLines w:val="0"/>
        <w:pageBreakBefore w:val="0"/>
        <w:widowControl w:val="0"/>
        <w:kinsoku/>
        <w:wordWrap/>
        <w:overflowPunct/>
        <w:topLinePunct w:val="0"/>
        <w:autoSpaceDE/>
        <w:autoSpaceDN/>
        <w:bidi w:val="0"/>
        <w:adjustRightInd/>
        <w:spacing w:line="540" w:lineRule="exact"/>
        <w:ind w:left="0" w:firstLine="560" w:firstLineChars="200"/>
        <w:jc w:val="left"/>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2、考核结果85分为合格，85分以上足额划拨应付物业管理费；低于85分为不合格，考核为不合格的，按照实际得分情况计算核减当月服务费，计算公式为当月服务费=当月全额服务费×[1-（85-当月最终得分）/100]；</w:t>
      </w:r>
    </w:p>
    <w:p w14:paraId="1136C837">
      <w:pPr>
        <w:keepNext w:val="0"/>
        <w:keepLines w:val="0"/>
        <w:pageBreakBefore w:val="0"/>
        <w:widowControl w:val="0"/>
        <w:kinsoku/>
        <w:wordWrap/>
        <w:overflowPunct/>
        <w:topLinePunct w:val="0"/>
        <w:autoSpaceDE/>
        <w:autoSpaceDN/>
        <w:bidi w:val="0"/>
        <w:adjustRightInd/>
        <w:spacing w:line="540" w:lineRule="exact"/>
        <w:ind w:left="0" w:firstLine="560" w:firstLineChars="200"/>
        <w:jc w:val="left"/>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3.服务期内，乙方提供的作业内容中，单月考核得分在75分以下的，甲方有权要求服务单位限期整改，如乙方未在规定时间内完成整改，甲方有权根据考核结果全额扣除当月服务费；合作期内累计3个月考核得分在75分以下的，甲方有权向县政府申请终止本项目服务合同和重新启动招投标确定服务单位，经县政府批准后，甲方启动服务单位终止退出流程。</w:t>
      </w:r>
    </w:p>
    <w:p w14:paraId="15D172B0">
      <w:pPr>
        <w:keepNext w:val="0"/>
        <w:keepLines w:val="0"/>
        <w:pageBreakBefore w:val="0"/>
        <w:widowControl w:val="0"/>
        <w:kinsoku/>
        <w:wordWrap/>
        <w:overflowPunct/>
        <w:topLinePunct w:val="0"/>
        <w:autoSpaceDE/>
        <w:autoSpaceDN/>
        <w:bidi w:val="0"/>
        <w:adjustRightInd/>
        <w:spacing w:line="540" w:lineRule="exact"/>
        <w:ind w:left="0" w:firstLine="562" w:firstLineChars="200"/>
        <w:jc w:val="left"/>
        <w:textAlignment w:val="auto"/>
        <w:outlineLvl w:val="0"/>
        <w:rPr>
          <w:rFonts w:ascii="宋体" w:hAnsi="宋体" w:cs="宋体"/>
          <w:b/>
          <w:color w:val="auto"/>
          <w:sz w:val="28"/>
          <w:szCs w:val="28"/>
        </w:rPr>
      </w:pPr>
      <w:r>
        <w:rPr>
          <w:rFonts w:hint="eastAsia" w:ascii="宋体" w:hAnsi="宋体" w:cs="宋体"/>
          <w:b/>
          <w:color w:val="auto"/>
          <w:sz w:val="28"/>
          <w:szCs w:val="28"/>
          <w:lang w:val="en-US" w:eastAsia="zh-CN"/>
        </w:rPr>
        <w:t>十一</w:t>
      </w:r>
      <w:r>
        <w:rPr>
          <w:rFonts w:hint="eastAsia" w:ascii="宋体" w:hAnsi="宋体" w:cs="宋体"/>
          <w:b/>
          <w:color w:val="auto"/>
          <w:sz w:val="28"/>
          <w:szCs w:val="28"/>
        </w:rPr>
        <w:t>、违约责任</w:t>
      </w:r>
    </w:p>
    <w:p w14:paraId="7602BC55">
      <w:pPr>
        <w:keepNext w:val="0"/>
        <w:keepLines w:val="0"/>
        <w:pageBreakBefore w:val="0"/>
        <w:widowControl w:val="0"/>
        <w:kinsoku/>
        <w:wordWrap/>
        <w:overflowPunct/>
        <w:topLinePunct w:val="0"/>
        <w:autoSpaceDE/>
        <w:autoSpaceDN/>
        <w:bidi w:val="0"/>
        <w:adjustRightInd/>
        <w:spacing w:line="540" w:lineRule="exact"/>
        <w:ind w:left="0" w:firstLine="560" w:firstLineChars="200"/>
        <w:jc w:val="left"/>
        <w:textAlignment w:val="auto"/>
        <w:rPr>
          <w:rFonts w:hint="eastAsia"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lang w:eastAsia="zh-CN"/>
        </w:rPr>
        <w:t>1.甲方未履行本合同约定的有关义务,致使乙方无法按双方约定的质量标准完成管理工作,责任由甲方自行承担;造成乙方的经济损失,甲方应给予乙方经济补偿。</w:t>
      </w:r>
    </w:p>
    <w:p w14:paraId="02564EEF">
      <w:pPr>
        <w:keepNext w:val="0"/>
        <w:keepLines w:val="0"/>
        <w:pageBreakBefore w:val="0"/>
        <w:widowControl w:val="0"/>
        <w:kinsoku/>
        <w:wordWrap/>
        <w:overflowPunct/>
        <w:topLinePunct w:val="0"/>
        <w:autoSpaceDE/>
        <w:autoSpaceDN/>
        <w:bidi w:val="0"/>
        <w:adjustRightInd/>
        <w:spacing w:line="540" w:lineRule="exact"/>
        <w:ind w:left="0" w:firstLine="560" w:firstLineChars="200"/>
        <w:jc w:val="left"/>
        <w:textAlignment w:val="auto"/>
        <w:rPr>
          <w:rFonts w:hint="eastAsia"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lang w:eastAsia="zh-CN"/>
        </w:rPr>
        <w:t>2.乙方未履行本合同约定的有关义务,未能达到约定的管理目标,甲方有权要求乙方限期整改或随时终止合同,如造成甲方经济损失的,乙方应给予甲方经济补偿。</w:t>
      </w:r>
    </w:p>
    <w:p w14:paraId="5F9493FC">
      <w:pPr>
        <w:keepNext w:val="0"/>
        <w:keepLines w:val="0"/>
        <w:pageBreakBefore w:val="0"/>
        <w:widowControl w:val="0"/>
        <w:kinsoku/>
        <w:wordWrap/>
        <w:overflowPunct/>
        <w:topLinePunct w:val="0"/>
        <w:autoSpaceDE/>
        <w:autoSpaceDN/>
        <w:bidi w:val="0"/>
        <w:adjustRightInd/>
        <w:spacing w:line="540" w:lineRule="exact"/>
        <w:ind w:left="0" w:firstLine="560" w:firstLineChars="200"/>
        <w:jc w:val="left"/>
        <w:textAlignment w:val="auto"/>
        <w:rPr>
          <w:rFonts w:hint="eastAsia"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lang w:eastAsia="zh-CN"/>
        </w:rPr>
        <w:t>3.乙方不能按期提供服务或甲方无正当理由要求终止服务，应向甲方全额返还已支付的服务费。并赔偿其所造成的经济损失。</w:t>
      </w:r>
    </w:p>
    <w:p w14:paraId="4C57AC76">
      <w:pPr>
        <w:keepNext w:val="0"/>
        <w:keepLines w:val="0"/>
        <w:pageBreakBefore w:val="0"/>
        <w:widowControl w:val="0"/>
        <w:kinsoku/>
        <w:wordWrap/>
        <w:overflowPunct/>
        <w:topLinePunct w:val="0"/>
        <w:autoSpaceDE/>
        <w:autoSpaceDN/>
        <w:bidi w:val="0"/>
        <w:adjustRightInd/>
        <w:spacing w:line="540" w:lineRule="exact"/>
        <w:ind w:left="0" w:firstLine="560" w:firstLineChars="200"/>
        <w:jc w:val="left"/>
        <w:textAlignment w:val="auto"/>
        <w:rPr>
          <w:rFonts w:hint="eastAsia"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lang w:eastAsia="zh-CN"/>
        </w:rPr>
        <w:t>4.因乙方管理原因,引起的任何不当后果,甲方不承担责任。</w:t>
      </w:r>
    </w:p>
    <w:p w14:paraId="7537384A">
      <w:pPr>
        <w:keepNext w:val="0"/>
        <w:keepLines w:val="0"/>
        <w:pageBreakBefore w:val="0"/>
        <w:widowControl w:val="0"/>
        <w:kinsoku/>
        <w:wordWrap/>
        <w:overflowPunct/>
        <w:topLinePunct w:val="0"/>
        <w:autoSpaceDE/>
        <w:autoSpaceDN/>
        <w:bidi w:val="0"/>
        <w:adjustRightInd/>
        <w:spacing w:line="540" w:lineRule="exact"/>
        <w:ind w:left="0" w:firstLine="562" w:firstLineChars="200"/>
        <w:jc w:val="left"/>
        <w:textAlignment w:val="auto"/>
        <w:rPr>
          <w:rFonts w:hint="eastAsia" w:ascii="仿宋" w:hAnsi="仿宋" w:eastAsia="仿宋" w:cs="仿宋"/>
          <w:b/>
          <w:bCs/>
          <w:color w:val="000000"/>
          <w:sz w:val="28"/>
          <w:szCs w:val="28"/>
          <w:highlight w:val="none"/>
          <w:lang w:eastAsia="zh-CN"/>
        </w:rPr>
      </w:pPr>
      <w:r>
        <w:rPr>
          <w:rFonts w:hint="eastAsia" w:ascii="仿宋" w:hAnsi="仿宋" w:eastAsia="仿宋" w:cs="仿宋"/>
          <w:b/>
          <w:bCs/>
          <w:color w:val="000000"/>
          <w:sz w:val="28"/>
          <w:szCs w:val="28"/>
          <w:highlight w:val="none"/>
          <w:lang w:val="en-US" w:eastAsia="zh-CN"/>
        </w:rPr>
        <w:t>十二</w:t>
      </w:r>
      <w:r>
        <w:rPr>
          <w:rFonts w:hint="eastAsia" w:ascii="仿宋" w:hAnsi="仿宋" w:eastAsia="仿宋" w:cs="仿宋"/>
          <w:b/>
          <w:bCs/>
          <w:color w:val="000000"/>
          <w:sz w:val="28"/>
          <w:szCs w:val="28"/>
          <w:highlight w:val="none"/>
          <w:lang w:eastAsia="zh-CN"/>
        </w:rPr>
        <w:t>、合同纠纷处理</w:t>
      </w:r>
    </w:p>
    <w:p w14:paraId="2C0C9144">
      <w:pPr>
        <w:keepNext w:val="0"/>
        <w:keepLines w:val="0"/>
        <w:pageBreakBefore w:val="0"/>
        <w:widowControl w:val="0"/>
        <w:kinsoku/>
        <w:wordWrap/>
        <w:overflowPunct/>
        <w:topLinePunct w:val="0"/>
        <w:autoSpaceDE/>
        <w:autoSpaceDN/>
        <w:bidi w:val="0"/>
        <w:adjustRightInd/>
        <w:spacing w:line="540" w:lineRule="exact"/>
        <w:ind w:left="0"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000000"/>
          <w:sz w:val="28"/>
          <w:szCs w:val="28"/>
          <w:highlight w:val="none"/>
          <w:lang w:eastAsia="zh-CN"/>
        </w:rPr>
        <w:t>本合同履行过程中发生的任</w:t>
      </w:r>
      <w:r>
        <w:rPr>
          <w:rFonts w:hint="eastAsia" w:ascii="仿宋" w:hAnsi="仿宋" w:eastAsia="仿宋" w:cs="仿宋"/>
          <w:color w:val="auto"/>
          <w:sz w:val="28"/>
          <w:szCs w:val="28"/>
          <w:lang w:eastAsia="zh-CN"/>
        </w:rPr>
        <w:t>何争议，甲乙双方当事人均可通过和解或者调解解决；不愿和解、调解或者和解、调解不成的，可以选择下列第</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en-US" w:eastAsia="zh-CN"/>
        </w:rPr>
        <w:t>2</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种方式解决：</w:t>
      </w:r>
    </w:p>
    <w:p w14:paraId="00287B69">
      <w:pPr>
        <w:keepNext w:val="0"/>
        <w:keepLines w:val="0"/>
        <w:pageBreakBefore w:val="0"/>
        <w:widowControl w:val="0"/>
        <w:numPr>
          <w:ilvl w:val="0"/>
          <w:numId w:val="2"/>
        </w:numPr>
        <w:kinsoku/>
        <w:wordWrap/>
        <w:overflowPunct/>
        <w:topLinePunct w:val="0"/>
        <w:autoSpaceDE/>
        <w:autoSpaceDN/>
        <w:bidi w:val="0"/>
        <w:adjustRightInd/>
        <w:spacing w:line="540" w:lineRule="exact"/>
        <w:ind w:left="0" w:leftChars="0" w:firstLine="560" w:firstLineChars="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将争议提交</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en-US" w:eastAsia="zh-CN"/>
        </w:rPr>
        <w:t>/</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仲裁委员会依申请仲裁时其现行有效的仲裁规则裁决；</w:t>
      </w:r>
    </w:p>
    <w:p w14:paraId="1CB9B631">
      <w:pPr>
        <w:keepNext w:val="0"/>
        <w:keepLines w:val="0"/>
        <w:pageBreakBefore w:val="0"/>
        <w:widowControl w:val="0"/>
        <w:tabs>
          <w:tab w:val="left" w:pos="1980"/>
        </w:tabs>
        <w:kinsoku/>
        <w:wordWrap/>
        <w:overflowPunct/>
        <w:topLinePunct w:val="0"/>
        <w:autoSpaceDE/>
        <w:autoSpaceDN/>
        <w:bidi w:val="0"/>
        <w:adjustRightInd/>
        <w:snapToGrid w:val="0"/>
        <w:spacing w:line="540" w:lineRule="exact"/>
        <w:ind w:left="0" w:firstLine="548" w:firstLineChars="196"/>
        <w:textAlignment w:val="auto"/>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 向</w:t>
      </w:r>
      <w:r>
        <w:rPr>
          <w:rFonts w:hint="eastAsia" w:ascii="仿宋" w:hAnsi="仿宋" w:eastAsia="仿宋" w:cs="仿宋"/>
          <w:color w:val="auto"/>
          <w:sz w:val="28"/>
          <w:szCs w:val="28"/>
          <w:u w:val="single"/>
          <w:lang w:eastAsia="zh-CN"/>
        </w:rPr>
        <w:t xml:space="preserve">  合同履行地的  </w:t>
      </w:r>
      <w:r>
        <w:rPr>
          <w:rFonts w:hint="eastAsia" w:ascii="仿宋" w:hAnsi="仿宋" w:eastAsia="仿宋" w:cs="仿宋"/>
          <w:color w:val="auto"/>
          <w:sz w:val="28"/>
          <w:szCs w:val="28"/>
          <w:lang w:eastAsia="zh-CN"/>
        </w:rPr>
        <w:t>人民法院起诉</w:t>
      </w:r>
      <w:r>
        <w:rPr>
          <w:rFonts w:hint="eastAsia" w:ascii="仿宋" w:hAnsi="仿宋" w:eastAsia="仿宋" w:cs="仿宋"/>
          <w:color w:val="auto"/>
          <w:sz w:val="28"/>
          <w:szCs w:val="28"/>
          <w:shd w:val="clear" w:color="auto" w:fill="FFFFFF"/>
        </w:rPr>
        <w:t>。</w:t>
      </w:r>
    </w:p>
    <w:p w14:paraId="3FF079A1">
      <w:pPr>
        <w:keepNext w:val="0"/>
        <w:keepLines w:val="0"/>
        <w:pageBreakBefore w:val="0"/>
        <w:widowControl w:val="0"/>
        <w:kinsoku/>
        <w:wordWrap/>
        <w:overflowPunct/>
        <w:topLinePunct w:val="0"/>
        <w:autoSpaceDE/>
        <w:autoSpaceDN/>
        <w:bidi w:val="0"/>
        <w:adjustRightInd/>
        <w:snapToGrid/>
        <w:spacing w:line="540" w:lineRule="exact"/>
        <w:ind w:left="0" w:firstLine="562" w:firstLineChars="200"/>
        <w:textAlignment w:val="auto"/>
        <w:outlineLvl w:val="0"/>
        <w:rPr>
          <w:rFonts w:ascii="仿宋" w:hAnsi="仿宋" w:eastAsia="仿宋" w:cs="宋体"/>
          <w:b/>
          <w:sz w:val="28"/>
          <w:szCs w:val="28"/>
          <w:lang w:eastAsia="zh-CN"/>
        </w:rPr>
      </w:pPr>
      <w:r>
        <w:rPr>
          <w:rFonts w:hint="eastAsia" w:ascii="仿宋" w:hAnsi="仿宋" w:eastAsia="仿宋" w:cs="宋体"/>
          <w:b/>
          <w:sz w:val="28"/>
          <w:szCs w:val="28"/>
          <w:lang w:eastAsia="zh-CN"/>
        </w:rPr>
        <w:t>十三、政府采购合同生效</w:t>
      </w:r>
    </w:p>
    <w:p w14:paraId="30F5045F">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outlineLvl w:val="0"/>
        <w:rPr>
          <w:rFonts w:ascii="仿宋" w:hAnsi="仿宋" w:eastAsia="仿宋" w:cs="宋体"/>
          <w:sz w:val="28"/>
          <w:szCs w:val="28"/>
          <w:lang w:eastAsia="zh-CN"/>
        </w:rPr>
      </w:pPr>
      <w:r>
        <w:rPr>
          <w:rFonts w:hint="eastAsia" w:ascii="仿宋" w:hAnsi="仿宋" w:eastAsia="仿宋" w:cs="宋体"/>
          <w:sz w:val="28"/>
          <w:szCs w:val="28"/>
          <w:lang w:eastAsia="zh-CN"/>
        </w:rPr>
        <w:t>本政府采购合同经甲乙双方授权代表签字盖章后生效。</w:t>
      </w:r>
    </w:p>
    <w:p w14:paraId="2EB4AF26">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outlineLvl w:val="0"/>
        <w:rPr>
          <w:rFonts w:ascii="仿宋" w:hAnsi="仿宋" w:eastAsia="仿宋" w:cs="宋体"/>
          <w:sz w:val="28"/>
          <w:szCs w:val="28"/>
          <w:lang w:eastAsia="zh-CN"/>
        </w:rPr>
      </w:pPr>
      <w:r>
        <w:rPr>
          <w:rFonts w:hint="eastAsia" w:ascii="仿宋" w:hAnsi="仿宋" w:eastAsia="仿宋" w:cs="宋体"/>
          <w:sz w:val="28"/>
          <w:szCs w:val="28"/>
          <w:lang w:eastAsia="zh-CN"/>
        </w:rPr>
        <w:t>本合同共五份：甲方二份、乙方二份、海南省政府采购中心一份。</w:t>
      </w:r>
    </w:p>
    <w:p w14:paraId="1D1511F7">
      <w:pPr>
        <w:keepNext w:val="0"/>
        <w:keepLines w:val="0"/>
        <w:pageBreakBefore w:val="0"/>
        <w:widowControl w:val="0"/>
        <w:numPr>
          <w:ilvl w:val="0"/>
          <w:numId w:val="3"/>
        </w:numPr>
        <w:tabs>
          <w:tab w:val="left" w:pos="1980"/>
        </w:tabs>
        <w:kinsoku/>
        <w:wordWrap/>
        <w:overflowPunct/>
        <w:topLinePunct w:val="0"/>
        <w:autoSpaceDE/>
        <w:autoSpaceDN/>
        <w:bidi w:val="0"/>
        <w:adjustRightInd/>
        <w:snapToGrid/>
        <w:spacing w:line="540" w:lineRule="exact"/>
        <w:ind w:left="0" w:firstLine="551" w:firstLineChars="196"/>
        <w:textAlignment w:val="auto"/>
        <w:rPr>
          <w:rFonts w:hint="eastAsia" w:ascii="仿宋" w:hAnsi="仿宋" w:eastAsia="仿宋" w:cs="宋体"/>
          <w:b/>
          <w:sz w:val="28"/>
          <w:szCs w:val="28"/>
          <w:lang w:eastAsia="zh-CN"/>
        </w:rPr>
      </w:pPr>
      <w:r>
        <w:rPr>
          <w:rFonts w:hint="eastAsia" w:ascii="仿宋" w:hAnsi="仿宋" w:eastAsia="仿宋" w:cs="宋体"/>
          <w:b/>
          <w:sz w:val="28"/>
          <w:szCs w:val="28"/>
          <w:lang w:eastAsia="zh-CN"/>
        </w:rPr>
        <w:t>其他</w:t>
      </w:r>
    </w:p>
    <w:p w14:paraId="627CF939">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outlineLvl w:val="0"/>
        <w:rPr>
          <w:rFonts w:ascii="仿宋" w:hAnsi="仿宋" w:eastAsia="仿宋" w:cs="宋体"/>
          <w:sz w:val="28"/>
          <w:szCs w:val="28"/>
          <w:lang w:eastAsia="zh-CN"/>
        </w:rPr>
      </w:pPr>
      <w:r>
        <w:rPr>
          <w:rFonts w:hint="eastAsia" w:ascii="仿宋" w:hAnsi="仿宋" w:eastAsia="仿宋" w:cs="宋体"/>
          <w:sz w:val="28"/>
          <w:szCs w:val="28"/>
          <w:lang w:eastAsia="zh-CN"/>
        </w:rPr>
        <w:t>本合同未尽事宜，双方可以增加条款或补充协议的形式加以补充，但增加或补充协议的条款不得对招标文件和投标文件约定的内容作实质性修改。补充协议与本合同具有相同的法律效力。</w:t>
      </w:r>
    </w:p>
    <w:p w14:paraId="0F7AFA44">
      <w:pPr>
        <w:keepNext w:val="0"/>
        <w:keepLines w:val="0"/>
        <w:pageBreakBefore w:val="0"/>
        <w:widowControl w:val="0"/>
        <w:kinsoku/>
        <w:wordWrap/>
        <w:overflowPunct/>
        <w:topLinePunct w:val="0"/>
        <w:autoSpaceDE/>
        <w:autoSpaceDN/>
        <w:bidi w:val="0"/>
        <w:adjustRightInd/>
        <w:snapToGrid/>
        <w:spacing w:line="540" w:lineRule="exact"/>
        <w:ind w:left="0" w:firstLine="140" w:firstLineChars="50"/>
        <w:textAlignment w:val="auto"/>
        <w:rPr>
          <w:rFonts w:ascii="仿宋" w:hAnsi="仿宋" w:eastAsia="仿宋" w:cs="宋体"/>
          <w:sz w:val="28"/>
          <w:szCs w:val="28"/>
          <w:lang w:eastAsia="zh-CN"/>
        </w:rPr>
      </w:pPr>
    </w:p>
    <w:p w14:paraId="4A89C8D8">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jc w:val="both"/>
        <w:textAlignment w:val="auto"/>
        <w:rPr>
          <w:rFonts w:hint="default"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eastAsia="zh-CN"/>
        </w:rPr>
        <w:t>附件一：</w:t>
      </w:r>
      <w:r>
        <w:rPr>
          <w:rFonts w:hint="eastAsia" w:ascii="仿宋" w:hAnsi="仿宋" w:eastAsia="仿宋" w:cs="仿宋"/>
          <w:color w:val="000000"/>
          <w:sz w:val="28"/>
          <w:szCs w:val="28"/>
          <w:highlight w:val="none"/>
          <w:lang w:val="en-US" w:eastAsia="zh-CN"/>
        </w:rPr>
        <w:t>中标通知书</w:t>
      </w:r>
    </w:p>
    <w:p w14:paraId="1B38D04F">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jc w:val="both"/>
        <w:textAlignment w:val="auto"/>
        <w:rPr>
          <w:rFonts w:hint="eastAsia"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lang w:eastAsia="zh-CN"/>
        </w:rPr>
        <w:t>附件二：《物业服务要求及标准》</w:t>
      </w:r>
    </w:p>
    <w:p w14:paraId="5DBB10C3">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jc w:val="both"/>
        <w:textAlignment w:val="auto"/>
        <w:rPr>
          <w:rFonts w:hint="eastAsia"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lang w:eastAsia="zh-CN"/>
        </w:rPr>
        <w:t>附件三、物业考核标准</w:t>
      </w:r>
    </w:p>
    <w:p w14:paraId="6E482E1C">
      <w:pPr>
        <w:keepNext w:val="0"/>
        <w:keepLines w:val="0"/>
        <w:pageBreakBefore w:val="0"/>
        <w:widowControl w:val="0"/>
        <w:kinsoku/>
        <w:wordWrap/>
        <w:overflowPunct/>
        <w:topLinePunct w:val="0"/>
        <w:autoSpaceDE/>
        <w:autoSpaceDN/>
        <w:bidi w:val="0"/>
        <w:adjustRightInd/>
        <w:snapToGrid/>
        <w:spacing w:line="540" w:lineRule="exact"/>
        <w:ind w:left="0" w:firstLine="560" w:firstLineChars="200"/>
        <w:textAlignment w:val="auto"/>
        <w:rPr>
          <w:rFonts w:ascii="仿宋" w:hAnsi="仿宋" w:eastAsia="仿宋" w:cs="宋体"/>
          <w:sz w:val="28"/>
          <w:szCs w:val="28"/>
          <w:lang w:eastAsia="zh-CN"/>
        </w:rPr>
      </w:pPr>
    </w:p>
    <w:p w14:paraId="69FF31FB">
      <w:pPr>
        <w:keepNext w:val="0"/>
        <w:keepLines w:val="0"/>
        <w:pageBreakBefore w:val="0"/>
        <w:widowControl w:val="0"/>
        <w:kinsoku/>
        <w:wordWrap/>
        <w:overflowPunct/>
        <w:topLinePunct w:val="0"/>
        <w:autoSpaceDE/>
        <w:autoSpaceDN/>
        <w:bidi w:val="0"/>
        <w:adjustRightInd/>
        <w:snapToGrid/>
        <w:spacing w:line="540" w:lineRule="exact"/>
        <w:ind w:left="0" w:firstLine="518" w:firstLineChars="185"/>
        <w:textAlignment w:val="auto"/>
        <w:rPr>
          <w:rFonts w:ascii="仿宋" w:hAnsi="仿宋" w:eastAsia="仿宋" w:cs="宋体"/>
          <w:sz w:val="28"/>
          <w:szCs w:val="28"/>
          <w:lang w:eastAsia="zh-CN"/>
        </w:rPr>
      </w:pPr>
      <w:r>
        <w:rPr>
          <w:rFonts w:hint="eastAsia" w:ascii="仿宋" w:hAnsi="仿宋" w:eastAsia="仿宋" w:cs="宋体"/>
          <w:sz w:val="28"/>
          <w:szCs w:val="28"/>
          <w:lang w:eastAsia="zh-CN"/>
        </w:rPr>
        <w:t xml:space="preserve">甲方（公章）:                        乙方(公章):  </w:t>
      </w:r>
    </w:p>
    <w:p w14:paraId="6EF49155">
      <w:pPr>
        <w:keepNext w:val="0"/>
        <w:keepLines w:val="0"/>
        <w:pageBreakBefore w:val="0"/>
        <w:widowControl w:val="0"/>
        <w:kinsoku/>
        <w:wordWrap/>
        <w:overflowPunct/>
        <w:topLinePunct w:val="0"/>
        <w:autoSpaceDE/>
        <w:autoSpaceDN/>
        <w:bidi w:val="0"/>
        <w:adjustRightInd/>
        <w:snapToGrid/>
        <w:spacing w:line="540" w:lineRule="exact"/>
        <w:ind w:left="0" w:firstLine="518" w:firstLineChars="185"/>
        <w:textAlignment w:val="auto"/>
        <w:rPr>
          <w:rFonts w:ascii="仿宋" w:hAnsi="仿宋" w:eastAsia="仿宋" w:cs="宋体"/>
          <w:sz w:val="28"/>
          <w:szCs w:val="28"/>
          <w:lang w:eastAsia="zh-CN"/>
        </w:rPr>
      </w:pPr>
      <w:r>
        <w:rPr>
          <w:rFonts w:hint="eastAsia" w:ascii="仿宋" w:hAnsi="仿宋" w:eastAsia="仿宋" w:cs="宋体"/>
          <w:sz w:val="28"/>
          <w:szCs w:val="28"/>
          <w:lang w:eastAsia="zh-CN"/>
        </w:rPr>
        <w:t>办公地址：                           办公地址：</w:t>
      </w:r>
    </w:p>
    <w:p w14:paraId="1C7C2162">
      <w:pPr>
        <w:keepNext w:val="0"/>
        <w:keepLines w:val="0"/>
        <w:pageBreakBefore w:val="0"/>
        <w:widowControl w:val="0"/>
        <w:kinsoku/>
        <w:wordWrap/>
        <w:overflowPunct/>
        <w:topLinePunct w:val="0"/>
        <w:autoSpaceDE/>
        <w:autoSpaceDN/>
        <w:bidi w:val="0"/>
        <w:adjustRightInd/>
        <w:snapToGrid/>
        <w:spacing w:line="540" w:lineRule="exact"/>
        <w:ind w:left="0" w:firstLine="518" w:firstLineChars="185"/>
        <w:textAlignment w:val="auto"/>
        <w:rPr>
          <w:rFonts w:ascii="仿宋" w:hAnsi="仿宋" w:eastAsia="仿宋" w:cs="宋体"/>
          <w:sz w:val="28"/>
          <w:szCs w:val="28"/>
          <w:lang w:eastAsia="zh-CN"/>
        </w:rPr>
      </w:pPr>
      <w:r>
        <w:rPr>
          <w:rFonts w:hint="eastAsia" w:ascii="仿宋" w:hAnsi="仿宋" w:eastAsia="仿宋" w:cs="宋体"/>
          <w:sz w:val="28"/>
          <w:szCs w:val="28"/>
          <w:lang w:eastAsia="zh-CN"/>
        </w:rPr>
        <w:t>法定代表人                           法定代表人</w:t>
      </w:r>
    </w:p>
    <w:p w14:paraId="66B1BC42">
      <w:pPr>
        <w:keepNext w:val="0"/>
        <w:keepLines w:val="0"/>
        <w:pageBreakBefore w:val="0"/>
        <w:widowControl w:val="0"/>
        <w:kinsoku/>
        <w:wordWrap/>
        <w:overflowPunct/>
        <w:topLinePunct w:val="0"/>
        <w:autoSpaceDE/>
        <w:autoSpaceDN/>
        <w:bidi w:val="0"/>
        <w:adjustRightInd/>
        <w:snapToGrid/>
        <w:spacing w:line="540" w:lineRule="exact"/>
        <w:ind w:left="0" w:firstLine="518" w:firstLineChars="185"/>
        <w:textAlignment w:val="auto"/>
        <w:rPr>
          <w:rFonts w:ascii="仿宋" w:hAnsi="仿宋" w:eastAsia="仿宋" w:cs="宋体"/>
          <w:sz w:val="28"/>
          <w:szCs w:val="28"/>
          <w:lang w:eastAsia="zh-CN"/>
        </w:rPr>
      </w:pPr>
      <w:r>
        <w:rPr>
          <w:rFonts w:hint="eastAsia" w:ascii="仿宋" w:hAnsi="仿宋" w:eastAsia="仿宋" w:cs="宋体"/>
          <w:sz w:val="28"/>
          <w:szCs w:val="28"/>
          <w:lang w:eastAsia="zh-CN"/>
        </w:rPr>
        <w:t>或授权代表(签字):                    或授权代表(签字):</w:t>
      </w:r>
    </w:p>
    <w:p w14:paraId="2AF67DAD">
      <w:pPr>
        <w:keepNext w:val="0"/>
        <w:keepLines w:val="0"/>
        <w:pageBreakBefore w:val="0"/>
        <w:widowControl w:val="0"/>
        <w:kinsoku/>
        <w:wordWrap/>
        <w:overflowPunct/>
        <w:topLinePunct w:val="0"/>
        <w:autoSpaceDE/>
        <w:autoSpaceDN/>
        <w:bidi w:val="0"/>
        <w:adjustRightInd/>
        <w:snapToGrid/>
        <w:spacing w:line="540" w:lineRule="exact"/>
        <w:ind w:left="0" w:firstLine="518" w:firstLineChars="185"/>
        <w:textAlignment w:val="auto"/>
        <w:rPr>
          <w:rFonts w:ascii="仿宋" w:hAnsi="仿宋" w:eastAsia="仿宋" w:cs="宋体"/>
          <w:sz w:val="28"/>
          <w:szCs w:val="28"/>
          <w:lang w:eastAsia="zh-CN"/>
        </w:rPr>
      </w:pPr>
      <w:r>
        <w:rPr>
          <w:rFonts w:hint="eastAsia" w:ascii="仿宋" w:hAnsi="仿宋" w:eastAsia="仿宋" w:cs="宋体"/>
          <w:sz w:val="28"/>
          <w:szCs w:val="28"/>
          <w:lang w:eastAsia="zh-CN"/>
        </w:rPr>
        <w:t>联系人：                             联系人：</w:t>
      </w:r>
    </w:p>
    <w:p w14:paraId="0A8797C8">
      <w:pPr>
        <w:keepNext w:val="0"/>
        <w:keepLines w:val="0"/>
        <w:pageBreakBefore w:val="0"/>
        <w:widowControl w:val="0"/>
        <w:kinsoku/>
        <w:wordWrap/>
        <w:overflowPunct/>
        <w:topLinePunct w:val="0"/>
        <w:autoSpaceDE/>
        <w:autoSpaceDN/>
        <w:bidi w:val="0"/>
        <w:adjustRightInd/>
        <w:snapToGrid/>
        <w:spacing w:line="540" w:lineRule="exact"/>
        <w:ind w:left="0" w:firstLine="518" w:firstLineChars="185"/>
        <w:textAlignment w:val="auto"/>
        <w:rPr>
          <w:rFonts w:ascii="仿宋" w:hAnsi="仿宋" w:eastAsia="仿宋" w:cs="宋体"/>
          <w:sz w:val="28"/>
          <w:szCs w:val="28"/>
          <w:lang w:eastAsia="zh-CN"/>
        </w:rPr>
      </w:pPr>
      <w:r>
        <w:rPr>
          <w:rFonts w:hint="eastAsia" w:ascii="仿宋" w:hAnsi="仿宋" w:eastAsia="仿宋" w:cs="宋体"/>
          <w:sz w:val="28"/>
          <w:szCs w:val="28"/>
          <w:lang w:eastAsia="zh-CN"/>
        </w:rPr>
        <w:t>电话：                               电话：</w:t>
      </w:r>
    </w:p>
    <w:p w14:paraId="70E2E140">
      <w:pPr>
        <w:keepNext w:val="0"/>
        <w:keepLines w:val="0"/>
        <w:pageBreakBefore w:val="0"/>
        <w:widowControl w:val="0"/>
        <w:kinsoku/>
        <w:wordWrap/>
        <w:overflowPunct/>
        <w:topLinePunct w:val="0"/>
        <w:autoSpaceDE/>
        <w:autoSpaceDN/>
        <w:bidi w:val="0"/>
        <w:adjustRightInd/>
        <w:snapToGrid/>
        <w:spacing w:line="540" w:lineRule="exact"/>
        <w:ind w:left="0" w:firstLine="518" w:firstLineChars="185"/>
        <w:textAlignment w:val="auto"/>
        <w:rPr>
          <w:rFonts w:ascii="仿宋" w:hAnsi="仿宋" w:eastAsia="仿宋" w:cs="宋体"/>
          <w:sz w:val="28"/>
          <w:szCs w:val="28"/>
          <w:lang w:val="zh-CN" w:eastAsia="zh-CN"/>
        </w:rPr>
      </w:pPr>
      <w:r>
        <w:rPr>
          <w:rFonts w:hint="eastAsia" w:ascii="仿宋" w:hAnsi="仿宋" w:eastAsia="仿宋" w:cs="宋体"/>
          <w:sz w:val="28"/>
          <w:szCs w:val="28"/>
          <w:lang w:val="zh-CN" w:eastAsia="zh-CN"/>
        </w:rPr>
        <w:t>传真:                                传真:</w:t>
      </w:r>
    </w:p>
    <w:p w14:paraId="7CDBFD98">
      <w:pPr>
        <w:keepNext w:val="0"/>
        <w:keepLines w:val="0"/>
        <w:pageBreakBefore w:val="0"/>
        <w:widowControl w:val="0"/>
        <w:kinsoku/>
        <w:wordWrap/>
        <w:overflowPunct/>
        <w:topLinePunct w:val="0"/>
        <w:autoSpaceDE/>
        <w:autoSpaceDN/>
        <w:bidi w:val="0"/>
        <w:adjustRightInd/>
        <w:snapToGrid/>
        <w:spacing w:line="540" w:lineRule="exact"/>
        <w:ind w:left="0" w:firstLine="518" w:firstLineChars="185"/>
        <w:textAlignment w:val="auto"/>
        <w:rPr>
          <w:rFonts w:ascii="仿宋" w:hAnsi="仿宋" w:eastAsia="仿宋" w:cs="宋体"/>
          <w:sz w:val="28"/>
          <w:szCs w:val="28"/>
          <w:lang w:eastAsia="zh-CN"/>
        </w:rPr>
      </w:pPr>
      <w:r>
        <w:rPr>
          <w:rFonts w:hint="eastAsia" w:ascii="仿宋" w:hAnsi="仿宋" w:eastAsia="仿宋" w:cs="宋体"/>
          <w:sz w:val="28"/>
          <w:szCs w:val="28"/>
          <w:lang w:val="zh-CN" w:eastAsia="zh-CN"/>
        </w:rPr>
        <w:t>电子邮箱：                           电子邮箱：</w:t>
      </w:r>
    </w:p>
    <w:p w14:paraId="1C22FEA1">
      <w:pPr>
        <w:keepNext w:val="0"/>
        <w:keepLines w:val="0"/>
        <w:pageBreakBefore w:val="0"/>
        <w:widowControl w:val="0"/>
        <w:kinsoku/>
        <w:wordWrap/>
        <w:overflowPunct/>
        <w:topLinePunct w:val="0"/>
        <w:autoSpaceDE/>
        <w:autoSpaceDN/>
        <w:bidi w:val="0"/>
        <w:adjustRightInd/>
        <w:snapToGrid/>
        <w:spacing w:line="540" w:lineRule="exact"/>
        <w:ind w:left="0" w:firstLine="518" w:firstLineChars="185"/>
        <w:textAlignment w:val="auto"/>
        <w:rPr>
          <w:rFonts w:ascii="仿宋" w:hAnsi="仿宋" w:eastAsia="仿宋" w:cs="宋体"/>
          <w:sz w:val="28"/>
          <w:szCs w:val="28"/>
          <w:lang w:eastAsia="zh-CN"/>
        </w:rPr>
      </w:pPr>
      <w:r>
        <w:rPr>
          <w:rFonts w:hint="eastAsia" w:ascii="仿宋" w:hAnsi="仿宋" w:eastAsia="仿宋" w:cs="宋体"/>
          <w:sz w:val="28"/>
          <w:szCs w:val="28"/>
          <w:lang w:eastAsia="zh-CN"/>
        </w:rPr>
        <w:t xml:space="preserve">开户银行：                           开户银行： </w:t>
      </w:r>
    </w:p>
    <w:p w14:paraId="0BC18005">
      <w:pPr>
        <w:keepNext w:val="0"/>
        <w:keepLines w:val="0"/>
        <w:pageBreakBefore w:val="0"/>
        <w:widowControl w:val="0"/>
        <w:kinsoku/>
        <w:wordWrap/>
        <w:overflowPunct/>
        <w:topLinePunct w:val="0"/>
        <w:autoSpaceDE/>
        <w:autoSpaceDN/>
        <w:bidi w:val="0"/>
        <w:adjustRightInd/>
        <w:snapToGrid/>
        <w:spacing w:line="540" w:lineRule="exact"/>
        <w:ind w:left="0" w:firstLine="518" w:firstLineChars="185"/>
        <w:textAlignment w:val="auto"/>
        <w:rPr>
          <w:rFonts w:ascii="仿宋" w:hAnsi="仿宋" w:eastAsia="仿宋" w:cs="宋体"/>
          <w:sz w:val="28"/>
          <w:szCs w:val="28"/>
          <w:lang w:eastAsia="zh-CN"/>
        </w:rPr>
      </w:pPr>
      <w:r>
        <w:rPr>
          <w:rFonts w:hint="eastAsia" w:ascii="仿宋" w:hAnsi="仿宋" w:eastAsia="仿宋" w:cs="宋体"/>
          <w:sz w:val="28"/>
          <w:szCs w:val="28"/>
          <w:lang w:eastAsia="zh-CN"/>
        </w:rPr>
        <w:t xml:space="preserve">开户名称：                           开户名称： </w:t>
      </w:r>
    </w:p>
    <w:p w14:paraId="1EDCF572">
      <w:pPr>
        <w:keepNext w:val="0"/>
        <w:keepLines w:val="0"/>
        <w:pageBreakBefore w:val="0"/>
        <w:widowControl w:val="0"/>
        <w:kinsoku/>
        <w:wordWrap/>
        <w:overflowPunct/>
        <w:topLinePunct w:val="0"/>
        <w:autoSpaceDE/>
        <w:autoSpaceDN/>
        <w:bidi w:val="0"/>
        <w:adjustRightInd/>
        <w:snapToGrid/>
        <w:spacing w:line="540" w:lineRule="exact"/>
        <w:ind w:left="0" w:firstLine="518" w:firstLineChars="185"/>
        <w:textAlignment w:val="auto"/>
        <w:rPr>
          <w:rFonts w:ascii="仿宋" w:hAnsi="仿宋" w:eastAsia="仿宋" w:cs="宋体"/>
          <w:sz w:val="28"/>
          <w:szCs w:val="28"/>
          <w:lang w:eastAsia="zh-CN"/>
        </w:rPr>
      </w:pPr>
      <w:r>
        <w:rPr>
          <w:rFonts w:hint="eastAsia" w:ascii="仿宋" w:hAnsi="仿宋" w:eastAsia="仿宋" w:cs="宋体"/>
          <w:sz w:val="28"/>
          <w:szCs w:val="28"/>
          <w:lang w:eastAsia="zh-CN"/>
        </w:rPr>
        <w:t>开户账号：</w:t>
      </w:r>
      <w:r>
        <w:rPr>
          <w:rFonts w:hint="eastAsia" w:ascii="仿宋" w:hAnsi="仿宋" w:eastAsia="仿宋" w:cs="宋体"/>
          <w:sz w:val="28"/>
          <w:szCs w:val="28"/>
          <w:lang w:val="zh-CN" w:eastAsia="zh-CN"/>
        </w:rPr>
        <w:t xml:space="preserve">                           </w:t>
      </w:r>
      <w:r>
        <w:rPr>
          <w:rFonts w:hint="eastAsia" w:ascii="仿宋" w:hAnsi="仿宋" w:eastAsia="仿宋" w:cs="宋体"/>
          <w:sz w:val="28"/>
          <w:szCs w:val="28"/>
          <w:lang w:eastAsia="zh-CN"/>
        </w:rPr>
        <w:t>开户账号：</w:t>
      </w:r>
    </w:p>
    <w:p w14:paraId="15B93BBE">
      <w:pPr>
        <w:keepNext w:val="0"/>
        <w:keepLines w:val="0"/>
        <w:pageBreakBefore w:val="0"/>
        <w:widowControl w:val="0"/>
        <w:kinsoku/>
        <w:wordWrap/>
        <w:overflowPunct/>
        <w:topLinePunct w:val="0"/>
        <w:autoSpaceDE/>
        <w:autoSpaceDN/>
        <w:bidi w:val="0"/>
        <w:adjustRightInd/>
        <w:snapToGrid/>
        <w:spacing w:line="540" w:lineRule="exact"/>
        <w:ind w:left="0" w:firstLine="1120" w:firstLineChars="400"/>
        <w:textAlignment w:val="auto"/>
        <w:rPr>
          <w:rFonts w:ascii="仿宋" w:hAnsi="仿宋" w:eastAsia="仿宋" w:cs="宋体"/>
          <w:sz w:val="28"/>
          <w:szCs w:val="28"/>
          <w:lang w:eastAsia="zh-CN"/>
        </w:rPr>
      </w:pPr>
    </w:p>
    <w:p w14:paraId="17F51F63">
      <w:pPr>
        <w:keepNext w:val="0"/>
        <w:keepLines w:val="0"/>
        <w:pageBreakBefore w:val="0"/>
        <w:widowControl w:val="0"/>
        <w:kinsoku/>
        <w:wordWrap/>
        <w:overflowPunct/>
        <w:topLinePunct w:val="0"/>
        <w:autoSpaceDE/>
        <w:autoSpaceDN/>
        <w:bidi w:val="0"/>
        <w:adjustRightInd/>
        <w:snapToGrid/>
        <w:spacing w:line="540" w:lineRule="exact"/>
        <w:ind w:left="0" w:firstLine="1120" w:firstLineChars="400"/>
        <w:textAlignment w:val="auto"/>
        <w:rPr>
          <w:rFonts w:ascii="仿宋" w:hAnsi="仿宋" w:eastAsia="仿宋" w:cs="宋体"/>
          <w:sz w:val="28"/>
          <w:szCs w:val="28"/>
          <w:lang w:eastAsia="zh-CN"/>
        </w:rPr>
      </w:pPr>
      <w:r>
        <w:rPr>
          <w:rFonts w:hint="eastAsia" w:ascii="仿宋" w:hAnsi="仿宋" w:eastAsia="仿宋" w:cs="宋体"/>
          <w:sz w:val="28"/>
          <w:szCs w:val="28"/>
          <w:lang w:eastAsia="zh-CN"/>
        </w:rPr>
        <w:t xml:space="preserve">  </w:t>
      </w:r>
    </w:p>
    <w:p w14:paraId="7A36FC4E">
      <w:pPr>
        <w:snapToGrid/>
        <w:spacing w:line="360" w:lineRule="auto"/>
        <w:ind w:firstLine="560" w:firstLineChars="200"/>
        <w:rPr>
          <w:rFonts w:hint="eastAsia" w:ascii="仿宋" w:hAnsi="仿宋" w:eastAsia="仿宋" w:cs="宋体"/>
          <w:sz w:val="28"/>
          <w:szCs w:val="28"/>
          <w:lang w:val="en-US" w:eastAsia="zh-CN"/>
        </w:rPr>
      </w:pPr>
    </w:p>
    <w:p w14:paraId="0FDDE88B">
      <w:pPr>
        <w:pStyle w:val="2"/>
        <w:rPr>
          <w:rFonts w:hint="eastAsia" w:ascii="仿宋" w:hAnsi="仿宋" w:eastAsia="仿宋" w:cs="宋体"/>
          <w:sz w:val="28"/>
          <w:szCs w:val="28"/>
          <w:lang w:val="en-US" w:eastAsia="zh-CN"/>
        </w:rPr>
      </w:pPr>
    </w:p>
    <w:p w14:paraId="72940EA4">
      <w:pPr>
        <w:rPr>
          <w:rFonts w:hint="eastAsia" w:ascii="仿宋" w:hAnsi="仿宋" w:eastAsia="仿宋" w:cs="宋体"/>
          <w:sz w:val="28"/>
          <w:szCs w:val="28"/>
          <w:lang w:val="en-US" w:eastAsia="zh-CN"/>
        </w:rPr>
      </w:pPr>
    </w:p>
    <w:p w14:paraId="22655AD8">
      <w:pPr>
        <w:pStyle w:val="2"/>
        <w:rPr>
          <w:rFonts w:hint="eastAsia"/>
          <w:lang w:val="en-US" w:eastAsia="zh-CN"/>
        </w:rPr>
      </w:pPr>
    </w:p>
    <w:p w14:paraId="289B3250">
      <w:pPr>
        <w:snapToGrid/>
        <w:spacing w:line="360" w:lineRule="auto"/>
        <w:ind w:firstLine="560" w:firstLineChars="200"/>
        <w:rPr>
          <w:rFonts w:hint="eastAsia" w:ascii="仿宋" w:hAnsi="仿宋" w:eastAsia="仿宋" w:cs="宋体"/>
          <w:sz w:val="28"/>
          <w:szCs w:val="28"/>
          <w:lang w:val="en-US" w:eastAsia="zh-CN"/>
        </w:rPr>
      </w:pPr>
    </w:p>
    <w:p w14:paraId="5D2A4FE0">
      <w:pPr>
        <w:pStyle w:val="7"/>
        <w:rPr>
          <w:rFonts w:hint="eastAsia" w:hAnsi="宋体" w:cs="宋体"/>
          <w:b/>
          <w:bCs/>
          <w:color w:val="auto"/>
          <w:sz w:val="28"/>
          <w:szCs w:val="28"/>
          <w:lang w:val="en-US" w:eastAsia="zh-CN"/>
        </w:rPr>
      </w:pPr>
      <w:r>
        <w:rPr>
          <w:rFonts w:hint="eastAsia" w:hAnsi="宋体" w:cs="宋体"/>
          <w:b/>
          <w:bCs/>
          <w:color w:val="auto"/>
          <w:sz w:val="28"/>
          <w:szCs w:val="28"/>
          <w:lang w:val="en-US" w:eastAsia="zh-CN"/>
        </w:rPr>
        <w:t>附件一：中标通知书</w:t>
      </w:r>
    </w:p>
    <w:p w14:paraId="2AABE313">
      <w:pPr>
        <w:pStyle w:val="7"/>
        <w:rPr>
          <w:rFonts w:hint="eastAsia" w:hAnsi="宋体" w:cs="宋体"/>
          <w:b w:val="0"/>
          <w:bCs w:val="0"/>
          <w:color w:val="auto"/>
          <w:sz w:val="28"/>
          <w:szCs w:val="28"/>
          <w:lang w:val="en-US" w:eastAsia="zh-CN"/>
        </w:rPr>
      </w:pPr>
    </w:p>
    <w:p w14:paraId="6D2355F1">
      <w:pPr>
        <w:pStyle w:val="7"/>
        <w:rPr>
          <w:rFonts w:hint="eastAsia" w:hAnsi="宋体" w:eastAsia="宋体" w:cs="宋体"/>
          <w:b/>
          <w:bCs/>
          <w:color w:val="auto"/>
          <w:sz w:val="28"/>
          <w:szCs w:val="28"/>
          <w:lang w:val="en-US" w:eastAsia="zh-CN"/>
        </w:rPr>
      </w:pPr>
    </w:p>
    <w:p w14:paraId="27FF59DA">
      <w:pPr>
        <w:pStyle w:val="7"/>
        <w:rPr>
          <w:rFonts w:hint="eastAsia" w:hAnsi="宋体" w:eastAsia="宋体" w:cs="宋体"/>
          <w:b/>
          <w:bCs/>
          <w:color w:val="auto"/>
          <w:sz w:val="28"/>
          <w:szCs w:val="28"/>
          <w:lang w:val="en-US" w:eastAsia="zh-CN"/>
        </w:rPr>
      </w:pPr>
    </w:p>
    <w:p w14:paraId="7EF0D6A4">
      <w:pPr>
        <w:pStyle w:val="7"/>
        <w:rPr>
          <w:rFonts w:hint="eastAsia" w:hAnsi="宋体" w:eastAsia="宋体" w:cs="宋体"/>
          <w:b/>
          <w:bCs/>
          <w:color w:val="auto"/>
          <w:sz w:val="28"/>
          <w:szCs w:val="28"/>
          <w:lang w:val="en-US" w:eastAsia="zh-CN"/>
        </w:rPr>
      </w:pPr>
    </w:p>
    <w:p w14:paraId="0B58FEB4">
      <w:pPr>
        <w:pStyle w:val="7"/>
        <w:rPr>
          <w:rFonts w:hint="default" w:hAnsi="宋体" w:eastAsia="宋体" w:cs="宋体"/>
          <w:b/>
          <w:bCs/>
          <w:color w:val="auto"/>
          <w:sz w:val="28"/>
          <w:szCs w:val="28"/>
          <w:lang w:val="en-US" w:eastAsia="zh-CN"/>
        </w:rPr>
      </w:pPr>
      <w:r>
        <w:rPr>
          <w:rFonts w:hint="eastAsia" w:hAnsi="宋体" w:eastAsia="宋体" w:cs="宋体"/>
          <w:b/>
          <w:bCs/>
          <w:color w:val="auto"/>
          <w:sz w:val="28"/>
          <w:szCs w:val="28"/>
          <w:lang w:val="en-US" w:eastAsia="zh-CN"/>
        </w:rPr>
        <w:t>附件二：物业服务要求及标准</w:t>
      </w:r>
    </w:p>
    <w:p w14:paraId="7BA97236">
      <w:pPr>
        <w:keepNext w:val="0"/>
        <w:keepLines w:val="0"/>
        <w:pageBreakBefore w:val="0"/>
        <w:widowControl w:val="0"/>
        <w:kinsoku/>
        <w:wordWrap/>
        <w:overflowPunct/>
        <w:topLinePunct w:val="0"/>
        <w:autoSpaceDE/>
        <w:autoSpaceDN/>
        <w:bidi w:val="0"/>
        <w:adjustRightInd/>
        <w:snapToGrid/>
        <w:spacing w:line="360" w:lineRule="auto"/>
        <w:ind w:left="0" w:right="0" w:firstLine="464" w:firstLineChars="200"/>
        <w:jc w:val="left"/>
        <w:textAlignment w:val="auto"/>
        <w:rPr>
          <w:rFonts w:ascii="宋体" w:hAnsi="宋体" w:eastAsia="宋体" w:cs="宋体"/>
          <w:sz w:val="24"/>
          <w:szCs w:val="24"/>
        </w:rPr>
      </w:pPr>
      <w:r>
        <w:rPr>
          <w:rFonts w:ascii="宋体" w:hAnsi="宋体" w:eastAsia="宋体" w:cs="宋体"/>
          <w:spacing w:val="-4"/>
          <w:sz w:val="24"/>
          <w:szCs w:val="24"/>
        </w:rPr>
        <w:t>（一）基本要求</w:t>
      </w:r>
    </w:p>
    <w:p w14:paraId="4E9E5A1B">
      <w:pPr>
        <w:keepNext w:val="0"/>
        <w:keepLines w:val="0"/>
        <w:pageBreakBefore w:val="0"/>
        <w:widowControl w:val="0"/>
        <w:kinsoku/>
        <w:wordWrap/>
        <w:overflowPunct/>
        <w:topLinePunct w:val="0"/>
        <w:autoSpaceDE/>
        <w:autoSpaceDN/>
        <w:bidi w:val="0"/>
        <w:adjustRightInd/>
        <w:snapToGrid/>
        <w:spacing w:line="360" w:lineRule="auto"/>
        <w:ind w:left="0" w:right="0" w:firstLine="440" w:firstLineChars="200"/>
        <w:jc w:val="left"/>
        <w:textAlignment w:val="auto"/>
        <w:rPr>
          <w:rFonts w:ascii="宋体" w:hAnsi="宋体" w:eastAsia="宋体" w:cs="宋体"/>
          <w:position w:val="0"/>
          <w:sz w:val="24"/>
          <w:szCs w:val="24"/>
        </w:rPr>
      </w:pPr>
      <w:r>
        <w:rPr>
          <w:rFonts w:ascii="宋体" w:hAnsi="宋体" w:eastAsia="宋体" w:cs="宋体"/>
          <w:spacing w:val="-10"/>
          <w:position w:val="0"/>
          <w:sz w:val="24"/>
          <w:szCs w:val="24"/>
        </w:rPr>
        <w:t>1、采购人和中标人双方签订规范的物业服务合同，</w:t>
      </w:r>
      <w:r>
        <w:rPr>
          <w:rFonts w:ascii="宋体" w:hAnsi="宋体" w:eastAsia="宋体" w:cs="宋体"/>
          <w:spacing w:val="-48"/>
          <w:position w:val="0"/>
          <w:sz w:val="24"/>
          <w:szCs w:val="24"/>
        </w:rPr>
        <w:t xml:space="preserve"> </w:t>
      </w:r>
      <w:r>
        <w:rPr>
          <w:rFonts w:ascii="宋体" w:hAnsi="宋体" w:eastAsia="宋体" w:cs="宋体"/>
          <w:spacing w:val="-10"/>
          <w:position w:val="0"/>
          <w:sz w:val="24"/>
          <w:szCs w:val="24"/>
        </w:rPr>
        <w:t>双方权利</w:t>
      </w:r>
      <w:r>
        <w:rPr>
          <w:rFonts w:ascii="宋体" w:hAnsi="宋体" w:eastAsia="宋体" w:cs="宋体"/>
          <w:spacing w:val="-11"/>
          <w:position w:val="0"/>
          <w:sz w:val="24"/>
          <w:szCs w:val="24"/>
        </w:rPr>
        <w:t>义务关系明确。</w:t>
      </w:r>
    </w:p>
    <w:p w14:paraId="2519F322">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position w:val="0"/>
          <w:sz w:val="24"/>
          <w:szCs w:val="24"/>
        </w:rPr>
      </w:pPr>
      <w:r>
        <w:rPr>
          <w:rFonts w:ascii="宋体" w:hAnsi="宋体" w:eastAsia="宋体" w:cs="宋体"/>
          <w:position w:val="0"/>
          <w:sz w:val="24"/>
          <w:szCs w:val="24"/>
        </w:rPr>
        <w:t>2、承接项目时，对住宅小区共用部位、共用设施设备进行认真查验，验收</w:t>
      </w:r>
    </w:p>
    <w:p w14:paraId="4C647248">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position w:val="0"/>
          <w:sz w:val="24"/>
          <w:szCs w:val="24"/>
        </w:rPr>
      </w:pPr>
      <w:r>
        <w:rPr>
          <w:rFonts w:ascii="宋体" w:hAnsi="宋体" w:eastAsia="宋体" w:cs="宋体"/>
          <w:spacing w:val="-7"/>
          <w:position w:val="0"/>
          <w:sz w:val="24"/>
          <w:szCs w:val="24"/>
        </w:rPr>
        <w:t>手续齐全。</w:t>
      </w:r>
    </w:p>
    <w:p w14:paraId="6B02347C">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position w:val="0"/>
          <w:sz w:val="24"/>
          <w:szCs w:val="24"/>
        </w:rPr>
      </w:pPr>
      <w:r>
        <w:rPr>
          <w:rFonts w:ascii="宋体" w:hAnsi="宋体" w:eastAsia="宋体" w:cs="宋体"/>
          <w:position w:val="0"/>
          <w:sz w:val="24"/>
          <w:szCs w:val="24"/>
        </w:rPr>
        <w:t>3、工程技术员需要具备中华人民共和国应急管理部查询有效的《特种作业</w:t>
      </w:r>
      <w:r>
        <w:rPr>
          <w:rFonts w:ascii="宋体" w:hAnsi="宋体" w:eastAsia="宋体" w:cs="宋体"/>
          <w:spacing w:val="7"/>
          <w:position w:val="0"/>
          <w:sz w:val="24"/>
          <w:szCs w:val="24"/>
        </w:rPr>
        <w:t xml:space="preserve"> </w:t>
      </w:r>
      <w:r>
        <w:rPr>
          <w:rFonts w:ascii="宋体" w:hAnsi="宋体" w:eastAsia="宋体" w:cs="宋体"/>
          <w:spacing w:val="-12"/>
          <w:position w:val="0"/>
          <w:sz w:val="24"/>
          <w:szCs w:val="24"/>
        </w:rPr>
        <w:t>操作证》操作项目：</w:t>
      </w:r>
      <w:r>
        <w:rPr>
          <w:rFonts w:hint="eastAsia" w:ascii="宋体" w:hAnsi="宋体" w:eastAsia="宋体" w:cs="宋体"/>
          <w:spacing w:val="32"/>
          <w:position w:val="0"/>
          <w:sz w:val="24"/>
          <w:szCs w:val="24"/>
          <w:lang w:val="en-US" w:eastAsia="zh-CN"/>
        </w:rPr>
        <w:t>高压/</w:t>
      </w:r>
      <w:r>
        <w:rPr>
          <w:rFonts w:ascii="宋体" w:hAnsi="宋体" w:eastAsia="宋体" w:cs="宋体"/>
          <w:spacing w:val="-12"/>
          <w:position w:val="0"/>
          <w:sz w:val="24"/>
          <w:szCs w:val="24"/>
        </w:rPr>
        <w:t>低压电工作业，国家市场监督管理总局政</w:t>
      </w:r>
      <w:r>
        <w:rPr>
          <w:rFonts w:ascii="宋体" w:hAnsi="宋体" w:eastAsia="宋体" w:cs="宋体"/>
          <w:spacing w:val="-13"/>
          <w:position w:val="0"/>
          <w:sz w:val="24"/>
          <w:szCs w:val="24"/>
        </w:rPr>
        <w:t>务服务平台查询有</w:t>
      </w:r>
    </w:p>
    <w:p w14:paraId="29236DC7">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position w:val="0"/>
          <w:sz w:val="24"/>
          <w:szCs w:val="24"/>
        </w:rPr>
      </w:pPr>
      <w:r>
        <w:rPr>
          <w:rFonts w:ascii="宋体" w:hAnsi="宋体" w:eastAsia="宋体" w:cs="宋体"/>
          <w:spacing w:val="-10"/>
          <w:position w:val="0"/>
          <w:sz w:val="24"/>
          <w:szCs w:val="24"/>
        </w:rPr>
        <w:t>效的《特种设备安全管理和作业人员证》项目</w:t>
      </w:r>
      <w:r>
        <w:rPr>
          <w:rFonts w:hint="eastAsia" w:ascii="宋体" w:hAnsi="宋体" w:eastAsia="宋体" w:cs="宋体"/>
          <w:spacing w:val="-10"/>
          <w:position w:val="0"/>
          <w:sz w:val="24"/>
          <w:szCs w:val="24"/>
          <w:lang w:eastAsia="zh-CN"/>
        </w:rPr>
        <w:t>：</w:t>
      </w:r>
      <w:r>
        <w:rPr>
          <w:rFonts w:ascii="宋体" w:hAnsi="宋体" w:eastAsia="宋体" w:cs="宋体"/>
          <w:spacing w:val="-10"/>
          <w:position w:val="0"/>
          <w:sz w:val="24"/>
          <w:szCs w:val="24"/>
        </w:rPr>
        <w:t>A（特种设备安全管理）。</w:t>
      </w:r>
    </w:p>
    <w:p w14:paraId="180062AC">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rPr>
          <w:rFonts w:ascii="宋体" w:hAnsi="宋体" w:eastAsia="宋体" w:cs="宋体"/>
          <w:position w:val="0"/>
          <w:sz w:val="24"/>
          <w:szCs w:val="24"/>
        </w:rPr>
      </w:pPr>
      <w:r>
        <w:rPr>
          <w:rFonts w:hint="eastAsia" w:ascii="宋体" w:hAnsi="宋体" w:eastAsia="宋体" w:cs="宋体"/>
          <w:spacing w:val="-2"/>
          <w:position w:val="0"/>
          <w:sz w:val="24"/>
          <w:szCs w:val="24"/>
          <w:lang w:val="en-US" w:eastAsia="zh-CN"/>
        </w:rPr>
        <w:t>4</w:t>
      </w:r>
      <w:r>
        <w:rPr>
          <w:rFonts w:ascii="宋体" w:hAnsi="宋体" w:eastAsia="宋体" w:cs="宋体"/>
          <w:spacing w:val="-2"/>
          <w:position w:val="0"/>
          <w:sz w:val="24"/>
          <w:szCs w:val="24"/>
        </w:rPr>
        <w:t>、有完善的物业管理方案，质量管理、财务管理、档案管理等制度健全。</w:t>
      </w:r>
    </w:p>
    <w:p w14:paraId="472B21C9">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rPr>
          <w:rFonts w:ascii="宋体" w:hAnsi="宋体" w:eastAsia="宋体" w:cs="宋体"/>
          <w:position w:val="0"/>
          <w:sz w:val="24"/>
          <w:szCs w:val="24"/>
        </w:rPr>
      </w:pPr>
      <w:r>
        <w:rPr>
          <w:rFonts w:hint="eastAsia" w:ascii="宋体" w:hAnsi="宋体" w:eastAsia="宋体" w:cs="宋体"/>
          <w:spacing w:val="-2"/>
          <w:position w:val="0"/>
          <w:sz w:val="24"/>
          <w:szCs w:val="24"/>
          <w:lang w:val="en-US" w:eastAsia="zh-CN"/>
        </w:rPr>
        <w:t>5</w:t>
      </w:r>
      <w:r>
        <w:rPr>
          <w:rFonts w:ascii="宋体" w:hAnsi="宋体" w:eastAsia="宋体" w:cs="宋体"/>
          <w:spacing w:val="-2"/>
          <w:position w:val="0"/>
          <w:sz w:val="24"/>
          <w:szCs w:val="24"/>
        </w:rPr>
        <w:t>、管理服务人员统一着装、佩戴标志，行为规范，服务主动、热情。</w:t>
      </w:r>
    </w:p>
    <w:p w14:paraId="3779428E">
      <w:pPr>
        <w:keepNext w:val="0"/>
        <w:keepLines w:val="0"/>
        <w:pageBreakBefore w:val="0"/>
        <w:widowControl w:val="0"/>
        <w:kinsoku/>
        <w:wordWrap/>
        <w:overflowPunct/>
        <w:topLinePunct w:val="0"/>
        <w:autoSpaceDE/>
        <w:autoSpaceDN/>
        <w:bidi w:val="0"/>
        <w:adjustRightInd/>
        <w:snapToGrid/>
        <w:spacing w:line="360" w:lineRule="auto"/>
        <w:ind w:left="0" w:right="0" w:firstLine="456" w:firstLineChars="200"/>
        <w:jc w:val="left"/>
        <w:textAlignment w:val="auto"/>
        <w:rPr>
          <w:rFonts w:ascii="宋体" w:hAnsi="宋体" w:eastAsia="宋体" w:cs="宋体"/>
          <w:position w:val="0"/>
          <w:sz w:val="24"/>
          <w:szCs w:val="24"/>
        </w:rPr>
      </w:pPr>
      <w:r>
        <w:rPr>
          <w:rFonts w:hint="eastAsia" w:ascii="宋体" w:hAnsi="宋体" w:eastAsia="宋体" w:cs="宋体"/>
          <w:spacing w:val="-6"/>
          <w:position w:val="0"/>
          <w:sz w:val="24"/>
          <w:szCs w:val="24"/>
          <w:lang w:val="en-US" w:eastAsia="zh-CN"/>
        </w:rPr>
        <w:t>6</w:t>
      </w:r>
      <w:r>
        <w:rPr>
          <w:rFonts w:ascii="宋体" w:hAnsi="宋体" w:eastAsia="宋体" w:cs="宋体"/>
          <w:spacing w:val="-6"/>
          <w:position w:val="0"/>
          <w:sz w:val="24"/>
          <w:szCs w:val="24"/>
        </w:rPr>
        <w:t>、公示</w:t>
      </w:r>
      <w:r>
        <w:rPr>
          <w:rFonts w:ascii="宋体" w:hAnsi="宋体" w:eastAsia="宋体" w:cs="宋体"/>
          <w:spacing w:val="-36"/>
          <w:position w:val="0"/>
          <w:sz w:val="24"/>
          <w:szCs w:val="24"/>
        </w:rPr>
        <w:t xml:space="preserve"> </w:t>
      </w:r>
      <w:r>
        <w:rPr>
          <w:rFonts w:ascii="宋体" w:hAnsi="宋体" w:eastAsia="宋体" w:cs="宋体"/>
          <w:spacing w:val="-6"/>
          <w:position w:val="0"/>
          <w:sz w:val="24"/>
          <w:szCs w:val="24"/>
        </w:rPr>
        <w:t>24</w:t>
      </w:r>
      <w:r>
        <w:rPr>
          <w:rFonts w:ascii="宋体" w:hAnsi="宋体" w:eastAsia="宋体" w:cs="宋体"/>
          <w:spacing w:val="-44"/>
          <w:position w:val="0"/>
          <w:sz w:val="24"/>
          <w:szCs w:val="24"/>
        </w:rPr>
        <w:t xml:space="preserve"> </w:t>
      </w:r>
      <w:r>
        <w:rPr>
          <w:rFonts w:ascii="宋体" w:hAnsi="宋体" w:eastAsia="宋体" w:cs="宋体"/>
          <w:spacing w:val="-6"/>
          <w:position w:val="0"/>
          <w:sz w:val="24"/>
          <w:szCs w:val="24"/>
        </w:rPr>
        <w:t>小时服务电话。报修须</w:t>
      </w:r>
      <w:r>
        <w:rPr>
          <w:rFonts w:ascii="Calibri" w:hAnsi="Calibri" w:eastAsia="Calibri" w:cs="Calibri"/>
          <w:spacing w:val="-6"/>
          <w:position w:val="0"/>
          <w:sz w:val="21"/>
          <w:szCs w:val="21"/>
        </w:rPr>
        <w:t>30</w:t>
      </w:r>
      <w:r>
        <w:rPr>
          <w:rFonts w:ascii="Calibri" w:hAnsi="Calibri" w:eastAsia="Calibri" w:cs="Calibri"/>
          <w:spacing w:val="17"/>
          <w:w w:val="101"/>
          <w:position w:val="0"/>
          <w:sz w:val="21"/>
          <w:szCs w:val="21"/>
        </w:rPr>
        <w:t xml:space="preserve"> </w:t>
      </w:r>
      <w:r>
        <w:rPr>
          <w:rFonts w:ascii="宋体" w:hAnsi="宋体" w:eastAsia="宋体" w:cs="宋体"/>
          <w:spacing w:val="-6"/>
          <w:position w:val="0"/>
          <w:sz w:val="21"/>
          <w:szCs w:val="21"/>
        </w:rPr>
        <w:t>分钟内</w:t>
      </w:r>
      <w:r>
        <w:rPr>
          <w:rFonts w:ascii="宋体" w:hAnsi="宋体" w:eastAsia="宋体" w:cs="宋体"/>
          <w:spacing w:val="-6"/>
          <w:position w:val="0"/>
          <w:sz w:val="24"/>
          <w:szCs w:val="24"/>
        </w:rPr>
        <w:t>到达现场， 有报修、维修和回访</w:t>
      </w:r>
    </w:p>
    <w:p w14:paraId="6A596877">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position w:val="0"/>
          <w:sz w:val="24"/>
          <w:szCs w:val="24"/>
        </w:rPr>
      </w:pPr>
      <w:r>
        <w:rPr>
          <w:rFonts w:ascii="宋体" w:hAnsi="宋体" w:eastAsia="宋体" w:cs="宋体"/>
          <w:spacing w:val="-10"/>
          <w:position w:val="0"/>
          <w:sz w:val="24"/>
          <w:szCs w:val="24"/>
        </w:rPr>
        <w:t>记录。</w:t>
      </w:r>
    </w:p>
    <w:p w14:paraId="31E6DA0A">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rPr>
          <w:rFonts w:ascii="宋体" w:hAnsi="宋体" w:eastAsia="宋体" w:cs="宋体"/>
          <w:position w:val="0"/>
          <w:sz w:val="24"/>
          <w:szCs w:val="24"/>
        </w:rPr>
      </w:pPr>
      <w:r>
        <w:rPr>
          <w:rFonts w:hint="eastAsia" w:ascii="宋体" w:hAnsi="宋体" w:eastAsia="宋体" w:cs="宋体"/>
          <w:spacing w:val="-2"/>
          <w:position w:val="0"/>
          <w:sz w:val="24"/>
          <w:szCs w:val="24"/>
          <w:lang w:val="en-US" w:eastAsia="zh-CN"/>
        </w:rPr>
        <w:t>7</w:t>
      </w:r>
      <w:r>
        <w:rPr>
          <w:rFonts w:ascii="宋体" w:hAnsi="宋体" w:eastAsia="宋体" w:cs="宋体"/>
          <w:spacing w:val="-2"/>
          <w:position w:val="0"/>
          <w:sz w:val="24"/>
          <w:szCs w:val="24"/>
        </w:rPr>
        <w:t>、按照国家有关规定，实行服务收费明码标价制度。</w:t>
      </w:r>
    </w:p>
    <w:p w14:paraId="29C279DC">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jc w:val="left"/>
        <w:textAlignment w:val="auto"/>
        <w:rPr>
          <w:rFonts w:hint="eastAsia" w:ascii="宋体" w:hAnsi="宋体" w:eastAsia="宋体" w:cs="宋体"/>
          <w:sz w:val="24"/>
          <w:szCs w:val="24"/>
          <w:lang w:val="en-US" w:eastAsia="zh-CN"/>
        </w:rPr>
      </w:pPr>
      <w:r>
        <w:rPr>
          <w:rFonts w:ascii="宋体" w:hAnsi="宋体" w:eastAsia="宋体" w:cs="宋体"/>
          <w:spacing w:val="-3"/>
          <w:sz w:val="24"/>
          <w:szCs w:val="24"/>
        </w:rPr>
        <w:t>（二）房屋管理</w:t>
      </w:r>
      <w:r>
        <w:rPr>
          <w:rFonts w:hint="eastAsia" w:ascii="宋体" w:hAnsi="宋体" w:eastAsia="宋体" w:cs="宋体"/>
          <w:spacing w:val="-3"/>
          <w:sz w:val="24"/>
          <w:szCs w:val="24"/>
          <w:lang w:val="en-US" w:eastAsia="zh-CN"/>
        </w:rPr>
        <w:t>要求</w:t>
      </w:r>
    </w:p>
    <w:p w14:paraId="1873C769">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jc w:val="left"/>
        <w:textAlignment w:val="auto"/>
        <w:rPr>
          <w:rFonts w:ascii="宋体" w:hAnsi="宋体" w:eastAsia="宋体" w:cs="宋体"/>
          <w:sz w:val="24"/>
          <w:szCs w:val="24"/>
        </w:rPr>
      </w:pPr>
      <w:r>
        <w:rPr>
          <w:rFonts w:ascii="宋体" w:hAnsi="宋体" w:eastAsia="宋体" w:cs="宋体"/>
          <w:spacing w:val="-1"/>
          <w:sz w:val="24"/>
          <w:szCs w:val="24"/>
        </w:rPr>
        <w:t>1、制定完善的房屋共用部位年度维修养护计划，并对房屋共</w:t>
      </w:r>
      <w:r>
        <w:rPr>
          <w:rFonts w:ascii="宋体" w:hAnsi="宋体" w:eastAsia="宋体" w:cs="宋体"/>
          <w:spacing w:val="-2"/>
          <w:sz w:val="24"/>
          <w:szCs w:val="24"/>
        </w:rPr>
        <w:t>用部位进行日</w:t>
      </w:r>
      <w:r>
        <w:rPr>
          <w:rFonts w:ascii="宋体" w:hAnsi="宋体" w:eastAsia="宋体" w:cs="宋体"/>
          <w:spacing w:val="-3"/>
          <w:sz w:val="24"/>
          <w:szCs w:val="24"/>
        </w:rPr>
        <w:t>常管理和维修养护，检修记录和保养记录齐全。</w:t>
      </w:r>
    </w:p>
    <w:p w14:paraId="19D2A054">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sz w:val="24"/>
          <w:szCs w:val="24"/>
        </w:rPr>
      </w:pPr>
      <w:r>
        <w:rPr>
          <w:rFonts w:ascii="宋体" w:hAnsi="宋体" w:eastAsia="宋体" w:cs="宋体"/>
          <w:spacing w:val="0"/>
          <w:sz w:val="24"/>
          <w:szCs w:val="24"/>
        </w:rPr>
        <w:t>2、根据房屋实际使用年限，定期检查房屋共用部位的使用状况，需要维修，属于小修范围的</w:t>
      </w:r>
      <w:r>
        <w:rPr>
          <w:rFonts w:hint="eastAsia" w:ascii="宋体" w:hAnsi="宋体" w:eastAsia="宋体" w:cs="宋体"/>
          <w:spacing w:val="0"/>
          <w:sz w:val="24"/>
          <w:szCs w:val="24"/>
          <w:lang w:eastAsia="zh-CN"/>
        </w:rPr>
        <w:t>（</w:t>
      </w:r>
      <w:r>
        <w:rPr>
          <w:rFonts w:hint="eastAsia" w:ascii="宋体" w:hAnsi="宋体" w:eastAsia="宋体" w:cs="宋体"/>
          <w:spacing w:val="0"/>
          <w:sz w:val="24"/>
          <w:szCs w:val="24"/>
          <w:lang w:val="en-US" w:eastAsia="zh-CN"/>
        </w:rPr>
        <w:t>单项金额</w:t>
      </w:r>
      <w:r>
        <w:rPr>
          <w:rFonts w:hint="eastAsia" w:ascii="宋体" w:hAnsi="宋体" w:eastAsia="宋体" w:cs="宋体"/>
          <w:spacing w:val="0"/>
          <w:sz w:val="24"/>
          <w:szCs w:val="24"/>
          <w:highlight w:val="none"/>
          <w:lang w:val="en-US" w:eastAsia="zh-CN"/>
        </w:rPr>
        <w:t>1500</w:t>
      </w:r>
      <w:r>
        <w:rPr>
          <w:rFonts w:hint="eastAsia" w:ascii="宋体" w:hAnsi="宋体" w:eastAsia="宋体" w:cs="宋体"/>
          <w:spacing w:val="0"/>
          <w:sz w:val="24"/>
          <w:szCs w:val="24"/>
          <w:lang w:val="en-US" w:eastAsia="zh-CN"/>
        </w:rPr>
        <w:t>元及以下</w:t>
      </w:r>
      <w:r>
        <w:rPr>
          <w:rFonts w:hint="eastAsia" w:ascii="宋体" w:hAnsi="宋体" w:eastAsia="宋体" w:cs="宋体"/>
          <w:spacing w:val="0"/>
          <w:sz w:val="24"/>
          <w:szCs w:val="24"/>
          <w:lang w:eastAsia="zh-CN"/>
        </w:rPr>
        <w:t>）</w:t>
      </w:r>
      <w:r>
        <w:rPr>
          <w:rFonts w:ascii="宋体" w:hAnsi="宋体" w:eastAsia="宋体" w:cs="宋体"/>
          <w:spacing w:val="0"/>
          <w:sz w:val="24"/>
          <w:szCs w:val="24"/>
        </w:rPr>
        <w:t>，由中标人及时组织修复，费用由中标人支付；属于大、中修范围的</w:t>
      </w:r>
      <w:r>
        <w:rPr>
          <w:rFonts w:hint="eastAsia" w:ascii="宋体" w:hAnsi="宋体" w:eastAsia="宋体" w:cs="宋体"/>
          <w:spacing w:val="0"/>
          <w:sz w:val="24"/>
          <w:szCs w:val="24"/>
          <w:lang w:eastAsia="zh-CN"/>
        </w:rPr>
        <w:t>（</w:t>
      </w:r>
      <w:r>
        <w:rPr>
          <w:rFonts w:hint="eastAsia" w:ascii="宋体" w:hAnsi="宋体" w:eastAsia="宋体" w:cs="宋体"/>
          <w:spacing w:val="0"/>
          <w:sz w:val="24"/>
          <w:szCs w:val="24"/>
          <w:lang w:val="en-US" w:eastAsia="zh-CN"/>
        </w:rPr>
        <w:t>单项金额</w:t>
      </w:r>
      <w:r>
        <w:rPr>
          <w:rFonts w:hint="eastAsia" w:ascii="宋体" w:hAnsi="宋体" w:eastAsia="宋体" w:cs="宋体"/>
          <w:spacing w:val="0"/>
          <w:sz w:val="24"/>
          <w:szCs w:val="24"/>
          <w:highlight w:val="none"/>
          <w:lang w:val="en-US" w:eastAsia="zh-CN"/>
        </w:rPr>
        <w:t>1500</w:t>
      </w:r>
      <w:r>
        <w:rPr>
          <w:rFonts w:hint="eastAsia" w:ascii="宋体" w:hAnsi="宋体" w:eastAsia="宋体" w:cs="宋体"/>
          <w:spacing w:val="0"/>
          <w:sz w:val="24"/>
          <w:szCs w:val="24"/>
          <w:lang w:val="en-US" w:eastAsia="zh-CN"/>
        </w:rPr>
        <w:t>元以上</w:t>
      </w:r>
      <w:r>
        <w:rPr>
          <w:rFonts w:hint="eastAsia" w:ascii="宋体" w:hAnsi="宋体" w:eastAsia="宋体" w:cs="宋体"/>
          <w:spacing w:val="0"/>
          <w:sz w:val="24"/>
          <w:szCs w:val="24"/>
          <w:lang w:eastAsia="zh-CN"/>
        </w:rPr>
        <w:t>），</w:t>
      </w:r>
      <w:r>
        <w:rPr>
          <w:rFonts w:ascii="宋体" w:hAnsi="宋体" w:eastAsia="宋体" w:cs="宋体"/>
          <w:spacing w:val="0"/>
          <w:sz w:val="24"/>
          <w:szCs w:val="24"/>
        </w:rPr>
        <w:t>及时编制维修计划和住房专项维修资金使用计划，向采购人提出报告与建议，根据采购人的决定，组织维修。</w:t>
      </w:r>
    </w:p>
    <w:p w14:paraId="3ABD1A30">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rPr>
          <w:rFonts w:ascii="宋体" w:hAnsi="宋体" w:eastAsia="宋体" w:cs="宋体"/>
          <w:sz w:val="24"/>
          <w:szCs w:val="24"/>
        </w:rPr>
      </w:pPr>
      <w:r>
        <w:rPr>
          <w:rFonts w:ascii="宋体" w:hAnsi="宋体" w:eastAsia="宋体" w:cs="宋体"/>
          <w:spacing w:val="-2"/>
          <w:position w:val="17"/>
          <w:sz w:val="24"/>
          <w:szCs w:val="24"/>
        </w:rPr>
        <w:t>3、每日巡查1</w:t>
      </w:r>
      <w:r>
        <w:rPr>
          <w:rFonts w:ascii="宋体" w:hAnsi="宋体" w:eastAsia="宋体" w:cs="宋体"/>
          <w:spacing w:val="-32"/>
          <w:position w:val="17"/>
          <w:sz w:val="24"/>
          <w:szCs w:val="24"/>
        </w:rPr>
        <w:t xml:space="preserve"> </w:t>
      </w:r>
      <w:r>
        <w:rPr>
          <w:rFonts w:ascii="宋体" w:hAnsi="宋体" w:eastAsia="宋体" w:cs="宋体"/>
          <w:spacing w:val="-2"/>
          <w:position w:val="17"/>
          <w:sz w:val="24"/>
          <w:szCs w:val="24"/>
        </w:rPr>
        <w:t>次小区房屋单元门、楼梯通道以及其他</w:t>
      </w:r>
      <w:r>
        <w:rPr>
          <w:rFonts w:ascii="宋体" w:hAnsi="宋体" w:eastAsia="宋体" w:cs="宋体"/>
          <w:spacing w:val="-3"/>
          <w:position w:val="17"/>
          <w:sz w:val="24"/>
          <w:szCs w:val="24"/>
        </w:rPr>
        <w:t>共用部位的门窗、玻</w:t>
      </w:r>
    </w:p>
    <w:p w14:paraId="78FBE7B1">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sz w:val="24"/>
          <w:szCs w:val="24"/>
        </w:rPr>
      </w:pPr>
      <w:r>
        <w:rPr>
          <w:rFonts w:ascii="宋体" w:hAnsi="宋体" w:eastAsia="宋体" w:cs="宋体"/>
          <w:spacing w:val="-3"/>
          <w:sz w:val="24"/>
          <w:szCs w:val="24"/>
        </w:rPr>
        <w:t>璃等，做好巡查记录，并及时维修养护。</w:t>
      </w:r>
    </w:p>
    <w:p w14:paraId="224299CE">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position w:val="0"/>
          <w:sz w:val="24"/>
          <w:szCs w:val="24"/>
        </w:rPr>
      </w:pPr>
      <w:r>
        <w:rPr>
          <w:rFonts w:hint="eastAsia" w:ascii="宋体" w:hAnsi="宋体" w:eastAsia="宋体" w:cs="宋体"/>
          <w:position w:val="0"/>
          <w:sz w:val="24"/>
          <w:szCs w:val="24"/>
          <w:lang w:val="en-US" w:eastAsia="zh-CN"/>
        </w:rPr>
        <w:t>4</w:t>
      </w:r>
      <w:r>
        <w:rPr>
          <w:rFonts w:ascii="宋体" w:hAnsi="宋体" w:eastAsia="宋体" w:cs="宋体"/>
          <w:position w:val="0"/>
          <w:sz w:val="24"/>
          <w:szCs w:val="24"/>
        </w:rPr>
        <w:t>、对违反规划私搭乱建和擅自改变房屋用途的行为及时</w:t>
      </w:r>
      <w:r>
        <w:rPr>
          <w:rFonts w:ascii="宋体" w:hAnsi="宋体" w:eastAsia="宋体" w:cs="宋体"/>
          <w:spacing w:val="-1"/>
          <w:position w:val="0"/>
          <w:sz w:val="24"/>
          <w:szCs w:val="24"/>
        </w:rPr>
        <w:t>劝阻，并报告采购</w:t>
      </w:r>
    </w:p>
    <w:p w14:paraId="250CC77B">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position w:val="0"/>
          <w:sz w:val="24"/>
          <w:szCs w:val="24"/>
        </w:rPr>
      </w:pPr>
      <w:r>
        <w:rPr>
          <w:rFonts w:ascii="宋体" w:hAnsi="宋体" w:eastAsia="宋体" w:cs="宋体"/>
          <w:spacing w:val="-5"/>
          <w:position w:val="0"/>
          <w:sz w:val="24"/>
          <w:szCs w:val="24"/>
        </w:rPr>
        <w:t>人和有关主管部门。</w:t>
      </w:r>
    </w:p>
    <w:p w14:paraId="090CBEF8">
      <w:pPr>
        <w:keepNext w:val="0"/>
        <w:keepLines w:val="0"/>
        <w:pageBreakBefore w:val="0"/>
        <w:widowControl w:val="0"/>
        <w:kinsoku/>
        <w:wordWrap/>
        <w:overflowPunct/>
        <w:topLinePunct w:val="0"/>
        <w:autoSpaceDE/>
        <w:autoSpaceDN/>
        <w:bidi w:val="0"/>
        <w:adjustRightInd/>
        <w:snapToGrid/>
        <w:spacing w:line="360" w:lineRule="auto"/>
        <w:ind w:left="0" w:right="0" w:firstLine="440" w:firstLineChars="200"/>
        <w:jc w:val="left"/>
        <w:textAlignment w:val="auto"/>
        <w:rPr>
          <w:rFonts w:ascii="宋体" w:hAnsi="宋体" w:eastAsia="宋体" w:cs="宋体"/>
          <w:spacing w:val="0"/>
          <w:position w:val="0"/>
          <w:sz w:val="24"/>
          <w:szCs w:val="24"/>
        </w:rPr>
      </w:pPr>
      <w:r>
        <w:rPr>
          <w:rFonts w:hint="eastAsia" w:ascii="宋体" w:hAnsi="宋体" w:eastAsia="宋体" w:cs="宋体"/>
          <w:spacing w:val="-10"/>
          <w:position w:val="0"/>
          <w:sz w:val="24"/>
          <w:szCs w:val="24"/>
          <w:lang w:val="en-US" w:eastAsia="zh-CN"/>
        </w:rPr>
        <w:t>5</w:t>
      </w:r>
      <w:r>
        <w:rPr>
          <w:rFonts w:ascii="宋体" w:hAnsi="宋体" w:eastAsia="宋体" w:cs="宋体"/>
          <w:spacing w:val="-10"/>
          <w:position w:val="0"/>
          <w:sz w:val="24"/>
          <w:szCs w:val="24"/>
        </w:rPr>
        <w:t>、</w:t>
      </w:r>
      <w:r>
        <w:rPr>
          <w:rFonts w:hint="eastAsia" w:ascii="宋体" w:hAnsi="宋体" w:eastAsia="宋体" w:cs="宋体"/>
          <w:spacing w:val="-10"/>
          <w:position w:val="0"/>
          <w:sz w:val="24"/>
          <w:szCs w:val="24"/>
          <w:lang w:eastAsia="zh-CN"/>
        </w:rPr>
        <w:t>小区主出入口设有小区平面示意图，</w:t>
      </w:r>
      <w:r>
        <w:rPr>
          <w:rFonts w:ascii="宋体" w:hAnsi="宋体" w:eastAsia="宋体" w:cs="宋体"/>
          <w:spacing w:val="-10"/>
          <w:position w:val="0"/>
          <w:sz w:val="24"/>
          <w:szCs w:val="24"/>
        </w:rPr>
        <w:t>各栋及单元（门）、户有明显标志。</w:t>
      </w:r>
    </w:p>
    <w:p w14:paraId="1F50645D">
      <w:pPr>
        <w:pStyle w:val="11"/>
        <w:keepNext w:val="0"/>
        <w:keepLines w:val="0"/>
        <w:pageBreakBefore w:val="0"/>
        <w:numPr>
          <w:ilvl w:val="0"/>
          <w:numId w:val="0"/>
        </w:numPr>
        <w:kinsoku/>
        <w:wordWrap/>
        <w:overflowPunct/>
        <w:topLinePunct w:val="0"/>
        <w:autoSpaceDE/>
        <w:autoSpaceDN/>
        <w:bidi w:val="0"/>
        <w:snapToGrid w:val="0"/>
        <w:spacing w:line="240" w:lineRule="auto"/>
        <w:ind w:leftChars="0" w:firstLine="480" w:firstLineChars="200"/>
        <w:jc w:val="both"/>
        <w:textAlignment w:val="auto"/>
        <w:rPr>
          <w:rFonts w:hint="eastAsia" w:ascii="宋体" w:hAnsi="宋体" w:eastAsia="宋体" w:cs="宋体"/>
          <w:spacing w:val="0"/>
          <w:kern w:val="2"/>
          <w:position w:val="0"/>
          <w:sz w:val="24"/>
          <w:szCs w:val="24"/>
          <w:lang w:val="en-US" w:eastAsia="zh-CN" w:bidi="ar-SA"/>
        </w:rPr>
      </w:pPr>
      <w:r>
        <w:rPr>
          <w:rFonts w:hint="eastAsia" w:ascii="宋体" w:hAnsi="宋体" w:eastAsia="宋体" w:cs="宋体"/>
          <w:spacing w:val="0"/>
          <w:kern w:val="2"/>
          <w:position w:val="0"/>
          <w:sz w:val="24"/>
          <w:szCs w:val="24"/>
          <w:lang w:val="en-US" w:eastAsia="zh-CN" w:bidi="ar-SA"/>
        </w:rPr>
        <w:t>6、共用部位日常保养、维修服务标准</w:t>
      </w:r>
    </w:p>
    <w:tbl>
      <w:tblPr>
        <w:tblStyle w:val="9"/>
        <w:tblW w:w="952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626"/>
        <w:gridCol w:w="1567"/>
        <w:gridCol w:w="4651"/>
        <w:gridCol w:w="2676"/>
      </w:tblGrid>
      <w:tr w14:paraId="460A4E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5" w:hRule="atLeast"/>
          <w:jc w:val="center"/>
        </w:trPr>
        <w:tc>
          <w:tcPr>
            <w:tcW w:w="626" w:type="dxa"/>
            <w:tcBorders>
              <w:top w:val="single" w:color="auto" w:sz="12" w:space="0"/>
              <w:bottom w:val="single" w:color="auto" w:sz="12" w:space="0"/>
            </w:tcBorders>
            <w:noWrap w:val="0"/>
            <w:vAlign w:val="center"/>
          </w:tcPr>
          <w:p w14:paraId="3B7D92F1">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项目</w:t>
            </w:r>
          </w:p>
        </w:tc>
        <w:tc>
          <w:tcPr>
            <w:tcW w:w="1567" w:type="dxa"/>
            <w:tcBorders>
              <w:top w:val="single" w:color="auto" w:sz="12" w:space="0"/>
              <w:bottom w:val="single" w:color="auto" w:sz="12" w:space="0"/>
            </w:tcBorders>
            <w:noWrap w:val="0"/>
            <w:vAlign w:val="center"/>
          </w:tcPr>
          <w:p w14:paraId="740694FA">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内容</w:t>
            </w:r>
          </w:p>
        </w:tc>
        <w:tc>
          <w:tcPr>
            <w:tcW w:w="4651" w:type="dxa"/>
            <w:tcBorders>
              <w:top w:val="single" w:color="auto" w:sz="12" w:space="0"/>
              <w:bottom w:val="single" w:color="auto" w:sz="12" w:space="0"/>
            </w:tcBorders>
            <w:noWrap w:val="0"/>
            <w:vAlign w:val="center"/>
          </w:tcPr>
          <w:p w14:paraId="1C748998">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运行、保养、维修服务要求</w:t>
            </w:r>
          </w:p>
        </w:tc>
        <w:tc>
          <w:tcPr>
            <w:tcW w:w="2676" w:type="dxa"/>
            <w:tcBorders>
              <w:top w:val="single" w:color="auto" w:sz="12" w:space="0"/>
              <w:bottom w:val="single" w:color="auto" w:sz="12" w:space="0"/>
            </w:tcBorders>
            <w:noWrap w:val="0"/>
            <w:vAlign w:val="center"/>
          </w:tcPr>
          <w:p w14:paraId="35FBB417">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备注</w:t>
            </w:r>
          </w:p>
        </w:tc>
      </w:tr>
      <w:tr w14:paraId="52D347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3" w:hRule="atLeast"/>
          <w:jc w:val="center"/>
        </w:trPr>
        <w:tc>
          <w:tcPr>
            <w:tcW w:w="626" w:type="dxa"/>
            <w:vMerge w:val="restart"/>
            <w:tcBorders>
              <w:top w:val="single" w:color="auto" w:sz="12" w:space="0"/>
            </w:tcBorders>
            <w:noWrap w:val="0"/>
            <w:vAlign w:val="center"/>
          </w:tcPr>
          <w:p w14:paraId="4E7937BE">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公共部位</w:t>
            </w:r>
          </w:p>
          <w:p w14:paraId="4DC1F35E">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1567" w:type="dxa"/>
            <w:tcBorders>
              <w:top w:val="single" w:color="auto" w:sz="12" w:space="0"/>
            </w:tcBorders>
            <w:noWrap w:val="0"/>
            <w:vAlign w:val="center"/>
          </w:tcPr>
          <w:p w14:paraId="198D7FC1">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房屋结构</w:t>
            </w:r>
          </w:p>
        </w:tc>
        <w:tc>
          <w:tcPr>
            <w:tcW w:w="4651" w:type="dxa"/>
            <w:tcBorders>
              <w:top w:val="single" w:color="auto" w:sz="12" w:space="0"/>
            </w:tcBorders>
            <w:noWrap w:val="0"/>
            <w:vAlign w:val="top"/>
          </w:tcPr>
          <w:p w14:paraId="728EFE13">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每年二次以上对房屋结构、涉及使用安全的部位进行检查并有记录,发现损坏及时安排专项修理并告知相关业主、使用人。</w:t>
            </w:r>
          </w:p>
        </w:tc>
        <w:tc>
          <w:tcPr>
            <w:tcW w:w="2676" w:type="dxa"/>
            <w:vMerge w:val="restart"/>
            <w:tcBorders>
              <w:top w:val="single" w:color="auto" w:sz="12" w:space="0"/>
            </w:tcBorders>
            <w:noWrap w:val="0"/>
            <w:vAlign w:val="top"/>
          </w:tcPr>
          <w:p w14:paraId="7822A298">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val="en-US" w:eastAsia="zh-CN"/>
              </w:rPr>
              <w:t>1</w:t>
            </w:r>
            <w:r>
              <w:rPr>
                <w:rFonts w:hint="eastAsia" w:ascii="宋体" w:hAnsi="宋体" w:eastAsia="宋体" w:cs="宋体"/>
                <w:b w:val="0"/>
                <w:bCs w:val="0"/>
                <w:color w:val="auto"/>
                <w:sz w:val="24"/>
                <w:szCs w:val="24"/>
              </w:rPr>
              <w:t>）疏通落水管、污水管等排水、排污管道。</w:t>
            </w:r>
          </w:p>
          <w:p w14:paraId="7B0DBAB2">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val="en-US" w:eastAsia="zh-CN"/>
              </w:rPr>
              <w:t>2</w:t>
            </w:r>
            <w:r>
              <w:rPr>
                <w:rFonts w:hint="eastAsia" w:ascii="宋体" w:hAnsi="宋体" w:eastAsia="宋体" w:cs="宋体"/>
                <w:b w:val="0"/>
                <w:bCs w:val="0"/>
                <w:color w:val="auto"/>
                <w:sz w:val="24"/>
                <w:szCs w:val="24"/>
              </w:rPr>
              <w:t>）更换公共走道门窗玻璃（单块面积小于1平方米）。</w:t>
            </w:r>
          </w:p>
          <w:p w14:paraId="201AAA30">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val="en-US" w:eastAsia="zh-CN"/>
              </w:rPr>
              <w:t>3</w:t>
            </w:r>
            <w:r>
              <w:rPr>
                <w:rFonts w:hint="eastAsia" w:ascii="宋体" w:hAnsi="宋体" w:eastAsia="宋体" w:cs="宋体"/>
                <w:b w:val="0"/>
                <w:bCs w:val="0"/>
                <w:color w:val="auto"/>
                <w:sz w:val="24"/>
                <w:szCs w:val="24"/>
              </w:rPr>
              <w:t>）街坊道路侧石、路面修补（单块长度小于1米或面积小于1平方米）。</w:t>
            </w:r>
          </w:p>
          <w:p w14:paraId="169468C5">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val="en-US" w:eastAsia="zh-CN"/>
              </w:rPr>
              <w:t>4</w:t>
            </w:r>
            <w:r>
              <w:rPr>
                <w:rFonts w:hint="eastAsia" w:ascii="宋体" w:hAnsi="宋体" w:eastAsia="宋体" w:cs="宋体"/>
                <w:b w:val="0"/>
                <w:bCs w:val="0"/>
                <w:color w:val="auto"/>
                <w:sz w:val="24"/>
                <w:szCs w:val="24"/>
              </w:rPr>
              <w:t>）设施、设备标识修补。</w:t>
            </w:r>
          </w:p>
          <w:p w14:paraId="043253F9">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val="en-US" w:eastAsia="zh-CN"/>
              </w:rPr>
              <w:t>5</w:t>
            </w:r>
            <w:r>
              <w:rPr>
                <w:rFonts w:hint="eastAsia" w:ascii="宋体" w:hAnsi="宋体" w:eastAsia="宋体" w:cs="宋体"/>
                <w:b w:val="0"/>
                <w:bCs w:val="0"/>
                <w:color w:val="auto"/>
                <w:sz w:val="24"/>
                <w:szCs w:val="24"/>
              </w:rPr>
              <w:t>）扶手、栏杆、灯杆等补刷油漆。</w:t>
            </w:r>
          </w:p>
          <w:p w14:paraId="5FC80239">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p>
        </w:tc>
      </w:tr>
      <w:tr w14:paraId="584041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0" w:hRule="atLeast"/>
          <w:jc w:val="center"/>
        </w:trPr>
        <w:tc>
          <w:tcPr>
            <w:tcW w:w="626" w:type="dxa"/>
            <w:vMerge w:val="continue"/>
            <w:noWrap w:val="0"/>
            <w:vAlign w:val="center"/>
          </w:tcPr>
          <w:p w14:paraId="3B406DE0">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1567" w:type="dxa"/>
            <w:noWrap w:val="0"/>
            <w:vAlign w:val="center"/>
          </w:tcPr>
          <w:p w14:paraId="3A902963">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门窗</w:t>
            </w:r>
          </w:p>
        </w:tc>
        <w:tc>
          <w:tcPr>
            <w:tcW w:w="4651" w:type="dxa"/>
            <w:noWrap w:val="0"/>
            <w:vAlign w:val="center"/>
          </w:tcPr>
          <w:p w14:paraId="5D27A4D7">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每周一次巡视楼内公共部位门窗，保持玻璃、门窗配件完好，开闭正常。</w:t>
            </w:r>
          </w:p>
        </w:tc>
        <w:tc>
          <w:tcPr>
            <w:tcW w:w="2676" w:type="dxa"/>
            <w:vMerge w:val="continue"/>
            <w:noWrap w:val="0"/>
            <w:vAlign w:val="top"/>
          </w:tcPr>
          <w:p w14:paraId="6C92A626">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p>
        </w:tc>
      </w:tr>
      <w:tr w14:paraId="3FCD7A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6" w:hRule="atLeast"/>
          <w:jc w:val="center"/>
        </w:trPr>
        <w:tc>
          <w:tcPr>
            <w:tcW w:w="626" w:type="dxa"/>
            <w:vMerge w:val="continue"/>
            <w:noWrap w:val="0"/>
            <w:vAlign w:val="center"/>
          </w:tcPr>
          <w:p w14:paraId="59E6B404">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1567" w:type="dxa"/>
            <w:noWrap w:val="0"/>
            <w:vAlign w:val="center"/>
          </w:tcPr>
          <w:p w14:paraId="6BEAF8A5">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楼内墙面、顶面、地面</w:t>
            </w:r>
          </w:p>
        </w:tc>
        <w:tc>
          <w:tcPr>
            <w:tcW w:w="4651" w:type="dxa"/>
            <w:noWrap w:val="0"/>
            <w:vAlign w:val="center"/>
          </w:tcPr>
          <w:p w14:paraId="4E0FA83B">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墙面、顶面粉刷层无明显剥落，面砖、地砖平整不起壳、无缺损，墙面修补应保持与原墙面材质一致。</w:t>
            </w:r>
          </w:p>
        </w:tc>
        <w:tc>
          <w:tcPr>
            <w:tcW w:w="2676" w:type="dxa"/>
            <w:vMerge w:val="continue"/>
            <w:noWrap w:val="0"/>
            <w:vAlign w:val="top"/>
          </w:tcPr>
          <w:p w14:paraId="2BBBC94C">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p>
        </w:tc>
      </w:tr>
      <w:tr w14:paraId="6D337D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28" w:hRule="atLeast"/>
          <w:jc w:val="center"/>
        </w:trPr>
        <w:tc>
          <w:tcPr>
            <w:tcW w:w="626" w:type="dxa"/>
            <w:vMerge w:val="continue"/>
            <w:noWrap w:val="0"/>
            <w:vAlign w:val="center"/>
          </w:tcPr>
          <w:p w14:paraId="251CA5C5">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1567" w:type="dxa"/>
            <w:noWrap w:val="0"/>
            <w:vAlign w:val="center"/>
          </w:tcPr>
          <w:p w14:paraId="66A6B785">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管道、排水沟、</w:t>
            </w:r>
          </w:p>
          <w:p w14:paraId="32A582FF">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屋顶</w:t>
            </w:r>
          </w:p>
        </w:tc>
        <w:tc>
          <w:tcPr>
            <w:tcW w:w="4651" w:type="dxa"/>
            <w:noWrap w:val="0"/>
            <w:vAlign w:val="center"/>
          </w:tcPr>
          <w:p w14:paraId="101AA439">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每季一次对屋面泄水沟、楼内外排水管道进行清扫、疏通，保障排水畅通。每半年检查一次屋顶，发现防水层有气臌、碎裂，隔热板有断裂、缺损的，应及时修理。</w:t>
            </w:r>
          </w:p>
        </w:tc>
        <w:tc>
          <w:tcPr>
            <w:tcW w:w="2676" w:type="dxa"/>
            <w:vMerge w:val="continue"/>
            <w:noWrap w:val="0"/>
            <w:vAlign w:val="top"/>
          </w:tcPr>
          <w:p w14:paraId="0D1E8519">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p>
        </w:tc>
      </w:tr>
      <w:tr w14:paraId="17F6B4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2" w:hRule="atLeast"/>
          <w:jc w:val="center"/>
        </w:trPr>
        <w:tc>
          <w:tcPr>
            <w:tcW w:w="626" w:type="dxa"/>
            <w:vMerge w:val="continue"/>
            <w:noWrap w:val="0"/>
            <w:vAlign w:val="center"/>
          </w:tcPr>
          <w:p w14:paraId="21AF1252">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1567" w:type="dxa"/>
            <w:noWrap w:val="0"/>
            <w:vAlign w:val="center"/>
          </w:tcPr>
          <w:p w14:paraId="67A44C8A">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围墙</w:t>
            </w:r>
          </w:p>
        </w:tc>
        <w:tc>
          <w:tcPr>
            <w:tcW w:w="4651" w:type="dxa"/>
            <w:noWrap w:val="0"/>
            <w:vAlign w:val="top"/>
          </w:tcPr>
          <w:p w14:paraId="0FA4BACD">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每月一次巡查围墙，发现损坏立即修复；铁栅栏围墙表面无明显锈蚀，保持围墙完好。</w:t>
            </w:r>
          </w:p>
        </w:tc>
        <w:tc>
          <w:tcPr>
            <w:tcW w:w="2676" w:type="dxa"/>
            <w:vMerge w:val="continue"/>
            <w:noWrap w:val="0"/>
            <w:vAlign w:val="top"/>
          </w:tcPr>
          <w:p w14:paraId="01FC6B1F">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p>
        </w:tc>
      </w:tr>
      <w:tr w14:paraId="246384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6" w:hRule="atLeast"/>
          <w:jc w:val="center"/>
        </w:trPr>
        <w:tc>
          <w:tcPr>
            <w:tcW w:w="626" w:type="dxa"/>
            <w:vMerge w:val="continue"/>
            <w:noWrap w:val="0"/>
            <w:vAlign w:val="center"/>
          </w:tcPr>
          <w:p w14:paraId="221793D6">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1567" w:type="dxa"/>
            <w:noWrap w:val="0"/>
            <w:vAlign w:val="center"/>
          </w:tcPr>
          <w:p w14:paraId="30032BEE">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道路、场地等</w:t>
            </w:r>
          </w:p>
        </w:tc>
        <w:tc>
          <w:tcPr>
            <w:tcW w:w="4651" w:type="dxa"/>
            <w:noWrap w:val="0"/>
            <w:vAlign w:val="top"/>
          </w:tcPr>
          <w:p w14:paraId="5701B3B3">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每半月一次巡查道路、路面、侧石、井盖等，发现损坏及时修复，保持路面基本平整无积水，侧石平直无缺损。</w:t>
            </w:r>
          </w:p>
        </w:tc>
        <w:tc>
          <w:tcPr>
            <w:tcW w:w="2676" w:type="dxa"/>
            <w:vMerge w:val="continue"/>
            <w:noWrap w:val="0"/>
            <w:vAlign w:val="top"/>
          </w:tcPr>
          <w:p w14:paraId="292D930A">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p>
        </w:tc>
      </w:tr>
      <w:tr w14:paraId="7C9E2C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9" w:hRule="atLeast"/>
          <w:jc w:val="center"/>
        </w:trPr>
        <w:tc>
          <w:tcPr>
            <w:tcW w:w="626" w:type="dxa"/>
            <w:vMerge w:val="continue"/>
            <w:noWrap w:val="0"/>
            <w:vAlign w:val="center"/>
          </w:tcPr>
          <w:p w14:paraId="6233C073">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1567" w:type="dxa"/>
            <w:noWrap w:val="0"/>
            <w:vAlign w:val="center"/>
          </w:tcPr>
          <w:p w14:paraId="59EE7282">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休闲椅、室外健身设施等</w:t>
            </w:r>
          </w:p>
        </w:tc>
        <w:tc>
          <w:tcPr>
            <w:tcW w:w="4651" w:type="dxa"/>
            <w:noWrap w:val="0"/>
            <w:vAlign w:val="center"/>
          </w:tcPr>
          <w:p w14:paraId="65D26729">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每周二次以上巡查，发现损坏立即修复，保证器械、设施的安全使用（如需更换的除外）。</w:t>
            </w:r>
          </w:p>
        </w:tc>
        <w:tc>
          <w:tcPr>
            <w:tcW w:w="2676" w:type="dxa"/>
            <w:vMerge w:val="restart"/>
            <w:noWrap w:val="0"/>
            <w:vAlign w:val="top"/>
          </w:tcPr>
          <w:p w14:paraId="5265FFC4">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p>
        </w:tc>
      </w:tr>
      <w:tr w14:paraId="24CB19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8" w:hRule="atLeast"/>
          <w:jc w:val="center"/>
        </w:trPr>
        <w:tc>
          <w:tcPr>
            <w:tcW w:w="626" w:type="dxa"/>
            <w:vMerge w:val="continue"/>
            <w:noWrap w:val="0"/>
            <w:vAlign w:val="center"/>
          </w:tcPr>
          <w:p w14:paraId="1C1AFBA2">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1567" w:type="dxa"/>
            <w:noWrap w:val="0"/>
            <w:vAlign w:val="center"/>
          </w:tcPr>
          <w:p w14:paraId="71EA9048">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安全标志等</w:t>
            </w:r>
          </w:p>
        </w:tc>
        <w:tc>
          <w:tcPr>
            <w:tcW w:w="4651" w:type="dxa"/>
            <w:noWrap w:val="0"/>
            <w:vAlign w:val="top"/>
          </w:tcPr>
          <w:p w14:paraId="79A5E333">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对危险隐患部位设置安全防范警示标志，并在主要通道设置安全疏散指示和事故照明设施。每月检查一次，保证标志清晰完整，设施运行正常。</w:t>
            </w:r>
          </w:p>
        </w:tc>
        <w:tc>
          <w:tcPr>
            <w:tcW w:w="2676" w:type="dxa"/>
            <w:vMerge w:val="continue"/>
            <w:noWrap w:val="0"/>
            <w:vAlign w:val="top"/>
          </w:tcPr>
          <w:p w14:paraId="747C3864">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p>
        </w:tc>
      </w:tr>
    </w:tbl>
    <w:p w14:paraId="6AF03FC8">
      <w:pPr>
        <w:keepNext w:val="0"/>
        <w:keepLines w:val="0"/>
        <w:pageBreakBefore w:val="0"/>
        <w:widowControl w:val="0"/>
        <w:kinsoku/>
        <w:wordWrap/>
        <w:overflowPunct/>
        <w:topLinePunct w:val="0"/>
        <w:autoSpaceDE/>
        <w:autoSpaceDN/>
        <w:bidi w:val="0"/>
        <w:adjustRightInd/>
        <w:snapToGrid/>
        <w:spacing w:line="360" w:lineRule="auto"/>
        <w:ind w:left="0" w:right="0" w:firstLine="464" w:firstLineChars="200"/>
        <w:jc w:val="left"/>
        <w:textAlignment w:val="auto"/>
        <w:rPr>
          <w:rFonts w:ascii="宋体" w:hAnsi="宋体" w:eastAsia="宋体" w:cs="宋体"/>
          <w:spacing w:val="-4"/>
          <w:position w:val="0"/>
          <w:sz w:val="24"/>
          <w:szCs w:val="24"/>
        </w:rPr>
      </w:pPr>
    </w:p>
    <w:p w14:paraId="4D5D820F">
      <w:pPr>
        <w:keepNext w:val="0"/>
        <w:keepLines w:val="0"/>
        <w:pageBreakBefore w:val="0"/>
        <w:widowControl w:val="0"/>
        <w:kinsoku/>
        <w:wordWrap/>
        <w:overflowPunct/>
        <w:topLinePunct w:val="0"/>
        <w:autoSpaceDE/>
        <w:autoSpaceDN/>
        <w:bidi w:val="0"/>
        <w:adjustRightInd/>
        <w:snapToGrid/>
        <w:spacing w:line="360" w:lineRule="auto"/>
        <w:ind w:left="0" w:right="0" w:firstLine="464" w:firstLineChars="200"/>
        <w:jc w:val="left"/>
        <w:textAlignment w:val="auto"/>
        <w:rPr>
          <w:rFonts w:hint="eastAsia" w:ascii="宋体" w:hAnsi="宋体" w:eastAsia="宋体" w:cs="宋体"/>
          <w:position w:val="0"/>
          <w:sz w:val="24"/>
          <w:szCs w:val="24"/>
          <w:lang w:val="en-US" w:eastAsia="zh-CN"/>
        </w:rPr>
      </w:pPr>
      <w:r>
        <w:rPr>
          <w:rFonts w:ascii="宋体" w:hAnsi="宋体" w:eastAsia="宋体" w:cs="宋体"/>
          <w:spacing w:val="-4"/>
          <w:position w:val="0"/>
          <w:sz w:val="24"/>
          <w:szCs w:val="24"/>
        </w:rPr>
        <w:t>（三）公共设施维护</w:t>
      </w:r>
      <w:r>
        <w:rPr>
          <w:rFonts w:hint="eastAsia" w:ascii="宋体" w:hAnsi="宋体" w:eastAsia="宋体" w:cs="宋体"/>
          <w:spacing w:val="-4"/>
          <w:position w:val="0"/>
          <w:sz w:val="24"/>
          <w:szCs w:val="24"/>
          <w:lang w:val="en-US" w:eastAsia="zh-CN"/>
        </w:rPr>
        <w:t>要求</w:t>
      </w:r>
    </w:p>
    <w:p w14:paraId="74553288">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position w:val="0"/>
          <w:sz w:val="24"/>
          <w:szCs w:val="24"/>
        </w:rPr>
      </w:pPr>
      <w:r>
        <w:rPr>
          <w:rFonts w:ascii="宋体" w:hAnsi="宋体" w:eastAsia="宋体" w:cs="宋体"/>
          <w:position w:val="0"/>
          <w:sz w:val="24"/>
          <w:szCs w:val="24"/>
        </w:rPr>
        <w:t>1、制定完善的共用设施设备年度维修养护计划，并对共</w:t>
      </w:r>
      <w:r>
        <w:rPr>
          <w:rFonts w:ascii="宋体" w:hAnsi="宋体" w:eastAsia="宋体" w:cs="宋体"/>
          <w:spacing w:val="-1"/>
          <w:position w:val="0"/>
          <w:sz w:val="24"/>
          <w:szCs w:val="24"/>
        </w:rPr>
        <w:t>用设施设备进行日</w:t>
      </w:r>
    </w:p>
    <w:p w14:paraId="181BFF27">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position w:val="0"/>
          <w:sz w:val="24"/>
          <w:szCs w:val="24"/>
        </w:rPr>
      </w:pPr>
      <w:r>
        <w:rPr>
          <w:rFonts w:ascii="宋体" w:hAnsi="宋体" w:eastAsia="宋体" w:cs="宋体"/>
          <w:spacing w:val="-7"/>
          <w:position w:val="0"/>
          <w:sz w:val="24"/>
          <w:szCs w:val="24"/>
        </w:rPr>
        <w:t>常管理和维修养护（依法应由专业部门负责的除外）。</w:t>
      </w:r>
    </w:p>
    <w:p w14:paraId="3D2F5AA4">
      <w:pPr>
        <w:keepNext w:val="0"/>
        <w:keepLines w:val="0"/>
        <w:pageBreakBefore w:val="0"/>
        <w:widowControl w:val="0"/>
        <w:kinsoku/>
        <w:wordWrap/>
        <w:overflowPunct/>
        <w:topLinePunct w:val="0"/>
        <w:autoSpaceDE/>
        <w:autoSpaceDN/>
        <w:bidi w:val="0"/>
        <w:adjustRightInd/>
        <w:snapToGrid/>
        <w:spacing w:line="360" w:lineRule="auto"/>
        <w:ind w:left="0" w:right="0" w:firstLine="460" w:firstLineChars="200"/>
        <w:jc w:val="left"/>
        <w:textAlignment w:val="auto"/>
        <w:rPr>
          <w:rFonts w:ascii="宋体" w:hAnsi="宋体" w:eastAsia="宋体" w:cs="宋体"/>
          <w:position w:val="0"/>
          <w:sz w:val="24"/>
          <w:szCs w:val="24"/>
        </w:rPr>
      </w:pPr>
      <w:r>
        <w:rPr>
          <w:rFonts w:ascii="宋体" w:hAnsi="宋体" w:eastAsia="宋体" w:cs="宋体"/>
          <w:spacing w:val="-5"/>
          <w:position w:val="0"/>
          <w:sz w:val="24"/>
          <w:szCs w:val="24"/>
        </w:rPr>
        <w:t>2、建立设施设备档案（设备台帐</w:t>
      </w:r>
      <w:r>
        <w:rPr>
          <w:rFonts w:ascii="宋体" w:hAnsi="宋体" w:eastAsia="宋体" w:cs="宋体"/>
          <w:spacing w:val="-6"/>
          <w:position w:val="0"/>
          <w:sz w:val="24"/>
          <w:szCs w:val="24"/>
        </w:rPr>
        <w:t>），</w:t>
      </w:r>
      <w:r>
        <w:rPr>
          <w:rFonts w:ascii="宋体" w:hAnsi="宋体" w:eastAsia="宋体" w:cs="宋体"/>
          <w:spacing w:val="-5"/>
          <w:position w:val="0"/>
          <w:sz w:val="24"/>
          <w:szCs w:val="24"/>
        </w:rPr>
        <w:t>设施设备的运行、检修等记录齐全。</w:t>
      </w:r>
    </w:p>
    <w:p w14:paraId="079E74DF">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position w:val="0"/>
          <w:sz w:val="24"/>
          <w:szCs w:val="24"/>
        </w:rPr>
      </w:pPr>
      <w:r>
        <w:rPr>
          <w:rFonts w:ascii="宋体" w:hAnsi="宋体" w:eastAsia="宋体" w:cs="宋体"/>
          <w:position w:val="0"/>
          <w:sz w:val="24"/>
          <w:szCs w:val="24"/>
        </w:rPr>
        <w:t>3、操作维护人员严格执行设施设备操作规程及保养规范；设</w:t>
      </w:r>
      <w:r>
        <w:rPr>
          <w:rFonts w:ascii="宋体" w:hAnsi="宋体" w:eastAsia="宋体" w:cs="宋体"/>
          <w:spacing w:val="-1"/>
          <w:position w:val="0"/>
          <w:sz w:val="24"/>
          <w:szCs w:val="24"/>
        </w:rPr>
        <w:t>施设备运行正</w:t>
      </w:r>
    </w:p>
    <w:p w14:paraId="17AD0D7C">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position w:val="0"/>
          <w:sz w:val="24"/>
          <w:szCs w:val="24"/>
        </w:rPr>
      </w:pPr>
      <w:r>
        <w:rPr>
          <w:rFonts w:ascii="宋体" w:hAnsi="宋体" w:eastAsia="宋体" w:cs="宋体"/>
          <w:spacing w:val="-13"/>
          <w:position w:val="0"/>
          <w:sz w:val="24"/>
          <w:szCs w:val="24"/>
        </w:rPr>
        <w:t>常。</w:t>
      </w:r>
    </w:p>
    <w:p w14:paraId="01806DEC">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position w:val="0"/>
          <w:sz w:val="24"/>
          <w:szCs w:val="24"/>
        </w:rPr>
      </w:pPr>
      <w:r>
        <w:rPr>
          <w:rFonts w:ascii="宋体" w:hAnsi="宋体" w:eastAsia="宋体" w:cs="宋体"/>
          <w:position w:val="0"/>
          <w:sz w:val="24"/>
          <w:szCs w:val="24"/>
        </w:rPr>
        <w:t>4、对共用设施设备定期组织巡查，做好巡查记录，需要维修，属于小修范</w:t>
      </w:r>
      <w:r>
        <w:rPr>
          <w:rFonts w:ascii="宋体" w:hAnsi="宋体" w:eastAsia="宋体" w:cs="宋体"/>
          <w:spacing w:val="-16"/>
          <w:position w:val="0"/>
          <w:sz w:val="24"/>
          <w:szCs w:val="24"/>
        </w:rPr>
        <w:t>围的，中标人及时组织修复，费用由中标人支付；属于大、中修范围或者需要更</w:t>
      </w:r>
      <w:r>
        <w:rPr>
          <w:rFonts w:ascii="宋体" w:hAnsi="宋体" w:eastAsia="宋体" w:cs="宋体"/>
          <w:position w:val="0"/>
          <w:sz w:val="24"/>
          <w:szCs w:val="24"/>
        </w:rPr>
        <w:t xml:space="preserve"> </w:t>
      </w:r>
      <w:r>
        <w:rPr>
          <w:rFonts w:ascii="宋体" w:hAnsi="宋体" w:eastAsia="宋体" w:cs="宋体"/>
          <w:spacing w:val="-11"/>
          <w:position w:val="0"/>
          <w:sz w:val="24"/>
          <w:szCs w:val="24"/>
        </w:rPr>
        <w:t>新改造的， 及时编制维修、更新改造计划和住房专项维修费用使用计划</w:t>
      </w:r>
      <w:r>
        <w:rPr>
          <w:rFonts w:ascii="宋体" w:hAnsi="宋体" w:eastAsia="宋体" w:cs="宋体"/>
          <w:spacing w:val="-12"/>
          <w:position w:val="0"/>
          <w:sz w:val="24"/>
          <w:szCs w:val="24"/>
        </w:rPr>
        <w:t>，向采购</w:t>
      </w:r>
      <w:r>
        <w:rPr>
          <w:rFonts w:ascii="宋体" w:hAnsi="宋体" w:eastAsia="宋体" w:cs="宋体"/>
          <w:spacing w:val="-2"/>
          <w:position w:val="0"/>
          <w:sz w:val="24"/>
          <w:szCs w:val="24"/>
        </w:rPr>
        <w:t>人提出报告与建议，根据采购人的决定，组织维修或者更新改造。</w:t>
      </w:r>
    </w:p>
    <w:p w14:paraId="120E3E8B">
      <w:pPr>
        <w:keepNext w:val="0"/>
        <w:keepLines w:val="0"/>
        <w:pageBreakBefore w:val="0"/>
        <w:widowControl w:val="0"/>
        <w:kinsoku/>
        <w:wordWrap/>
        <w:overflowPunct/>
        <w:topLinePunct w:val="0"/>
        <w:autoSpaceDE/>
        <w:autoSpaceDN/>
        <w:bidi w:val="0"/>
        <w:adjustRightInd/>
        <w:snapToGrid/>
        <w:spacing w:line="360" w:lineRule="auto"/>
        <w:ind w:left="0" w:right="0" w:firstLine="448" w:firstLineChars="200"/>
        <w:jc w:val="left"/>
        <w:textAlignment w:val="auto"/>
        <w:rPr>
          <w:rFonts w:ascii="宋体" w:hAnsi="宋体" w:eastAsia="宋体" w:cs="宋体"/>
          <w:position w:val="0"/>
          <w:sz w:val="24"/>
          <w:szCs w:val="24"/>
        </w:rPr>
      </w:pPr>
      <w:r>
        <w:rPr>
          <w:rFonts w:ascii="宋体" w:hAnsi="宋体" w:eastAsia="宋体" w:cs="宋体"/>
          <w:spacing w:val="-8"/>
          <w:position w:val="0"/>
          <w:sz w:val="24"/>
          <w:szCs w:val="24"/>
        </w:rPr>
        <w:t>5、载人电梯按规定进行定期维养及年检，</w:t>
      </w:r>
      <w:r>
        <w:rPr>
          <w:rFonts w:ascii="宋体" w:hAnsi="宋体" w:eastAsia="宋体" w:cs="宋体"/>
          <w:spacing w:val="-9"/>
          <w:position w:val="0"/>
          <w:sz w:val="24"/>
          <w:szCs w:val="24"/>
        </w:rPr>
        <w:t>且</w:t>
      </w:r>
      <w:r>
        <w:rPr>
          <w:rFonts w:ascii="宋体" w:hAnsi="宋体" w:eastAsia="宋体" w:cs="宋体"/>
          <w:spacing w:val="-47"/>
          <w:position w:val="0"/>
          <w:sz w:val="24"/>
          <w:szCs w:val="24"/>
        </w:rPr>
        <w:t xml:space="preserve"> </w:t>
      </w:r>
      <w:r>
        <w:rPr>
          <w:rFonts w:ascii="宋体" w:hAnsi="宋体" w:eastAsia="宋体" w:cs="宋体"/>
          <w:spacing w:val="-9"/>
          <w:position w:val="0"/>
          <w:sz w:val="24"/>
          <w:szCs w:val="24"/>
        </w:rPr>
        <w:t>24</w:t>
      </w:r>
      <w:r>
        <w:rPr>
          <w:rFonts w:ascii="宋体" w:hAnsi="宋体" w:eastAsia="宋体" w:cs="宋体"/>
          <w:spacing w:val="-44"/>
          <w:position w:val="0"/>
          <w:sz w:val="24"/>
          <w:szCs w:val="24"/>
        </w:rPr>
        <w:t xml:space="preserve"> </w:t>
      </w:r>
      <w:r>
        <w:rPr>
          <w:rFonts w:ascii="宋体" w:hAnsi="宋体" w:eastAsia="宋体" w:cs="宋体"/>
          <w:spacing w:val="-9"/>
          <w:position w:val="0"/>
          <w:sz w:val="24"/>
          <w:szCs w:val="24"/>
        </w:rPr>
        <w:t>小时正常运行</w:t>
      </w:r>
      <w:r>
        <w:rPr>
          <w:rFonts w:hint="eastAsia" w:ascii="宋体" w:hAnsi="宋体" w:eastAsia="宋体" w:cs="宋体"/>
          <w:spacing w:val="-9"/>
          <w:position w:val="0"/>
          <w:sz w:val="24"/>
          <w:szCs w:val="24"/>
          <w:lang w:eastAsia="zh-CN"/>
        </w:rPr>
        <w:t>，</w:t>
      </w:r>
      <w:r>
        <w:rPr>
          <w:rFonts w:hint="eastAsia" w:ascii="宋体" w:hAnsi="宋体" w:eastAsia="宋体" w:cs="宋体"/>
          <w:spacing w:val="-8"/>
          <w:position w:val="0"/>
          <w:sz w:val="24"/>
          <w:szCs w:val="24"/>
          <w:lang w:eastAsia="zh-CN"/>
        </w:rPr>
        <w:t>电梯由中标人另外聘请公司维修，维修费由中标人承担</w:t>
      </w:r>
      <w:r>
        <w:rPr>
          <w:rFonts w:ascii="宋体" w:hAnsi="宋体" w:eastAsia="宋体" w:cs="宋体"/>
          <w:spacing w:val="-9"/>
          <w:position w:val="0"/>
          <w:sz w:val="24"/>
          <w:szCs w:val="24"/>
        </w:rPr>
        <w:t>。发生电梯困</w:t>
      </w:r>
      <w:r>
        <w:rPr>
          <w:rFonts w:ascii="宋体" w:hAnsi="宋体" w:eastAsia="宋体" w:cs="宋体"/>
          <w:spacing w:val="-14"/>
          <w:position w:val="0"/>
          <w:sz w:val="24"/>
          <w:szCs w:val="24"/>
        </w:rPr>
        <w:t>人或其他事故时，中标人必须</w:t>
      </w:r>
      <w:r>
        <w:rPr>
          <w:rFonts w:ascii="宋体" w:hAnsi="宋体" w:eastAsia="宋体" w:cs="宋体"/>
          <w:spacing w:val="-32"/>
          <w:position w:val="0"/>
          <w:sz w:val="24"/>
          <w:szCs w:val="24"/>
        </w:rPr>
        <w:t xml:space="preserve"> </w:t>
      </w:r>
      <w:r>
        <w:rPr>
          <w:rFonts w:ascii="宋体" w:hAnsi="宋体" w:eastAsia="宋体" w:cs="宋体"/>
          <w:spacing w:val="-14"/>
          <w:position w:val="0"/>
          <w:sz w:val="24"/>
          <w:szCs w:val="24"/>
        </w:rPr>
        <w:t>15</w:t>
      </w:r>
      <w:r>
        <w:rPr>
          <w:rFonts w:ascii="宋体" w:hAnsi="宋体" w:eastAsia="宋体" w:cs="宋体"/>
          <w:spacing w:val="-48"/>
          <w:position w:val="0"/>
          <w:sz w:val="24"/>
          <w:szCs w:val="24"/>
        </w:rPr>
        <w:t xml:space="preserve"> </w:t>
      </w:r>
      <w:r>
        <w:rPr>
          <w:rFonts w:ascii="宋体" w:hAnsi="宋体" w:eastAsia="宋体" w:cs="宋体"/>
          <w:spacing w:val="-14"/>
          <w:position w:val="0"/>
          <w:sz w:val="24"/>
          <w:szCs w:val="24"/>
        </w:rPr>
        <w:t>分钟内到场，电梯维养企业及救援力量</w:t>
      </w:r>
      <w:r>
        <w:rPr>
          <w:rFonts w:ascii="宋体" w:hAnsi="宋体" w:eastAsia="宋体" w:cs="宋体"/>
          <w:spacing w:val="-44"/>
          <w:position w:val="0"/>
          <w:sz w:val="24"/>
          <w:szCs w:val="24"/>
        </w:rPr>
        <w:t xml:space="preserve"> </w:t>
      </w:r>
      <w:r>
        <w:rPr>
          <w:rFonts w:ascii="宋体" w:hAnsi="宋体" w:eastAsia="宋体" w:cs="宋体"/>
          <w:spacing w:val="-14"/>
          <w:position w:val="0"/>
          <w:sz w:val="24"/>
          <w:szCs w:val="24"/>
        </w:rPr>
        <w:t>30</w:t>
      </w:r>
      <w:r>
        <w:rPr>
          <w:rFonts w:ascii="宋体" w:hAnsi="宋体" w:eastAsia="宋体" w:cs="宋体"/>
          <w:spacing w:val="-48"/>
          <w:position w:val="0"/>
          <w:sz w:val="24"/>
          <w:szCs w:val="24"/>
        </w:rPr>
        <w:t xml:space="preserve"> </w:t>
      </w:r>
      <w:r>
        <w:rPr>
          <w:rFonts w:ascii="宋体" w:hAnsi="宋体" w:eastAsia="宋体" w:cs="宋体"/>
          <w:spacing w:val="-14"/>
          <w:position w:val="0"/>
          <w:sz w:val="24"/>
          <w:szCs w:val="24"/>
        </w:rPr>
        <w:t>分钟</w:t>
      </w:r>
      <w:r>
        <w:rPr>
          <w:rFonts w:ascii="宋体" w:hAnsi="宋体" w:eastAsia="宋体" w:cs="宋体"/>
          <w:spacing w:val="-6"/>
          <w:position w:val="0"/>
          <w:sz w:val="24"/>
          <w:szCs w:val="24"/>
        </w:rPr>
        <w:t>到场并展开救援。</w:t>
      </w:r>
    </w:p>
    <w:p w14:paraId="591322E0">
      <w:pPr>
        <w:keepNext w:val="0"/>
        <w:keepLines w:val="0"/>
        <w:pageBreakBefore w:val="0"/>
        <w:widowControl w:val="0"/>
        <w:kinsoku/>
        <w:wordWrap/>
        <w:overflowPunct/>
        <w:topLinePunct w:val="0"/>
        <w:autoSpaceDE/>
        <w:autoSpaceDN/>
        <w:bidi w:val="0"/>
        <w:adjustRightInd/>
        <w:snapToGrid/>
        <w:spacing w:line="360" w:lineRule="auto"/>
        <w:ind w:left="0" w:right="0" w:firstLine="460" w:firstLineChars="200"/>
        <w:jc w:val="left"/>
        <w:textAlignment w:val="auto"/>
        <w:rPr>
          <w:rFonts w:ascii="宋体" w:hAnsi="宋体" w:eastAsia="宋体" w:cs="宋体"/>
          <w:position w:val="0"/>
          <w:sz w:val="24"/>
          <w:szCs w:val="24"/>
        </w:rPr>
      </w:pPr>
      <w:r>
        <w:rPr>
          <w:rFonts w:ascii="宋体" w:hAnsi="宋体" w:eastAsia="宋体" w:cs="宋体"/>
          <w:spacing w:val="-5"/>
          <w:position w:val="0"/>
          <w:sz w:val="24"/>
          <w:szCs w:val="24"/>
        </w:rPr>
        <w:t>6、应急照明每日巡查 1</w:t>
      </w:r>
      <w:r>
        <w:rPr>
          <w:rFonts w:ascii="宋体" w:hAnsi="宋体" w:eastAsia="宋体" w:cs="宋体"/>
          <w:spacing w:val="-42"/>
          <w:position w:val="0"/>
          <w:sz w:val="24"/>
          <w:szCs w:val="24"/>
        </w:rPr>
        <w:t xml:space="preserve"> </w:t>
      </w:r>
      <w:r>
        <w:rPr>
          <w:rFonts w:ascii="宋体" w:hAnsi="宋体" w:eastAsia="宋体" w:cs="宋体"/>
          <w:spacing w:val="-5"/>
          <w:position w:val="0"/>
          <w:sz w:val="24"/>
          <w:szCs w:val="24"/>
        </w:rPr>
        <w:t>次，发生故障，及时修复。</w:t>
      </w:r>
    </w:p>
    <w:p w14:paraId="0F724565">
      <w:pPr>
        <w:keepNext w:val="0"/>
        <w:keepLines w:val="0"/>
        <w:pageBreakBefore w:val="0"/>
        <w:widowControl w:val="0"/>
        <w:kinsoku/>
        <w:wordWrap/>
        <w:overflowPunct/>
        <w:topLinePunct w:val="0"/>
        <w:autoSpaceDE/>
        <w:autoSpaceDN/>
        <w:bidi w:val="0"/>
        <w:adjustRightInd/>
        <w:snapToGrid/>
        <w:spacing w:line="360" w:lineRule="auto"/>
        <w:ind w:left="0" w:right="0" w:firstLine="464" w:firstLineChars="200"/>
        <w:jc w:val="left"/>
        <w:textAlignment w:val="auto"/>
        <w:rPr>
          <w:rFonts w:ascii="宋体" w:hAnsi="宋体" w:eastAsia="宋体" w:cs="宋体"/>
          <w:position w:val="0"/>
          <w:sz w:val="24"/>
          <w:szCs w:val="24"/>
        </w:rPr>
      </w:pPr>
      <w:r>
        <w:rPr>
          <w:rFonts w:ascii="宋体" w:hAnsi="宋体" w:eastAsia="宋体" w:cs="宋体"/>
          <w:spacing w:val="-4"/>
          <w:position w:val="0"/>
          <w:sz w:val="24"/>
          <w:szCs w:val="24"/>
        </w:rPr>
        <w:t>7、发电设备完好率不低于</w:t>
      </w:r>
      <w:r>
        <w:rPr>
          <w:rFonts w:ascii="宋体" w:hAnsi="宋体" w:eastAsia="宋体" w:cs="宋体"/>
          <w:spacing w:val="-27"/>
          <w:position w:val="0"/>
          <w:sz w:val="24"/>
          <w:szCs w:val="24"/>
        </w:rPr>
        <w:t xml:space="preserve"> </w:t>
      </w:r>
      <w:r>
        <w:rPr>
          <w:rFonts w:ascii="宋体" w:hAnsi="宋体" w:eastAsia="宋体" w:cs="宋体"/>
          <w:spacing w:val="-4"/>
          <w:position w:val="0"/>
          <w:sz w:val="24"/>
          <w:szCs w:val="24"/>
        </w:rPr>
        <w:t>90%，停电</w:t>
      </w:r>
      <w:r>
        <w:rPr>
          <w:rFonts w:ascii="宋体" w:hAnsi="宋体" w:eastAsia="宋体" w:cs="宋体"/>
          <w:spacing w:val="-34"/>
          <w:position w:val="0"/>
          <w:sz w:val="24"/>
          <w:szCs w:val="24"/>
        </w:rPr>
        <w:t xml:space="preserve"> </w:t>
      </w:r>
      <w:r>
        <w:rPr>
          <w:rFonts w:ascii="宋体" w:hAnsi="宋体" w:eastAsia="宋体" w:cs="宋体"/>
          <w:spacing w:val="-4"/>
          <w:position w:val="0"/>
          <w:sz w:val="24"/>
          <w:szCs w:val="24"/>
        </w:rPr>
        <w:t>20</w:t>
      </w:r>
      <w:r>
        <w:rPr>
          <w:rFonts w:ascii="宋体" w:hAnsi="宋体" w:eastAsia="宋体" w:cs="宋体"/>
          <w:spacing w:val="-47"/>
          <w:position w:val="0"/>
          <w:sz w:val="24"/>
          <w:szCs w:val="24"/>
        </w:rPr>
        <w:t xml:space="preserve"> </w:t>
      </w:r>
      <w:r>
        <w:rPr>
          <w:rFonts w:ascii="宋体" w:hAnsi="宋体" w:eastAsia="宋体" w:cs="宋体"/>
          <w:spacing w:val="-4"/>
          <w:position w:val="0"/>
          <w:sz w:val="24"/>
          <w:szCs w:val="24"/>
        </w:rPr>
        <w:t>分钟内应完成发电。</w:t>
      </w:r>
    </w:p>
    <w:p w14:paraId="63389162">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position w:val="0"/>
          <w:sz w:val="24"/>
          <w:szCs w:val="24"/>
        </w:rPr>
      </w:pPr>
      <w:r>
        <w:rPr>
          <w:rFonts w:ascii="宋体" w:hAnsi="宋体" w:eastAsia="宋体" w:cs="宋体"/>
          <w:position w:val="0"/>
          <w:sz w:val="24"/>
          <w:szCs w:val="24"/>
        </w:rPr>
        <w:t>8、路灯、楼道灯完好率不低于 90%。路灯损坏的，要第一时间采取保护措</w:t>
      </w:r>
    </w:p>
    <w:p w14:paraId="634B2628">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position w:val="0"/>
          <w:sz w:val="24"/>
          <w:szCs w:val="24"/>
        </w:rPr>
      </w:pPr>
      <w:r>
        <w:rPr>
          <w:rFonts w:ascii="宋体" w:hAnsi="宋体" w:eastAsia="宋体" w:cs="宋体"/>
          <w:spacing w:val="-4"/>
          <w:position w:val="0"/>
          <w:sz w:val="24"/>
          <w:szCs w:val="24"/>
        </w:rPr>
        <w:t>施，防止漏电，报修后</w:t>
      </w:r>
      <w:r>
        <w:rPr>
          <w:rFonts w:ascii="宋体" w:hAnsi="宋体" w:eastAsia="宋体" w:cs="宋体"/>
          <w:spacing w:val="-26"/>
          <w:position w:val="0"/>
          <w:sz w:val="24"/>
          <w:szCs w:val="24"/>
        </w:rPr>
        <w:t xml:space="preserve"> </w:t>
      </w:r>
      <w:r>
        <w:rPr>
          <w:rFonts w:ascii="宋体" w:hAnsi="宋体" w:eastAsia="宋体" w:cs="宋体"/>
          <w:spacing w:val="-4"/>
          <w:position w:val="0"/>
          <w:sz w:val="24"/>
          <w:szCs w:val="24"/>
        </w:rPr>
        <w:t>12</w:t>
      </w:r>
      <w:r>
        <w:rPr>
          <w:rFonts w:ascii="宋体" w:hAnsi="宋体" w:eastAsia="宋体" w:cs="宋体"/>
          <w:spacing w:val="-44"/>
          <w:position w:val="0"/>
          <w:sz w:val="24"/>
          <w:szCs w:val="24"/>
        </w:rPr>
        <w:t xml:space="preserve"> </w:t>
      </w:r>
      <w:r>
        <w:rPr>
          <w:rFonts w:ascii="宋体" w:hAnsi="宋体" w:eastAsia="宋体" w:cs="宋体"/>
          <w:spacing w:val="-4"/>
          <w:position w:val="0"/>
          <w:sz w:val="24"/>
          <w:szCs w:val="24"/>
        </w:rPr>
        <w:t>小时内完成修复工作。</w:t>
      </w:r>
    </w:p>
    <w:p w14:paraId="5D524A79">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rPr>
          <w:rFonts w:ascii="宋体" w:hAnsi="宋体" w:eastAsia="宋体" w:cs="宋体"/>
          <w:position w:val="0"/>
          <w:sz w:val="24"/>
          <w:szCs w:val="24"/>
        </w:rPr>
      </w:pPr>
      <w:r>
        <w:rPr>
          <w:rFonts w:ascii="宋体" w:hAnsi="宋体" w:eastAsia="宋体" w:cs="宋体"/>
          <w:spacing w:val="-2"/>
          <w:position w:val="0"/>
          <w:sz w:val="24"/>
          <w:szCs w:val="24"/>
        </w:rPr>
        <w:t>9、消防设施设备完好，可随时启用；消防通道畅通。</w:t>
      </w:r>
    </w:p>
    <w:p w14:paraId="29EE4EE8">
      <w:pPr>
        <w:keepNext w:val="0"/>
        <w:keepLines w:val="0"/>
        <w:pageBreakBefore w:val="0"/>
        <w:widowControl w:val="0"/>
        <w:kinsoku/>
        <w:wordWrap/>
        <w:overflowPunct/>
        <w:topLinePunct w:val="0"/>
        <w:autoSpaceDE/>
        <w:autoSpaceDN/>
        <w:bidi w:val="0"/>
        <w:adjustRightInd/>
        <w:snapToGrid/>
        <w:spacing w:line="360" w:lineRule="auto"/>
        <w:ind w:left="0" w:right="0" w:firstLine="452" w:firstLineChars="200"/>
        <w:jc w:val="left"/>
        <w:textAlignment w:val="auto"/>
        <w:rPr>
          <w:rFonts w:ascii="宋体" w:hAnsi="宋体" w:eastAsia="宋体" w:cs="宋体"/>
          <w:position w:val="0"/>
          <w:sz w:val="24"/>
          <w:szCs w:val="24"/>
        </w:rPr>
      </w:pPr>
      <w:r>
        <w:rPr>
          <w:rFonts w:ascii="宋体" w:hAnsi="宋体" w:eastAsia="宋体" w:cs="宋体"/>
          <w:spacing w:val="-7"/>
          <w:position w:val="0"/>
          <w:sz w:val="24"/>
          <w:szCs w:val="24"/>
        </w:rPr>
        <w:t>10、容易危及人身安全的设施设备有明显警示标志和防范措施</w:t>
      </w:r>
      <w:r>
        <w:rPr>
          <w:rFonts w:ascii="宋体" w:hAnsi="宋体" w:eastAsia="宋体" w:cs="宋体"/>
          <w:spacing w:val="-8"/>
          <w:position w:val="0"/>
          <w:sz w:val="24"/>
          <w:szCs w:val="24"/>
        </w:rPr>
        <w:t>；对可能发生</w:t>
      </w:r>
    </w:p>
    <w:p w14:paraId="12DEE21B">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position w:val="0"/>
          <w:sz w:val="24"/>
          <w:szCs w:val="24"/>
        </w:rPr>
      </w:pPr>
      <w:r>
        <w:rPr>
          <w:rFonts w:ascii="宋体" w:hAnsi="宋体" w:eastAsia="宋体" w:cs="宋体"/>
          <w:spacing w:val="-2"/>
          <w:position w:val="0"/>
          <w:sz w:val="24"/>
          <w:szCs w:val="24"/>
        </w:rPr>
        <w:t>的各种突发设备故障有应急方案。</w:t>
      </w:r>
    </w:p>
    <w:p w14:paraId="00621F33">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宋体" w:hAnsi="宋体" w:eastAsia="宋体" w:cs="宋体"/>
          <w:position w:val="0"/>
          <w:sz w:val="24"/>
          <w:szCs w:val="24"/>
          <w:lang w:val="en-US" w:eastAsia="zh-CN"/>
        </w:rPr>
      </w:pPr>
      <w:r>
        <w:rPr>
          <w:rFonts w:hint="eastAsia" w:ascii="宋体" w:hAnsi="宋体" w:eastAsia="宋体" w:cs="宋体"/>
          <w:position w:val="0"/>
          <w:sz w:val="24"/>
          <w:szCs w:val="24"/>
          <w:lang w:val="en-US" w:eastAsia="zh-CN"/>
        </w:rPr>
        <w:t>11、共用设备设施日常运行、保养、维修服务标准</w:t>
      </w:r>
    </w:p>
    <w:tbl>
      <w:tblPr>
        <w:tblStyle w:val="9"/>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624"/>
        <w:gridCol w:w="1212"/>
        <w:gridCol w:w="4610"/>
        <w:gridCol w:w="10"/>
        <w:gridCol w:w="2051"/>
        <w:gridCol w:w="15"/>
      </w:tblGrid>
      <w:tr w14:paraId="6E4FBD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9" w:hRule="atLeast"/>
          <w:jc w:val="center"/>
        </w:trPr>
        <w:tc>
          <w:tcPr>
            <w:tcW w:w="366" w:type="pct"/>
            <w:tcBorders>
              <w:top w:val="single" w:color="auto" w:sz="12" w:space="0"/>
              <w:bottom w:val="single" w:color="auto" w:sz="12" w:space="0"/>
            </w:tcBorders>
            <w:noWrap w:val="0"/>
            <w:vAlign w:val="center"/>
          </w:tcPr>
          <w:p w14:paraId="1F823769">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项目</w:t>
            </w:r>
          </w:p>
        </w:tc>
        <w:tc>
          <w:tcPr>
            <w:tcW w:w="711" w:type="pct"/>
            <w:tcBorders>
              <w:top w:val="single" w:color="auto" w:sz="12" w:space="0"/>
              <w:bottom w:val="single" w:color="auto" w:sz="12" w:space="0"/>
            </w:tcBorders>
            <w:noWrap w:val="0"/>
            <w:vAlign w:val="center"/>
          </w:tcPr>
          <w:p w14:paraId="5E650F62">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内容</w:t>
            </w:r>
          </w:p>
        </w:tc>
        <w:tc>
          <w:tcPr>
            <w:tcW w:w="2710" w:type="pct"/>
            <w:gridSpan w:val="2"/>
            <w:tcBorders>
              <w:top w:val="single" w:color="auto" w:sz="12" w:space="0"/>
              <w:bottom w:val="single" w:color="auto" w:sz="12" w:space="0"/>
            </w:tcBorders>
            <w:noWrap w:val="0"/>
            <w:vAlign w:val="center"/>
          </w:tcPr>
          <w:p w14:paraId="3A143810">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运行、保养、维修服务要求</w:t>
            </w:r>
          </w:p>
        </w:tc>
        <w:tc>
          <w:tcPr>
            <w:tcW w:w="1212" w:type="pct"/>
            <w:gridSpan w:val="2"/>
            <w:tcBorders>
              <w:top w:val="single" w:color="auto" w:sz="12" w:space="0"/>
              <w:bottom w:val="single" w:color="auto" w:sz="12" w:space="0"/>
            </w:tcBorders>
            <w:noWrap w:val="0"/>
            <w:vAlign w:val="center"/>
          </w:tcPr>
          <w:p w14:paraId="49DA267A">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备注</w:t>
            </w:r>
          </w:p>
        </w:tc>
      </w:tr>
      <w:tr w14:paraId="177EE7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pct"/>
          <w:trHeight w:val="846" w:hRule="atLeast"/>
          <w:jc w:val="center"/>
        </w:trPr>
        <w:tc>
          <w:tcPr>
            <w:tcW w:w="366" w:type="pct"/>
            <w:vMerge w:val="restart"/>
            <w:tcBorders>
              <w:top w:val="single" w:color="auto" w:sz="12" w:space="0"/>
            </w:tcBorders>
            <w:noWrap w:val="0"/>
            <w:vAlign w:val="center"/>
          </w:tcPr>
          <w:p w14:paraId="762EA5FC">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供水系统</w:t>
            </w:r>
          </w:p>
        </w:tc>
        <w:tc>
          <w:tcPr>
            <w:tcW w:w="711" w:type="pct"/>
            <w:vMerge w:val="restart"/>
            <w:tcBorders>
              <w:top w:val="single" w:color="auto" w:sz="12" w:space="0"/>
            </w:tcBorders>
            <w:noWrap w:val="0"/>
            <w:vAlign w:val="center"/>
          </w:tcPr>
          <w:p w14:paraId="2E670B12">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变频水泵</w:t>
            </w:r>
          </w:p>
        </w:tc>
        <w:tc>
          <w:tcPr>
            <w:tcW w:w="2704" w:type="pct"/>
            <w:vMerge w:val="restart"/>
            <w:tcBorders>
              <w:top w:val="single" w:color="auto" w:sz="12" w:space="0"/>
            </w:tcBorders>
            <w:noWrap w:val="0"/>
            <w:vAlign w:val="center"/>
          </w:tcPr>
          <w:p w14:paraId="79F2A993">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1、每周对供水设备检查三次以上，每季对水泵润滑点加油，每季一次对泵房、管道等进行除锈、油漆，每年保养一次水泵，保证二次供水正常，泵房整洁。</w:t>
            </w:r>
          </w:p>
          <w:p w14:paraId="2F685E3B">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2、每年定期二次清洗水箱、蓄水池，二次供水水质符合国家生活用水标准。</w:t>
            </w:r>
          </w:p>
          <w:p w14:paraId="220972D9">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3、高层房屋每年二次对减压阀进行测压并做好记录。</w:t>
            </w:r>
          </w:p>
          <w:p w14:paraId="7971F0A0">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4、水箱、蓄水池盖板应保持完好并加锁，溢流管口必须安装金属防护网并完好，每年秋、冬季对暴露水管进行保养。</w:t>
            </w:r>
          </w:p>
        </w:tc>
        <w:tc>
          <w:tcPr>
            <w:tcW w:w="1209" w:type="pct"/>
            <w:gridSpan w:val="2"/>
            <w:vMerge w:val="restart"/>
            <w:tcBorders>
              <w:top w:val="single" w:color="auto" w:sz="12" w:space="0"/>
            </w:tcBorders>
            <w:noWrap w:val="0"/>
            <w:vAlign w:val="top"/>
          </w:tcPr>
          <w:p w14:paraId="46038F1A">
            <w:pPr>
              <w:keepNext w:val="0"/>
              <w:keepLines w:val="0"/>
              <w:pageBreakBefore w:val="0"/>
              <w:kinsoku/>
              <w:wordWrap/>
              <w:overflowPunct/>
              <w:topLinePunct w:val="0"/>
              <w:autoSpaceDE/>
              <w:autoSpaceDN/>
              <w:bidi w:val="0"/>
              <w:snapToGrid w:val="0"/>
              <w:spacing w:after="0" w:line="240" w:lineRule="auto"/>
              <w:ind w:firstLine="240" w:firstLineChars="1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供水系统成本构成：</w:t>
            </w:r>
          </w:p>
          <w:p w14:paraId="0A71734D">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1、普通水泵：</w:t>
            </w:r>
          </w:p>
          <w:p w14:paraId="4B4A93B0">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（1）供水运行（电耗）。</w:t>
            </w:r>
          </w:p>
          <w:p w14:paraId="57A57BFD">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（2）供水设备保养。</w:t>
            </w:r>
          </w:p>
          <w:p w14:paraId="1DC0F950">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（3）水池、水箱清洗。（4）水质抽样化验。</w:t>
            </w:r>
          </w:p>
          <w:p w14:paraId="09A7200D">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2、变频水泵：</w:t>
            </w:r>
          </w:p>
          <w:p w14:paraId="398A986A">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（1）供水运行（电耗）。</w:t>
            </w:r>
          </w:p>
          <w:p w14:paraId="43D15309">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（2）供水设备保养。</w:t>
            </w:r>
          </w:p>
          <w:p w14:paraId="5D8959AC">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（3）蓄水池清洗。</w:t>
            </w:r>
          </w:p>
        </w:tc>
      </w:tr>
      <w:tr w14:paraId="038118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pct"/>
          <w:trHeight w:val="290" w:hRule="atLeast"/>
          <w:jc w:val="center"/>
        </w:trPr>
        <w:tc>
          <w:tcPr>
            <w:tcW w:w="366" w:type="pct"/>
            <w:vMerge w:val="continue"/>
            <w:noWrap w:val="0"/>
            <w:vAlign w:val="center"/>
          </w:tcPr>
          <w:p w14:paraId="60CF5736">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711" w:type="pct"/>
            <w:vMerge w:val="continue"/>
            <w:noWrap w:val="0"/>
            <w:vAlign w:val="center"/>
          </w:tcPr>
          <w:p w14:paraId="6FD69DC4">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2704" w:type="pct"/>
            <w:vMerge w:val="continue"/>
            <w:noWrap w:val="0"/>
            <w:vAlign w:val="center"/>
          </w:tcPr>
          <w:p w14:paraId="591D84BB">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p>
        </w:tc>
        <w:tc>
          <w:tcPr>
            <w:tcW w:w="1209" w:type="pct"/>
            <w:gridSpan w:val="2"/>
            <w:vMerge w:val="continue"/>
            <w:noWrap w:val="0"/>
            <w:vAlign w:val="center"/>
          </w:tcPr>
          <w:p w14:paraId="78CA853F">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r>
      <w:tr w14:paraId="5C0CC5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pct"/>
          <w:trHeight w:val="626" w:hRule="atLeast"/>
          <w:jc w:val="center"/>
        </w:trPr>
        <w:tc>
          <w:tcPr>
            <w:tcW w:w="366" w:type="pct"/>
            <w:vMerge w:val="restart"/>
            <w:noWrap w:val="0"/>
            <w:vAlign w:val="center"/>
          </w:tcPr>
          <w:p w14:paraId="32F2163A">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公共照明</w:t>
            </w:r>
          </w:p>
          <w:p w14:paraId="01E56DBF">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711" w:type="pct"/>
            <w:noWrap w:val="0"/>
            <w:vAlign w:val="center"/>
          </w:tcPr>
          <w:p w14:paraId="26914FC5">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公灯</w:t>
            </w:r>
          </w:p>
        </w:tc>
        <w:tc>
          <w:tcPr>
            <w:tcW w:w="2704" w:type="pct"/>
            <w:noWrap w:val="0"/>
            <w:vAlign w:val="top"/>
          </w:tcPr>
          <w:p w14:paraId="39DC0C36">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及时修复损坏的灯座、灯泡、开关等，保持灯具完好，小区内楼道灯、街坊灯亮灯率在98%以上。</w:t>
            </w:r>
          </w:p>
        </w:tc>
        <w:tc>
          <w:tcPr>
            <w:tcW w:w="1209" w:type="pct"/>
            <w:gridSpan w:val="2"/>
            <w:vMerge w:val="restart"/>
            <w:noWrap w:val="0"/>
            <w:vAlign w:val="top"/>
          </w:tcPr>
          <w:p w14:paraId="3E653DD5">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1、公共照明成本构成:</w:t>
            </w:r>
          </w:p>
          <w:p w14:paraId="06C927B3">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（1）公共照明运行（电耗）。</w:t>
            </w:r>
          </w:p>
          <w:p w14:paraId="0709D392">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 xml:space="preserve">（2）零星更换灯泡、灯头、灯座、开关等。 </w:t>
            </w:r>
          </w:p>
          <w:p w14:paraId="539FB306">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（3）设备的养护。</w:t>
            </w:r>
          </w:p>
          <w:p w14:paraId="13DE6633">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p>
        </w:tc>
      </w:tr>
      <w:tr w14:paraId="1B4D0B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pct"/>
          <w:trHeight w:val="290" w:hRule="atLeast"/>
          <w:jc w:val="center"/>
        </w:trPr>
        <w:tc>
          <w:tcPr>
            <w:tcW w:w="366" w:type="pct"/>
            <w:vMerge w:val="continue"/>
            <w:noWrap w:val="0"/>
            <w:vAlign w:val="center"/>
          </w:tcPr>
          <w:p w14:paraId="5CD3CDE5">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711" w:type="pct"/>
            <w:noWrap w:val="0"/>
            <w:vAlign w:val="center"/>
          </w:tcPr>
          <w:p w14:paraId="27B5067C">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景观灯、节日彩灯等</w:t>
            </w:r>
          </w:p>
        </w:tc>
        <w:tc>
          <w:tcPr>
            <w:tcW w:w="2704" w:type="pct"/>
            <w:noWrap w:val="0"/>
            <w:vAlign w:val="center"/>
          </w:tcPr>
          <w:p w14:paraId="079CC31A">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保持灯具完好，亮灯率在98%以上。</w:t>
            </w:r>
          </w:p>
        </w:tc>
        <w:tc>
          <w:tcPr>
            <w:tcW w:w="1209" w:type="pct"/>
            <w:gridSpan w:val="2"/>
            <w:vMerge w:val="continue"/>
            <w:noWrap w:val="0"/>
            <w:vAlign w:val="top"/>
          </w:tcPr>
          <w:p w14:paraId="401F75A6">
            <w:pPr>
              <w:keepNext w:val="0"/>
              <w:keepLines w:val="0"/>
              <w:pageBreakBefore w:val="0"/>
              <w:kinsoku/>
              <w:wordWrap/>
              <w:overflowPunct/>
              <w:topLinePunct w:val="0"/>
              <w:autoSpaceDE/>
              <w:autoSpaceDN/>
              <w:bidi w:val="0"/>
              <w:snapToGrid w:val="0"/>
              <w:spacing w:after="0" w:line="240" w:lineRule="auto"/>
              <w:ind w:firstLine="240" w:firstLineChars="100"/>
              <w:textAlignment w:val="auto"/>
              <w:rPr>
                <w:rFonts w:hint="eastAsia" w:ascii="宋体" w:hAnsi="宋体" w:eastAsia="宋体" w:cs="宋体"/>
                <w:b w:val="0"/>
                <w:bCs w:val="0"/>
                <w:color w:val="auto"/>
                <w:sz w:val="24"/>
                <w:szCs w:val="24"/>
              </w:rPr>
            </w:pPr>
          </w:p>
        </w:tc>
      </w:tr>
      <w:tr w14:paraId="4782F1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pct"/>
          <w:trHeight w:val="290" w:hRule="atLeast"/>
          <w:jc w:val="center"/>
        </w:trPr>
        <w:tc>
          <w:tcPr>
            <w:tcW w:w="366" w:type="pct"/>
            <w:vMerge w:val="continue"/>
            <w:noWrap w:val="0"/>
            <w:vAlign w:val="center"/>
          </w:tcPr>
          <w:p w14:paraId="343BCABA">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711" w:type="pct"/>
            <w:vMerge w:val="restart"/>
            <w:noWrap w:val="0"/>
            <w:vAlign w:val="center"/>
          </w:tcPr>
          <w:p w14:paraId="05B95D87">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公共电气柜</w:t>
            </w:r>
          </w:p>
        </w:tc>
        <w:tc>
          <w:tcPr>
            <w:tcW w:w="2704" w:type="pct"/>
            <w:vMerge w:val="restart"/>
            <w:noWrap w:val="0"/>
            <w:vAlign w:val="top"/>
          </w:tcPr>
          <w:p w14:paraId="4B7265ED">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每日一次巡查室内、室外公共电气柜，每月一次保养室内、室外公共电气柜，每年一次电气安全检查，保证电气设备运行安全正常。</w:t>
            </w:r>
          </w:p>
        </w:tc>
        <w:tc>
          <w:tcPr>
            <w:tcW w:w="1209" w:type="pct"/>
            <w:gridSpan w:val="2"/>
            <w:vMerge w:val="continue"/>
            <w:noWrap w:val="0"/>
            <w:vAlign w:val="top"/>
          </w:tcPr>
          <w:p w14:paraId="349F120A">
            <w:pPr>
              <w:keepNext w:val="0"/>
              <w:keepLines w:val="0"/>
              <w:pageBreakBefore w:val="0"/>
              <w:kinsoku/>
              <w:wordWrap/>
              <w:overflowPunct/>
              <w:topLinePunct w:val="0"/>
              <w:autoSpaceDE/>
              <w:autoSpaceDN/>
              <w:bidi w:val="0"/>
              <w:snapToGrid w:val="0"/>
              <w:spacing w:after="0" w:line="240" w:lineRule="auto"/>
              <w:ind w:firstLine="240" w:firstLineChars="100"/>
              <w:textAlignment w:val="auto"/>
              <w:rPr>
                <w:rFonts w:hint="eastAsia" w:ascii="宋体" w:hAnsi="宋体" w:eastAsia="宋体" w:cs="宋体"/>
                <w:b w:val="0"/>
                <w:bCs w:val="0"/>
                <w:color w:val="auto"/>
                <w:sz w:val="24"/>
                <w:szCs w:val="24"/>
              </w:rPr>
            </w:pPr>
          </w:p>
        </w:tc>
      </w:tr>
      <w:tr w14:paraId="18894E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pct"/>
          <w:trHeight w:val="552" w:hRule="atLeast"/>
          <w:jc w:val="center"/>
        </w:trPr>
        <w:tc>
          <w:tcPr>
            <w:tcW w:w="366" w:type="pct"/>
            <w:vMerge w:val="continue"/>
            <w:tcBorders>
              <w:bottom w:val="single" w:color="auto" w:sz="6" w:space="0"/>
            </w:tcBorders>
            <w:noWrap w:val="0"/>
            <w:vAlign w:val="center"/>
          </w:tcPr>
          <w:p w14:paraId="64FFE187">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711" w:type="pct"/>
            <w:vMerge w:val="continue"/>
            <w:tcBorders>
              <w:bottom w:val="single" w:color="auto" w:sz="6" w:space="0"/>
            </w:tcBorders>
            <w:noWrap w:val="0"/>
            <w:vAlign w:val="center"/>
          </w:tcPr>
          <w:p w14:paraId="33785481">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2704" w:type="pct"/>
            <w:vMerge w:val="continue"/>
            <w:tcBorders>
              <w:bottom w:val="single" w:color="auto" w:sz="6" w:space="0"/>
            </w:tcBorders>
            <w:noWrap w:val="0"/>
            <w:vAlign w:val="top"/>
          </w:tcPr>
          <w:p w14:paraId="529F19F6">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p>
        </w:tc>
        <w:tc>
          <w:tcPr>
            <w:tcW w:w="1209" w:type="pct"/>
            <w:gridSpan w:val="2"/>
            <w:vMerge w:val="continue"/>
            <w:tcBorders>
              <w:bottom w:val="single" w:color="auto" w:sz="6" w:space="0"/>
            </w:tcBorders>
            <w:noWrap w:val="0"/>
            <w:vAlign w:val="top"/>
          </w:tcPr>
          <w:p w14:paraId="26021865">
            <w:pPr>
              <w:keepNext w:val="0"/>
              <w:keepLines w:val="0"/>
              <w:pageBreakBefore w:val="0"/>
              <w:kinsoku/>
              <w:wordWrap/>
              <w:overflowPunct/>
              <w:topLinePunct w:val="0"/>
              <w:autoSpaceDE/>
              <w:autoSpaceDN/>
              <w:bidi w:val="0"/>
              <w:snapToGrid w:val="0"/>
              <w:spacing w:after="0" w:line="240" w:lineRule="auto"/>
              <w:ind w:firstLine="240" w:firstLineChars="100"/>
              <w:textAlignment w:val="auto"/>
              <w:rPr>
                <w:rFonts w:hint="eastAsia" w:ascii="宋体" w:hAnsi="宋体" w:eastAsia="宋体" w:cs="宋体"/>
                <w:b w:val="0"/>
                <w:bCs w:val="0"/>
                <w:color w:val="auto"/>
                <w:sz w:val="24"/>
                <w:szCs w:val="24"/>
              </w:rPr>
            </w:pPr>
          </w:p>
        </w:tc>
      </w:tr>
      <w:tr w14:paraId="5D203D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pct"/>
          <w:trHeight w:val="290" w:hRule="atLeast"/>
          <w:jc w:val="center"/>
        </w:trPr>
        <w:tc>
          <w:tcPr>
            <w:tcW w:w="366" w:type="pct"/>
            <w:vMerge w:val="restart"/>
            <w:tcBorders>
              <w:top w:val="single" w:color="auto" w:sz="12" w:space="0"/>
            </w:tcBorders>
            <w:noWrap w:val="0"/>
            <w:vAlign w:val="center"/>
          </w:tcPr>
          <w:p w14:paraId="6E84FC37">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消防系统</w:t>
            </w:r>
          </w:p>
        </w:tc>
        <w:tc>
          <w:tcPr>
            <w:tcW w:w="711" w:type="pct"/>
            <w:vMerge w:val="restart"/>
            <w:tcBorders>
              <w:top w:val="single" w:color="auto" w:sz="12" w:space="0"/>
            </w:tcBorders>
            <w:noWrap w:val="0"/>
            <w:vAlign w:val="center"/>
          </w:tcPr>
          <w:p w14:paraId="18FA1F62">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消防设施、设备</w:t>
            </w:r>
          </w:p>
        </w:tc>
        <w:tc>
          <w:tcPr>
            <w:tcW w:w="2704" w:type="pct"/>
            <w:vMerge w:val="restart"/>
            <w:tcBorders>
              <w:top w:val="single" w:color="auto" w:sz="12" w:space="0"/>
            </w:tcBorders>
            <w:noWrap w:val="0"/>
            <w:vAlign w:val="center"/>
          </w:tcPr>
          <w:p w14:paraId="56CFBC88">
            <w:pPr>
              <w:keepNext w:val="0"/>
              <w:keepLines w:val="0"/>
              <w:pageBreakBefore w:val="0"/>
              <w:kinsoku/>
              <w:wordWrap/>
              <w:overflowPunct/>
              <w:topLinePunct w:val="0"/>
              <w:autoSpaceDE/>
              <w:autoSpaceDN/>
              <w:bidi w:val="0"/>
              <w:snapToGrid w:val="0"/>
              <w:spacing w:after="0" w:line="240" w:lineRule="auto"/>
              <w:ind w:left="315" w:hanging="360" w:hangingChars="15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1、消防泵每月启动一次并作记录，每年保养一次，保证其运行正常。</w:t>
            </w:r>
          </w:p>
          <w:p w14:paraId="48ECC229">
            <w:pPr>
              <w:keepNext w:val="0"/>
              <w:keepLines w:val="0"/>
              <w:pageBreakBefore w:val="0"/>
              <w:kinsoku/>
              <w:wordWrap/>
              <w:overflowPunct/>
              <w:topLinePunct w:val="0"/>
              <w:autoSpaceDE/>
              <w:autoSpaceDN/>
              <w:bidi w:val="0"/>
              <w:snapToGrid w:val="0"/>
              <w:spacing w:after="0" w:line="240" w:lineRule="auto"/>
              <w:ind w:left="315" w:hanging="360" w:hangingChars="15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2、消防栓每月巡查一次，消防栓箱内各种配件完好。</w:t>
            </w:r>
          </w:p>
          <w:p w14:paraId="4E3BBA90">
            <w:pPr>
              <w:keepNext w:val="0"/>
              <w:keepLines w:val="0"/>
              <w:pageBreakBefore w:val="0"/>
              <w:kinsoku/>
              <w:wordWrap/>
              <w:overflowPunct/>
              <w:topLinePunct w:val="0"/>
              <w:autoSpaceDE/>
              <w:autoSpaceDN/>
              <w:bidi w:val="0"/>
              <w:snapToGrid w:val="0"/>
              <w:spacing w:after="0" w:line="240" w:lineRule="auto"/>
              <w:ind w:left="315" w:hanging="360" w:hangingChars="15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3、每天检查火警功能、报警功能是否正常。</w:t>
            </w:r>
          </w:p>
          <w:p w14:paraId="78E5181F">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4、每年试验一次探测器，并对全部控制装置进行一次试验，火灾探测器投入运行二年后，应每隔三年全部清洗一次，不合格的应当调换。</w:t>
            </w:r>
          </w:p>
          <w:p w14:paraId="6ED71AE2">
            <w:pPr>
              <w:keepNext w:val="0"/>
              <w:keepLines w:val="0"/>
              <w:pageBreakBefore w:val="0"/>
              <w:kinsoku/>
              <w:wordWrap/>
              <w:overflowPunct/>
              <w:topLinePunct w:val="0"/>
              <w:autoSpaceDE/>
              <w:autoSpaceDN/>
              <w:bidi w:val="0"/>
              <w:snapToGrid w:val="0"/>
              <w:spacing w:after="0" w:line="240" w:lineRule="auto"/>
              <w:ind w:left="315" w:hanging="360" w:hangingChars="15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5、每半年检查一次消防水带、阀杆处加注润滑油并作一次放水检查。</w:t>
            </w:r>
          </w:p>
          <w:p w14:paraId="196BEA76">
            <w:pPr>
              <w:keepNext w:val="0"/>
              <w:keepLines w:val="0"/>
              <w:pageBreakBefore w:val="0"/>
              <w:kinsoku/>
              <w:wordWrap/>
              <w:overflowPunct/>
              <w:topLinePunct w:val="0"/>
              <w:autoSpaceDE/>
              <w:autoSpaceDN/>
              <w:bidi w:val="0"/>
              <w:snapToGrid w:val="0"/>
              <w:spacing w:after="0" w:line="240" w:lineRule="auto"/>
              <w:ind w:left="315" w:hanging="360" w:hangingChars="15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6、每月检查一次灭火器，临近失效立即更新或充压。</w:t>
            </w:r>
          </w:p>
        </w:tc>
        <w:tc>
          <w:tcPr>
            <w:tcW w:w="1209" w:type="pct"/>
            <w:gridSpan w:val="2"/>
            <w:vMerge w:val="restart"/>
            <w:tcBorders>
              <w:top w:val="single" w:color="auto" w:sz="12" w:space="0"/>
            </w:tcBorders>
            <w:noWrap w:val="0"/>
            <w:vAlign w:val="top"/>
          </w:tcPr>
          <w:p w14:paraId="44879C5F">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1、消防系统成本构成：</w:t>
            </w:r>
          </w:p>
          <w:p w14:paraId="319DB82E">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（1）消防设施、器材保养。</w:t>
            </w:r>
          </w:p>
          <w:p w14:paraId="2A670C51">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（2）消防设施年安全检测。</w:t>
            </w:r>
          </w:p>
          <w:p w14:paraId="06E1D787">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（3）灭火器更换（</w:t>
            </w:r>
            <w:r>
              <w:rPr>
                <w:rFonts w:hint="eastAsia" w:ascii="宋体" w:hAnsi="宋体" w:eastAsia="宋体" w:cs="宋体"/>
                <w:b w:val="0"/>
                <w:bCs w:val="0"/>
                <w:color w:val="auto"/>
                <w:sz w:val="24"/>
                <w:szCs w:val="24"/>
                <w:lang w:val="en-US" w:eastAsia="zh-CN"/>
              </w:rPr>
              <w:t>跟换</w:t>
            </w:r>
            <w:r>
              <w:rPr>
                <w:rFonts w:hint="eastAsia" w:ascii="宋体" w:hAnsi="宋体" w:eastAsia="宋体" w:cs="宋体"/>
                <w:b w:val="0"/>
                <w:bCs w:val="0"/>
                <w:color w:val="auto"/>
                <w:sz w:val="24"/>
                <w:szCs w:val="24"/>
              </w:rPr>
              <w:t>配备不计入本费用中）。</w:t>
            </w:r>
          </w:p>
          <w:p w14:paraId="3274C7EB">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p>
        </w:tc>
      </w:tr>
      <w:tr w14:paraId="2FF0DC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pct"/>
          <w:trHeight w:val="290" w:hRule="atLeast"/>
          <w:jc w:val="center"/>
        </w:trPr>
        <w:tc>
          <w:tcPr>
            <w:tcW w:w="366" w:type="pct"/>
            <w:vMerge w:val="continue"/>
            <w:noWrap w:val="0"/>
            <w:vAlign w:val="top"/>
          </w:tcPr>
          <w:p w14:paraId="5CCBE1B7">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711" w:type="pct"/>
            <w:vMerge w:val="continue"/>
            <w:noWrap w:val="0"/>
            <w:vAlign w:val="center"/>
          </w:tcPr>
          <w:p w14:paraId="7A482A62">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2704" w:type="pct"/>
            <w:vMerge w:val="continue"/>
            <w:noWrap w:val="0"/>
            <w:vAlign w:val="center"/>
          </w:tcPr>
          <w:p w14:paraId="5D38234B">
            <w:pPr>
              <w:keepNext w:val="0"/>
              <w:keepLines w:val="0"/>
              <w:pageBreakBefore w:val="0"/>
              <w:kinsoku/>
              <w:wordWrap/>
              <w:overflowPunct/>
              <w:topLinePunct w:val="0"/>
              <w:autoSpaceDE/>
              <w:autoSpaceDN/>
              <w:bidi w:val="0"/>
              <w:snapToGrid w:val="0"/>
              <w:spacing w:after="0" w:line="240" w:lineRule="auto"/>
              <w:ind w:left="315" w:hanging="360" w:hangingChars="150"/>
              <w:textAlignment w:val="auto"/>
              <w:rPr>
                <w:rFonts w:hint="eastAsia" w:ascii="宋体" w:hAnsi="宋体" w:eastAsia="宋体" w:cs="宋体"/>
                <w:b w:val="0"/>
                <w:bCs w:val="0"/>
                <w:color w:val="auto"/>
                <w:sz w:val="24"/>
                <w:szCs w:val="24"/>
              </w:rPr>
            </w:pPr>
          </w:p>
        </w:tc>
        <w:tc>
          <w:tcPr>
            <w:tcW w:w="1209" w:type="pct"/>
            <w:gridSpan w:val="2"/>
            <w:vMerge w:val="continue"/>
            <w:noWrap w:val="0"/>
            <w:vAlign w:val="top"/>
          </w:tcPr>
          <w:p w14:paraId="34D6BD6C">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r>
      <w:tr w14:paraId="3D514E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pct"/>
          <w:trHeight w:val="290" w:hRule="atLeast"/>
          <w:jc w:val="center"/>
        </w:trPr>
        <w:tc>
          <w:tcPr>
            <w:tcW w:w="366" w:type="pct"/>
            <w:vMerge w:val="continue"/>
            <w:noWrap w:val="0"/>
            <w:vAlign w:val="center"/>
          </w:tcPr>
          <w:p w14:paraId="7D1415BC">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711" w:type="pct"/>
            <w:noWrap w:val="0"/>
            <w:vAlign w:val="center"/>
          </w:tcPr>
          <w:p w14:paraId="1DF5C0EC">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住户报警</w:t>
            </w:r>
          </w:p>
        </w:tc>
        <w:tc>
          <w:tcPr>
            <w:tcW w:w="2704" w:type="pct"/>
            <w:noWrap w:val="0"/>
            <w:vAlign w:val="center"/>
          </w:tcPr>
          <w:p w14:paraId="33404F92">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不定期进行调试与保养，保证其２４小时运行正常，中心报警控制主机应能准确显示报警或故障发生的信息，并同时发出声光报警信号。</w:t>
            </w:r>
          </w:p>
        </w:tc>
        <w:tc>
          <w:tcPr>
            <w:tcW w:w="1209" w:type="pct"/>
            <w:gridSpan w:val="2"/>
            <w:vMerge w:val="continue"/>
            <w:noWrap w:val="0"/>
            <w:vAlign w:val="top"/>
          </w:tcPr>
          <w:p w14:paraId="70B6FBBF">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p>
        </w:tc>
      </w:tr>
      <w:tr w14:paraId="4F9139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pct"/>
          <w:trHeight w:val="290" w:hRule="atLeast"/>
          <w:jc w:val="center"/>
        </w:trPr>
        <w:tc>
          <w:tcPr>
            <w:tcW w:w="366" w:type="pct"/>
            <w:vMerge w:val="continue"/>
            <w:noWrap w:val="0"/>
            <w:vAlign w:val="center"/>
          </w:tcPr>
          <w:p w14:paraId="43646C1F">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711" w:type="pct"/>
            <w:noWrap w:val="0"/>
            <w:vAlign w:val="center"/>
          </w:tcPr>
          <w:p w14:paraId="5E657066">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周界报警</w:t>
            </w:r>
          </w:p>
        </w:tc>
        <w:tc>
          <w:tcPr>
            <w:tcW w:w="2704" w:type="pct"/>
            <w:noWrap w:val="0"/>
            <w:vAlign w:val="center"/>
          </w:tcPr>
          <w:p w14:paraId="039BEEBD">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２４小时设防并正常运行，不定期进行调试与保养，保证该系统的警戒线封闭、无盲区和死角，保证中心控制室能通过显示屏、报警控制器或电子地图准确地识别报警区域，收到警情时，能同时发出声光报警信号。</w:t>
            </w:r>
          </w:p>
        </w:tc>
        <w:tc>
          <w:tcPr>
            <w:tcW w:w="1209" w:type="pct"/>
            <w:gridSpan w:val="2"/>
            <w:vMerge w:val="continue"/>
            <w:noWrap w:val="0"/>
            <w:vAlign w:val="top"/>
          </w:tcPr>
          <w:p w14:paraId="2769A95A">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p>
        </w:tc>
      </w:tr>
      <w:tr w14:paraId="00ED19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pct"/>
          <w:trHeight w:val="290" w:hRule="atLeast"/>
          <w:jc w:val="center"/>
        </w:trPr>
        <w:tc>
          <w:tcPr>
            <w:tcW w:w="366" w:type="pct"/>
            <w:vMerge w:val="continue"/>
            <w:noWrap w:val="0"/>
            <w:vAlign w:val="center"/>
          </w:tcPr>
          <w:p w14:paraId="3D6E4AF8">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711" w:type="pct"/>
            <w:noWrap w:val="0"/>
            <w:vAlign w:val="center"/>
          </w:tcPr>
          <w:p w14:paraId="30B09196">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监视系统</w:t>
            </w:r>
          </w:p>
        </w:tc>
        <w:tc>
          <w:tcPr>
            <w:tcW w:w="2704" w:type="pct"/>
            <w:noWrap w:val="0"/>
            <w:vAlign w:val="center"/>
          </w:tcPr>
          <w:p w14:paraId="2E69837C">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不定期进行调试与保养，保证各项监控设备２４小时正常运行，能清楚显示出入人员的面部特征和车辆的车牌号，录像功能正常。</w:t>
            </w:r>
          </w:p>
        </w:tc>
        <w:tc>
          <w:tcPr>
            <w:tcW w:w="1209" w:type="pct"/>
            <w:gridSpan w:val="2"/>
            <w:vMerge w:val="continue"/>
            <w:noWrap w:val="0"/>
            <w:vAlign w:val="top"/>
          </w:tcPr>
          <w:p w14:paraId="619A8327">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p>
        </w:tc>
      </w:tr>
      <w:tr w14:paraId="2C413E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366" w:type="pct"/>
            <w:tcBorders>
              <w:top w:val="single" w:color="auto" w:sz="12" w:space="0"/>
              <w:bottom w:val="single" w:color="auto" w:sz="12" w:space="0"/>
            </w:tcBorders>
            <w:noWrap w:val="0"/>
            <w:vAlign w:val="center"/>
          </w:tcPr>
          <w:p w14:paraId="7AACE602">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升降系统</w:t>
            </w:r>
          </w:p>
        </w:tc>
        <w:tc>
          <w:tcPr>
            <w:tcW w:w="711" w:type="pct"/>
            <w:tcBorders>
              <w:top w:val="single" w:color="auto" w:sz="12" w:space="0"/>
              <w:bottom w:val="single" w:color="auto" w:sz="12" w:space="0"/>
            </w:tcBorders>
            <w:noWrap w:val="0"/>
            <w:vAlign w:val="center"/>
          </w:tcPr>
          <w:p w14:paraId="6A2C085A">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电梯</w:t>
            </w:r>
          </w:p>
        </w:tc>
        <w:tc>
          <w:tcPr>
            <w:tcW w:w="2704" w:type="pct"/>
            <w:tcBorders>
              <w:top w:val="single" w:color="auto" w:sz="12" w:space="0"/>
              <w:bottom w:val="single" w:color="auto" w:sz="12" w:space="0"/>
            </w:tcBorders>
            <w:noWrap w:val="0"/>
            <w:vAlign w:val="top"/>
          </w:tcPr>
          <w:p w14:paraId="66FF22CA">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1、保证电梯24小时运行，轿厢内按钮、灯具等配件保持完好，轿厢整洁。</w:t>
            </w:r>
          </w:p>
          <w:p w14:paraId="7254ABE4">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2、委托专业维修保养单位进行定期保养，每年进行安全检测并持有有效的《安全使用许可证》，物业公司应有专人对电梯保养进行监督，并对电梯运行进行管理。</w:t>
            </w:r>
          </w:p>
          <w:p w14:paraId="27E59802">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3、电梯发生一般故障的，专业维修人员二小时内到达现场修理，发生电梯困人或其它重大事件时，物业管理人员须在</w:t>
            </w:r>
            <w:r>
              <w:rPr>
                <w:rFonts w:hint="eastAsia" w:ascii="宋体" w:hAnsi="宋体" w:eastAsia="宋体" w:cs="宋体"/>
                <w:b w:val="0"/>
                <w:bCs w:val="0"/>
                <w:color w:val="auto"/>
                <w:sz w:val="24"/>
                <w:szCs w:val="24"/>
                <w:lang w:eastAsia="zh-CN"/>
              </w:rPr>
              <w:t>十</w:t>
            </w:r>
            <w:r>
              <w:rPr>
                <w:rFonts w:hint="eastAsia" w:ascii="宋体" w:hAnsi="宋体" w:eastAsia="宋体" w:cs="宋体"/>
                <w:b w:val="0"/>
                <w:bCs w:val="0"/>
                <w:color w:val="auto"/>
                <w:sz w:val="24"/>
                <w:szCs w:val="24"/>
              </w:rPr>
              <w:t>五分钟内到现场应急处理，专业技术人员须在半小时内到现场进行救助。</w:t>
            </w:r>
          </w:p>
          <w:p w14:paraId="71C6E841">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4、电梯门无安全关闭装置、无自动称重感应装置或无紧急呼叫装置须设专人驾驶的，或由业主大会要求专人驾驶的，驾驶员应坚守岗位不脱岗，保障安全运行。</w:t>
            </w:r>
          </w:p>
        </w:tc>
        <w:tc>
          <w:tcPr>
            <w:tcW w:w="1218" w:type="pct"/>
            <w:gridSpan w:val="3"/>
            <w:tcBorders>
              <w:top w:val="single" w:color="auto" w:sz="12" w:space="0"/>
              <w:bottom w:val="single" w:color="auto" w:sz="12" w:space="0"/>
            </w:tcBorders>
            <w:noWrap w:val="0"/>
            <w:vAlign w:val="top"/>
          </w:tcPr>
          <w:p w14:paraId="6ABB0097">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电梯运行费用包括：（1）电梯运行（电耗）。</w:t>
            </w:r>
          </w:p>
          <w:p w14:paraId="6CFEEFF5">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（2）电梯定期常规保养。</w:t>
            </w:r>
          </w:p>
          <w:p w14:paraId="0CB57380">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val="en-US" w:eastAsia="zh-CN"/>
              </w:rPr>
              <w:t>3</w:t>
            </w:r>
            <w:r>
              <w:rPr>
                <w:rFonts w:hint="eastAsia" w:ascii="宋体" w:hAnsi="宋体" w:eastAsia="宋体" w:cs="宋体"/>
                <w:b w:val="0"/>
                <w:bCs w:val="0"/>
                <w:color w:val="auto"/>
                <w:sz w:val="24"/>
                <w:szCs w:val="24"/>
              </w:rPr>
              <w:t>）电梯年安全检测。</w:t>
            </w:r>
          </w:p>
          <w:p w14:paraId="32F5440D">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p>
        </w:tc>
      </w:tr>
    </w:tbl>
    <w:p w14:paraId="5C4796CE">
      <w:pPr>
        <w:pStyle w:val="4"/>
        <w:rPr>
          <w:sz w:val="24"/>
          <w:szCs w:val="24"/>
        </w:rPr>
      </w:pPr>
    </w:p>
    <w:p w14:paraId="4795D5B3">
      <w:pPr>
        <w:keepNext w:val="0"/>
        <w:keepLines w:val="0"/>
        <w:pageBreakBefore w:val="0"/>
        <w:widowControl w:val="0"/>
        <w:kinsoku/>
        <w:wordWrap/>
        <w:overflowPunct/>
        <w:topLinePunct w:val="0"/>
        <w:autoSpaceDE/>
        <w:autoSpaceDN/>
        <w:bidi w:val="0"/>
        <w:adjustRightInd/>
        <w:snapToGrid/>
        <w:spacing w:line="360" w:lineRule="auto"/>
        <w:ind w:left="0" w:right="0" w:firstLine="464" w:firstLineChars="200"/>
        <w:jc w:val="left"/>
        <w:textAlignment w:val="auto"/>
        <w:rPr>
          <w:rFonts w:hint="eastAsia" w:ascii="宋体" w:hAnsi="宋体" w:eastAsia="宋体" w:cs="宋体"/>
          <w:position w:val="0"/>
          <w:sz w:val="24"/>
          <w:szCs w:val="24"/>
          <w:lang w:val="en-US" w:eastAsia="zh-CN"/>
        </w:rPr>
      </w:pPr>
      <w:r>
        <w:rPr>
          <w:rFonts w:ascii="宋体" w:hAnsi="宋体" w:eastAsia="宋体" w:cs="宋体"/>
          <w:spacing w:val="-4"/>
          <w:position w:val="0"/>
          <w:sz w:val="24"/>
          <w:szCs w:val="24"/>
        </w:rPr>
        <w:t>（四）公共秩序维护</w:t>
      </w:r>
      <w:r>
        <w:rPr>
          <w:rFonts w:hint="eastAsia" w:ascii="宋体" w:hAnsi="宋体" w:eastAsia="宋体" w:cs="宋体"/>
          <w:spacing w:val="-4"/>
          <w:position w:val="0"/>
          <w:sz w:val="24"/>
          <w:szCs w:val="24"/>
          <w:lang w:val="en-US" w:eastAsia="zh-CN"/>
        </w:rPr>
        <w:t>要求</w:t>
      </w:r>
    </w:p>
    <w:p w14:paraId="1032AB1D">
      <w:pPr>
        <w:keepNext w:val="0"/>
        <w:keepLines w:val="0"/>
        <w:pageBreakBefore w:val="0"/>
        <w:widowControl w:val="0"/>
        <w:kinsoku/>
        <w:wordWrap/>
        <w:overflowPunct/>
        <w:topLinePunct w:val="0"/>
        <w:autoSpaceDE/>
        <w:autoSpaceDN/>
        <w:bidi w:val="0"/>
        <w:adjustRightInd/>
        <w:snapToGrid/>
        <w:spacing w:line="360" w:lineRule="auto"/>
        <w:ind w:left="0" w:right="0" w:firstLine="452" w:firstLineChars="200"/>
        <w:jc w:val="left"/>
        <w:textAlignment w:val="auto"/>
        <w:rPr>
          <w:rFonts w:ascii="宋体" w:hAnsi="宋体" w:eastAsia="宋体" w:cs="宋体"/>
          <w:position w:val="0"/>
          <w:sz w:val="24"/>
          <w:szCs w:val="24"/>
        </w:rPr>
      </w:pPr>
      <w:r>
        <w:rPr>
          <w:rFonts w:ascii="宋体" w:hAnsi="宋体" w:eastAsia="宋体" w:cs="宋体"/>
          <w:spacing w:val="-7"/>
          <w:position w:val="0"/>
          <w:sz w:val="24"/>
          <w:szCs w:val="24"/>
        </w:rPr>
        <w:t>1、基本要求</w:t>
      </w:r>
    </w:p>
    <w:p w14:paraId="7E34A547">
      <w:pPr>
        <w:keepNext w:val="0"/>
        <w:keepLines w:val="0"/>
        <w:pageBreakBefore w:val="0"/>
        <w:widowControl w:val="0"/>
        <w:kinsoku/>
        <w:wordWrap/>
        <w:overflowPunct/>
        <w:topLinePunct w:val="0"/>
        <w:autoSpaceDE/>
        <w:autoSpaceDN/>
        <w:bidi w:val="0"/>
        <w:adjustRightInd/>
        <w:snapToGrid/>
        <w:spacing w:line="360" w:lineRule="auto"/>
        <w:ind w:left="0" w:right="0" w:firstLine="448" w:firstLineChars="200"/>
        <w:jc w:val="left"/>
        <w:textAlignment w:val="auto"/>
        <w:rPr>
          <w:rFonts w:ascii="宋体" w:hAnsi="宋体" w:eastAsia="宋体" w:cs="宋体"/>
          <w:sz w:val="24"/>
          <w:szCs w:val="24"/>
        </w:rPr>
      </w:pPr>
      <w:r>
        <w:rPr>
          <w:rFonts w:ascii="宋体" w:hAnsi="宋体" w:eastAsia="宋体" w:cs="宋体"/>
          <w:spacing w:val="-8"/>
          <w:sz w:val="24"/>
          <w:szCs w:val="24"/>
        </w:rPr>
        <w:t>（1）小区</w:t>
      </w:r>
      <w:r>
        <w:rPr>
          <w:rFonts w:ascii="宋体" w:hAnsi="宋体" w:eastAsia="宋体" w:cs="宋体"/>
          <w:spacing w:val="-21"/>
          <w:sz w:val="24"/>
          <w:szCs w:val="24"/>
        </w:rPr>
        <w:t xml:space="preserve"> </w:t>
      </w:r>
      <w:r>
        <w:rPr>
          <w:rFonts w:ascii="宋体" w:hAnsi="宋体" w:eastAsia="宋体" w:cs="宋体"/>
          <w:spacing w:val="-8"/>
          <w:sz w:val="24"/>
          <w:szCs w:val="24"/>
        </w:rPr>
        <w:t>24</w:t>
      </w:r>
      <w:r>
        <w:rPr>
          <w:rFonts w:ascii="宋体" w:hAnsi="宋体" w:eastAsia="宋体" w:cs="宋体"/>
          <w:spacing w:val="-44"/>
          <w:sz w:val="24"/>
          <w:szCs w:val="24"/>
        </w:rPr>
        <w:t xml:space="preserve"> </w:t>
      </w:r>
      <w:r>
        <w:rPr>
          <w:rFonts w:ascii="宋体" w:hAnsi="宋体" w:eastAsia="宋体" w:cs="宋体"/>
          <w:spacing w:val="-8"/>
          <w:sz w:val="24"/>
          <w:szCs w:val="24"/>
        </w:rPr>
        <w:t>小时值勤。</w:t>
      </w:r>
    </w:p>
    <w:p w14:paraId="138F25D6">
      <w:pPr>
        <w:keepNext w:val="0"/>
        <w:keepLines w:val="0"/>
        <w:pageBreakBefore w:val="0"/>
        <w:widowControl w:val="0"/>
        <w:kinsoku/>
        <w:wordWrap/>
        <w:overflowPunct/>
        <w:topLinePunct w:val="0"/>
        <w:autoSpaceDE/>
        <w:autoSpaceDN/>
        <w:bidi w:val="0"/>
        <w:adjustRightInd/>
        <w:snapToGrid/>
        <w:spacing w:line="360" w:lineRule="auto"/>
        <w:ind w:left="0" w:right="0" w:firstLine="460" w:firstLineChars="200"/>
        <w:jc w:val="left"/>
        <w:textAlignment w:val="auto"/>
        <w:rPr>
          <w:rFonts w:ascii="宋体" w:hAnsi="宋体" w:eastAsia="宋体" w:cs="宋体"/>
          <w:sz w:val="24"/>
          <w:szCs w:val="24"/>
        </w:rPr>
      </w:pPr>
      <w:r>
        <w:rPr>
          <w:rFonts w:ascii="宋体" w:hAnsi="宋体" w:eastAsia="宋体" w:cs="宋体"/>
          <w:spacing w:val="-5"/>
          <w:sz w:val="24"/>
          <w:szCs w:val="24"/>
        </w:rPr>
        <w:t>（2）对重点区域、重点部位每</w:t>
      </w:r>
      <w:r>
        <w:rPr>
          <w:rFonts w:ascii="宋体" w:hAnsi="宋体" w:eastAsia="宋体" w:cs="宋体"/>
          <w:spacing w:val="-25"/>
          <w:sz w:val="24"/>
          <w:szCs w:val="24"/>
        </w:rPr>
        <w:t xml:space="preserve"> </w:t>
      </w:r>
      <w:r>
        <w:rPr>
          <w:rFonts w:ascii="宋体" w:hAnsi="宋体" w:eastAsia="宋体" w:cs="宋体"/>
          <w:spacing w:val="-5"/>
          <w:sz w:val="24"/>
          <w:szCs w:val="24"/>
        </w:rPr>
        <w:t>3</w:t>
      </w:r>
      <w:r>
        <w:rPr>
          <w:rFonts w:ascii="宋体" w:hAnsi="宋体" w:eastAsia="宋体" w:cs="宋体"/>
          <w:spacing w:val="-44"/>
          <w:sz w:val="24"/>
          <w:szCs w:val="24"/>
        </w:rPr>
        <w:t xml:space="preserve"> </w:t>
      </w:r>
      <w:r>
        <w:rPr>
          <w:rFonts w:ascii="宋体" w:hAnsi="宋体" w:eastAsia="宋体" w:cs="宋体"/>
          <w:spacing w:val="-5"/>
          <w:sz w:val="24"/>
          <w:szCs w:val="24"/>
        </w:rPr>
        <w:t>小时至少巡查</w:t>
      </w:r>
      <w:r>
        <w:rPr>
          <w:rFonts w:ascii="宋体" w:hAnsi="宋体" w:eastAsia="宋体" w:cs="宋体"/>
          <w:spacing w:val="-32"/>
          <w:sz w:val="24"/>
          <w:szCs w:val="24"/>
        </w:rPr>
        <w:t xml:space="preserve"> </w:t>
      </w:r>
      <w:r>
        <w:rPr>
          <w:rFonts w:ascii="宋体" w:hAnsi="宋体" w:eastAsia="宋体" w:cs="宋体"/>
          <w:spacing w:val="-5"/>
          <w:sz w:val="24"/>
          <w:szCs w:val="24"/>
        </w:rPr>
        <w:t>1</w:t>
      </w:r>
      <w:r>
        <w:rPr>
          <w:rFonts w:ascii="宋体" w:hAnsi="宋体" w:eastAsia="宋体" w:cs="宋体"/>
          <w:spacing w:val="-44"/>
          <w:sz w:val="24"/>
          <w:szCs w:val="24"/>
        </w:rPr>
        <w:t xml:space="preserve"> </w:t>
      </w:r>
      <w:r>
        <w:rPr>
          <w:rFonts w:ascii="宋体" w:hAnsi="宋体" w:eastAsia="宋体" w:cs="宋体"/>
          <w:spacing w:val="-5"/>
          <w:sz w:val="24"/>
          <w:szCs w:val="24"/>
        </w:rPr>
        <w:t>次。</w:t>
      </w:r>
    </w:p>
    <w:p w14:paraId="3F89BA13">
      <w:pPr>
        <w:keepNext w:val="0"/>
        <w:keepLines w:val="0"/>
        <w:pageBreakBefore w:val="0"/>
        <w:widowControl w:val="0"/>
        <w:kinsoku/>
        <w:wordWrap/>
        <w:overflowPunct/>
        <w:topLinePunct w:val="0"/>
        <w:autoSpaceDE/>
        <w:autoSpaceDN/>
        <w:bidi w:val="0"/>
        <w:adjustRightInd/>
        <w:snapToGrid/>
        <w:spacing w:line="360" w:lineRule="auto"/>
        <w:ind w:left="0" w:right="0" w:firstLine="464" w:firstLineChars="200"/>
        <w:jc w:val="left"/>
        <w:textAlignment w:val="auto"/>
        <w:rPr>
          <w:rFonts w:ascii="宋体" w:hAnsi="宋体" w:eastAsia="宋体" w:cs="宋体"/>
          <w:sz w:val="24"/>
          <w:szCs w:val="24"/>
        </w:rPr>
      </w:pPr>
      <w:r>
        <w:rPr>
          <w:rFonts w:ascii="宋体" w:hAnsi="宋体" w:eastAsia="宋体" w:cs="宋体"/>
          <w:spacing w:val="-4"/>
          <w:position w:val="17"/>
          <w:sz w:val="24"/>
          <w:szCs w:val="24"/>
        </w:rPr>
        <w:t>（3）小区设有安全监控设施， 监控点至覆盖单元进出口、小区主要道</w:t>
      </w:r>
      <w:r>
        <w:rPr>
          <w:rFonts w:ascii="宋体" w:hAnsi="宋体" w:eastAsia="宋体" w:cs="宋体"/>
          <w:spacing w:val="-5"/>
          <w:position w:val="17"/>
          <w:sz w:val="24"/>
          <w:szCs w:val="24"/>
        </w:rPr>
        <w:t>路出</w:t>
      </w:r>
    </w:p>
    <w:p w14:paraId="34DC22C6">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sz w:val="24"/>
          <w:szCs w:val="24"/>
        </w:rPr>
      </w:pPr>
      <w:r>
        <w:rPr>
          <w:rFonts w:ascii="宋体" w:hAnsi="宋体" w:eastAsia="宋体" w:cs="宋体"/>
          <w:spacing w:val="-3"/>
          <w:sz w:val="24"/>
          <w:szCs w:val="24"/>
        </w:rPr>
        <w:t>入口、停车场等重要部位，实施</w:t>
      </w:r>
      <w:r>
        <w:rPr>
          <w:rFonts w:ascii="宋体" w:hAnsi="宋体" w:eastAsia="宋体" w:cs="宋体"/>
          <w:spacing w:val="-46"/>
          <w:sz w:val="24"/>
          <w:szCs w:val="24"/>
        </w:rPr>
        <w:t xml:space="preserve"> </w:t>
      </w:r>
      <w:r>
        <w:rPr>
          <w:rFonts w:ascii="宋体" w:hAnsi="宋体" w:eastAsia="宋体" w:cs="宋体"/>
          <w:spacing w:val="-3"/>
          <w:sz w:val="24"/>
          <w:szCs w:val="24"/>
        </w:rPr>
        <w:t>24</w:t>
      </w:r>
      <w:r>
        <w:rPr>
          <w:rFonts w:ascii="宋体" w:hAnsi="宋体" w:eastAsia="宋体" w:cs="宋体"/>
          <w:spacing w:val="-44"/>
          <w:sz w:val="24"/>
          <w:szCs w:val="24"/>
        </w:rPr>
        <w:t xml:space="preserve"> </w:t>
      </w:r>
      <w:r>
        <w:rPr>
          <w:rFonts w:ascii="宋体" w:hAnsi="宋体" w:eastAsia="宋体" w:cs="宋体"/>
          <w:spacing w:val="-3"/>
          <w:sz w:val="24"/>
          <w:szCs w:val="24"/>
        </w:rPr>
        <w:t>小时监控。</w:t>
      </w:r>
    </w:p>
    <w:p w14:paraId="5334DB5F">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rPr>
          <w:rFonts w:ascii="宋体" w:hAnsi="宋体" w:eastAsia="宋体" w:cs="宋体"/>
          <w:sz w:val="24"/>
          <w:szCs w:val="24"/>
        </w:rPr>
      </w:pPr>
      <w:r>
        <w:rPr>
          <w:rFonts w:ascii="宋体" w:hAnsi="宋体" w:eastAsia="宋体" w:cs="宋体"/>
          <w:spacing w:val="-2"/>
          <w:sz w:val="24"/>
          <w:szCs w:val="24"/>
        </w:rPr>
        <w:t>（4）对进出小区的车辆实施证、卡管理，引导车辆有序通行、停放。</w:t>
      </w:r>
    </w:p>
    <w:p w14:paraId="731F7E2F">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rPr>
          <w:rFonts w:ascii="宋体" w:hAnsi="宋体" w:eastAsia="宋体" w:cs="宋体"/>
          <w:sz w:val="24"/>
          <w:szCs w:val="24"/>
        </w:rPr>
      </w:pPr>
      <w:r>
        <w:rPr>
          <w:rFonts w:ascii="宋体" w:hAnsi="宋体" w:eastAsia="宋体" w:cs="宋体"/>
          <w:spacing w:val="-2"/>
          <w:sz w:val="24"/>
          <w:szCs w:val="24"/>
        </w:rPr>
        <w:t>（5）对进出小区的装修、家政等劳务人员实行临时出入证管理。</w:t>
      </w:r>
    </w:p>
    <w:p w14:paraId="6D04169E">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z w:val="24"/>
          <w:szCs w:val="24"/>
        </w:rPr>
      </w:pPr>
      <w:r>
        <w:rPr>
          <w:rFonts w:ascii="宋体" w:hAnsi="宋体" w:eastAsia="宋体" w:cs="宋体"/>
          <w:position w:val="17"/>
          <w:sz w:val="24"/>
          <w:szCs w:val="24"/>
        </w:rPr>
        <w:t>（6）对火灾、治安、公共卫生等突发事件有应急预案，事发时</w:t>
      </w:r>
      <w:r>
        <w:rPr>
          <w:rFonts w:ascii="宋体" w:hAnsi="宋体" w:eastAsia="宋体" w:cs="宋体"/>
          <w:spacing w:val="-1"/>
          <w:position w:val="17"/>
          <w:sz w:val="24"/>
          <w:szCs w:val="24"/>
        </w:rPr>
        <w:t>及时报告采</w:t>
      </w:r>
    </w:p>
    <w:p w14:paraId="1854947B">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sz w:val="24"/>
          <w:szCs w:val="24"/>
        </w:rPr>
      </w:pPr>
      <w:r>
        <w:rPr>
          <w:rFonts w:ascii="宋体" w:hAnsi="宋体" w:eastAsia="宋体" w:cs="宋体"/>
          <w:spacing w:val="-3"/>
          <w:sz w:val="24"/>
          <w:szCs w:val="24"/>
        </w:rPr>
        <w:t>购人和有关部门，并协助采取相应措施。</w:t>
      </w:r>
    </w:p>
    <w:p w14:paraId="1D389272">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rPr>
          <w:rFonts w:ascii="宋体" w:hAnsi="宋体" w:eastAsia="宋体" w:cs="宋体"/>
          <w:position w:val="0"/>
          <w:sz w:val="24"/>
          <w:szCs w:val="24"/>
        </w:rPr>
      </w:pPr>
      <w:r>
        <w:rPr>
          <w:rFonts w:ascii="宋体" w:hAnsi="宋体" w:eastAsia="宋体" w:cs="宋体"/>
          <w:spacing w:val="-2"/>
          <w:position w:val="0"/>
          <w:sz w:val="24"/>
          <w:szCs w:val="24"/>
        </w:rPr>
        <w:t>2、公共秩序维护人员要求</w:t>
      </w:r>
    </w:p>
    <w:p w14:paraId="14C2A456">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（1）派驻服务区的秩序维护员应知法、懂法、守法、依法办事，必须严格</w:t>
      </w:r>
    </w:p>
    <w:p w14:paraId="2403AEB9">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遵守保安从业规定。</w:t>
      </w:r>
    </w:p>
    <w:p w14:paraId="075E3D71">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（2）秩序维护员主管具备高中或中专以上学历，有较高的政治思想素养和 业务水平，有较强的组织协调能力，受过专门的保安业务培训， 具有 1 年以上保 安管理工作经验。秩序维护员主管负责对派驻服务区的安保人员进行业务指导、管理与监督，确保安保人员在安保服务过程中无违规、违纪事件发生。</w:t>
      </w:r>
    </w:p>
    <w:p w14:paraId="22BB1935">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（3）派驻服务区的秩序维护员要求全部为男性，且须具备以下个人素质条 件： 具有初中以上（含初中）文化程度，退伍军人为佳， 年龄 18-5</w:t>
      </w:r>
      <w:r>
        <w:rPr>
          <w:rFonts w:hint="eastAsia" w:ascii="宋体" w:hAnsi="宋体" w:eastAsia="宋体" w:cs="宋体"/>
          <w:spacing w:val="0"/>
          <w:position w:val="0"/>
          <w:sz w:val="24"/>
          <w:szCs w:val="24"/>
          <w:lang w:val="en-US" w:eastAsia="zh-CN"/>
        </w:rPr>
        <w:t>5</w:t>
      </w:r>
      <w:r>
        <w:rPr>
          <w:rFonts w:ascii="宋体" w:hAnsi="宋体" w:eastAsia="宋体" w:cs="宋体"/>
          <w:spacing w:val="0"/>
          <w:position w:val="0"/>
          <w:sz w:val="24"/>
          <w:szCs w:val="24"/>
        </w:rPr>
        <w:t>周岁， 身高 165cm 以上，身体健康，形象良好，有较好的语言沟通能力，无传染病及精神病史，体貌端正，无违纪违法记录。</w:t>
      </w:r>
    </w:p>
    <w:p w14:paraId="1D652EC2">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（4）派驻服务区的秩序维护员要有高度的责任感和爱岗敬业精神，岗前专业培训不少于 24 课时，熟知采购人的安保管理规定， 恪尽职守， 善于发现问题，具备一定的管理经验和突发事件处理能力，每月进行一次岗位业务技能培训。</w:t>
      </w:r>
    </w:p>
    <w:p w14:paraId="0858376A">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（5）秩序维护员执行勤务时，着统一的保安服装，佩戴统一的保安标志。</w:t>
      </w:r>
    </w:p>
    <w:p w14:paraId="0C4AB6A7">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（6）派驻服务区的秩序维护员，须持有由公安部消防局或人力资源和社会保障部颁发的《消防设施操作员》证书的专业人员。</w:t>
      </w:r>
    </w:p>
    <w:p w14:paraId="745F8ACF">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3、队伍管理要求</w:t>
      </w:r>
    </w:p>
    <w:p w14:paraId="0843E0E2">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（1）根据采购人有关安保管理规定与服务要求，制订切实可行的安保服务</w:t>
      </w:r>
    </w:p>
    <w:p w14:paraId="2658735F">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整体方案和应急预案，健全安全防范长效工作机制。</w:t>
      </w:r>
    </w:p>
    <w:p w14:paraId="5427F7B1">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rPr>
          <w:rFonts w:ascii="宋体" w:hAnsi="宋体" w:eastAsia="宋体" w:cs="宋体"/>
          <w:sz w:val="24"/>
          <w:szCs w:val="24"/>
        </w:rPr>
      </w:pPr>
      <w:r>
        <w:rPr>
          <w:rFonts w:ascii="宋体" w:hAnsi="宋体" w:eastAsia="宋体" w:cs="宋体"/>
          <w:spacing w:val="-2"/>
          <w:sz w:val="24"/>
          <w:szCs w:val="24"/>
        </w:rPr>
        <w:t>（2）负责提供派驻安保人员值勤、巡逻所需的防卫器材和通讯设备等。</w:t>
      </w:r>
    </w:p>
    <w:p w14:paraId="0F5B2A7B">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z w:val="24"/>
          <w:szCs w:val="24"/>
        </w:rPr>
      </w:pPr>
      <w:r>
        <w:rPr>
          <w:rFonts w:ascii="宋体" w:hAnsi="宋体" w:eastAsia="宋体" w:cs="宋体"/>
          <w:position w:val="17"/>
          <w:sz w:val="24"/>
          <w:szCs w:val="24"/>
        </w:rPr>
        <w:t>（3）为提高秩序维护员人员业务素质，结合工作实际，经常性</w:t>
      </w:r>
      <w:r>
        <w:rPr>
          <w:rFonts w:ascii="宋体" w:hAnsi="宋体" w:eastAsia="宋体" w:cs="宋体"/>
          <w:spacing w:val="-1"/>
          <w:position w:val="17"/>
          <w:sz w:val="24"/>
          <w:szCs w:val="24"/>
        </w:rPr>
        <w:t>开展在岗人</w:t>
      </w:r>
    </w:p>
    <w:p w14:paraId="657AC77D">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员业务培训和紧急预案演练。做到突发事件反应迅速，预案处置有力。</w:t>
      </w:r>
    </w:p>
    <w:p w14:paraId="39620C05">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（4）内部管理体制健全，做好项目秩序维护员备案工作，同时设立管理人</w:t>
      </w:r>
    </w:p>
    <w:p w14:paraId="0FE7CA69">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员负责安保队伍的日常规范化管理工作。</w:t>
      </w:r>
    </w:p>
    <w:p w14:paraId="3887829E">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（5）保持秩序维护员队伍稳定， 确因工作需要，需要更换秩序维护员主管，应提前一个月以书面形式通知采购人，更换其他队员，应提前三天告知采购人，</w:t>
      </w:r>
    </w:p>
    <w:p w14:paraId="44B58D63">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经采购人同意方可更换人员，确保服务质量不因人员变动而受影响。</w:t>
      </w:r>
    </w:p>
    <w:p w14:paraId="16CBD8F9">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（6）安保服务区域召开重要会议、举行重大活动或抗风救灾、突发事件等</w:t>
      </w:r>
    </w:p>
    <w:p w14:paraId="6891287D">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需要增配、抽调人员协助时，应全力予以配合。</w:t>
      </w:r>
    </w:p>
    <w:p w14:paraId="08EF5695">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（7）秩序维护员招聘、录用、离职等管理档案规范，手续齐全，相应资料</w:t>
      </w:r>
    </w:p>
    <w:p w14:paraId="5760F34E">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必须报采购人备案。</w:t>
      </w:r>
    </w:p>
    <w:p w14:paraId="2397D540">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宋体" w:hAnsi="宋体" w:eastAsia="宋体" w:cs="宋体"/>
          <w:spacing w:val="0"/>
          <w:position w:val="0"/>
          <w:sz w:val="24"/>
          <w:szCs w:val="24"/>
          <w:lang w:eastAsia="zh-CN"/>
        </w:rPr>
      </w:pPr>
      <w:r>
        <w:rPr>
          <w:rFonts w:hint="eastAsia" w:ascii="宋体" w:hAnsi="宋体" w:eastAsia="宋体" w:cs="宋体"/>
          <w:spacing w:val="0"/>
          <w:position w:val="0"/>
          <w:sz w:val="24"/>
          <w:szCs w:val="24"/>
          <w:lang w:eastAsia="zh-CN"/>
        </w:rPr>
        <w:t>（</w:t>
      </w:r>
      <w:r>
        <w:rPr>
          <w:rFonts w:hint="eastAsia" w:ascii="宋体" w:hAnsi="宋体" w:eastAsia="宋体" w:cs="宋体"/>
          <w:spacing w:val="0"/>
          <w:position w:val="0"/>
          <w:sz w:val="24"/>
          <w:szCs w:val="24"/>
          <w:lang w:val="en-US" w:eastAsia="zh-CN"/>
        </w:rPr>
        <w:t>8</w:t>
      </w:r>
      <w:r>
        <w:rPr>
          <w:rFonts w:hint="eastAsia" w:ascii="宋体" w:hAnsi="宋体" w:eastAsia="宋体" w:cs="宋体"/>
          <w:spacing w:val="0"/>
          <w:position w:val="0"/>
          <w:sz w:val="24"/>
          <w:szCs w:val="24"/>
          <w:lang w:eastAsia="zh-CN"/>
        </w:rPr>
        <w:t>）</w:t>
      </w:r>
      <w:r>
        <w:rPr>
          <w:rFonts w:hint="eastAsia" w:ascii="宋体" w:hAnsi="宋体" w:eastAsia="宋体" w:cs="宋体"/>
          <w:spacing w:val="0"/>
          <w:position w:val="0"/>
          <w:sz w:val="24"/>
          <w:szCs w:val="24"/>
          <w:lang w:val="en-US" w:eastAsia="zh-CN"/>
        </w:rPr>
        <w:t>公共区域秩序维护服务标准</w:t>
      </w:r>
    </w:p>
    <w:tbl>
      <w:tblPr>
        <w:tblStyle w:val="9"/>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555"/>
        <w:gridCol w:w="936"/>
        <w:gridCol w:w="7028"/>
      </w:tblGrid>
      <w:tr w14:paraId="683AD2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3" w:hRule="atLeast"/>
          <w:jc w:val="center"/>
        </w:trPr>
        <w:tc>
          <w:tcPr>
            <w:tcW w:w="326" w:type="pct"/>
            <w:tcBorders>
              <w:top w:val="single" w:color="auto" w:sz="12" w:space="0"/>
              <w:bottom w:val="single" w:color="auto" w:sz="12" w:space="0"/>
            </w:tcBorders>
            <w:noWrap w:val="0"/>
            <w:vAlign w:val="center"/>
          </w:tcPr>
          <w:p w14:paraId="5ABE1F19">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序号</w:t>
            </w:r>
          </w:p>
        </w:tc>
        <w:tc>
          <w:tcPr>
            <w:tcW w:w="549" w:type="pct"/>
            <w:tcBorders>
              <w:top w:val="single" w:color="auto" w:sz="12" w:space="0"/>
              <w:bottom w:val="single" w:color="auto" w:sz="12" w:space="0"/>
            </w:tcBorders>
            <w:noWrap w:val="0"/>
            <w:vAlign w:val="center"/>
          </w:tcPr>
          <w:p w14:paraId="497C1FAC">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内容</w:t>
            </w:r>
          </w:p>
        </w:tc>
        <w:tc>
          <w:tcPr>
            <w:tcW w:w="4124" w:type="pct"/>
            <w:tcBorders>
              <w:top w:val="single" w:color="auto" w:sz="12" w:space="0"/>
              <w:bottom w:val="single" w:color="auto" w:sz="12" w:space="0"/>
            </w:tcBorders>
            <w:noWrap w:val="0"/>
            <w:vAlign w:val="center"/>
          </w:tcPr>
          <w:p w14:paraId="32ACC8EC">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服务要求</w:t>
            </w:r>
          </w:p>
        </w:tc>
      </w:tr>
      <w:tr w14:paraId="4F8ECE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80" w:hRule="atLeast"/>
          <w:jc w:val="center"/>
        </w:trPr>
        <w:tc>
          <w:tcPr>
            <w:tcW w:w="326" w:type="pct"/>
            <w:tcBorders>
              <w:top w:val="single" w:color="auto" w:sz="12" w:space="0"/>
              <w:bottom w:val="single" w:color="auto" w:sz="4" w:space="0"/>
            </w:tcBorders>
            <w:noWrap w:val="0"/>
            <w:vAlign w:val="center"/>
          </w:tcPr>
          <w:p w14:paraId="712DA192">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w:t>
            </w:r>
          </w:p>
        </w:tc>
        <w:tc>
          <w:tcPr>
            <w:tcW w:w="549" w:type="pct"/>
            <w:tcBorders>
              <w:top w:val="single" w:color="auto" w:sz="12" w:space="0"/>
              <w:bottom w:val="single" w:color="auto" w:sz="4" w:space="0"/>
            </w:tcBorders>
            <w:noWrap w:val="0"/>
            <w:vAlign w:val="center"/>
          </w:tcPr>
          <w:p w14:paraId="125AD322">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人员要求</w:t>
            </w:r>
          </w:p>
        </w:tc>
        <w:tc>
          <w:tcPr>
            <w:tcW w:w="4124" w:type="pct"/>
            <w:tcBorders>
              <w:top w:val="single" w:color="auto" w:sz="12" w:space="0"/>
              <w:bottom w:val="single" w:color="auto" w:sz="4" w:space="0"/>
            </w:tcBorders>
            <w:noWrap w:val="0"/>
            <w:vAlign w:val="top"/>
          </w:tcPr>
          <w:p w14:paraId="72C08F6A">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（1）专职保安人员中</w:t>
            </w:r>
            <w:r>
              <w:rPr>
                <w:rFonts w:hint="eastAsia" w:ascii="宋体" w:hAnsi="宋体" w:eastAsia="宋体" w:cs="宋体"/>
                <w:b w:val="0"/>
                <w:bCs w:val="0"/>
                <w:color w:val="auto"/>
                <w:sz w:val="24"/>
                <w:szCs w:val="24"/>
                <w:lang w:val="en-US" w:eastAsia="zh-CN"/>
              </w:rPr>
              <w:t>50</w:t>
            </w:r>
            <w:r>
              <w:rPr>
                <w:rFonts w:hint="eastAsia" w:ascii="宋体" w:hAnsi="宋体" w:eastAsia="宋体" w:cs="宋体"/>
                <w:b w:val="0"/>
                <w:bCs w:val="0"/>
                <w:color w:val="auto"/>
                <w:sz w:val="24"/>
                <w:szCs w:val="24"/>
              </w:rPr>
              <w:t>周岁以下的人员占总数的40%以上，身体健康，工作认真负责并定期接受专业培训。</w:t>
            </w:r>
          </w:p>
          <w:p w14:paraId="5C47C072">
            <w:pPr>
              <w:keepNext w:val="0"/>
              <w:keepLines w:val="0"/>
              <w:pageBreakBefore w:val="0"/>
              <w:kinsoku/>
              <w:wordWrap/>
              <w:overflowPunct/>
              <w:topLinePunct w:val="0"/>
              <w:autoSpaceDE/>
              <w:autoSpaceDN/>
              <w:bidi w:val="0"/>
              <w:snapToGrid w:val="0"/>
              <w:spacing w:after="0" w:line="240" w:lineRule="auto"/>
              <w:ind w:left="315" w:hanging="360" w:hangingChars="15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（2）能处理和应对小区公共秩序维护工作，能正确使用各类消防、物防、技防器械和设备。</w:t>
            </w:r>
          </w:p>
          <w:p w14:paraId="7B6049D1">
            <w:pPr>
              <w:keepNext w:val="0"/>
              <w:keepLines w:val="0"/>
              <w:pageBreakBefore w:val="0"/>
              <w:kinsoku/>
              <w:wordWrap/>
              <w:overflowPunct/>
              <w:topLinePunct w:val="0"/>
              <w:autoSpaceDE/>
              <w:autoSpaceDN/>
              <w:bidi w:val="0"/>
              <w:snapToGrid w:val="0"/>
              <w:spacing w:after="0" w:line="240" w:lineRule="auto"/>
              <w:ind w:left="315" w:hanging="360" w:hangingChars="15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（3）上岗时佩带统一标志，穿戴统一制服，仪容仪表规范整齐。</w:t>
            </w:r>
          </w:p>
          <w:p w14:paraId="25CC42C1">
            <w:pPr>
              <w:keepNext w:val="0"/>
              <w:keepLines w:val="0"/>
              <w:pageBreakBefore w:val="0"/>
              <w:kinsoku/>
              <w:wordWrap/>
              <w:overflowPunct/>
              <w:topLinePunct w:val="0"/>
              <w:autoSpaceDE/>
              <w:autoSpaceDN/>
              <w:bidi w:val="0"/>
              <w:snapToGrid w:val="0"/>
              <w:spacing w:after="0" w:line="240" w:lineRule="auto"/>
              <w:ind w:left="315" w:hanging="360" w:hangingChars="15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（4）配备对讲装置和其他必备的安全护卫器械。</w:t>
            </w:r>
          </w:p>
        </w:tc>
      </w:tr>
      <w:tr w14:paraId="41CED5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35" w:hRule="atLeast"/>
          <w:jc w:val="center"/>
        </w:trPr>
        <w:tc>
          <w:tcPr>
            <w:tcW w:w="326" w:type="pct"/>
            <w:tcBorders>
              <w:top w:val="single" w:color="auto" w:sz="4" w:space="0"/>
              <w:bottom w:val="single" w:color="auto" w:sz="4" w:space="0"/>
              <w:right w:val="single" w:color="auto" w:sz="4" w:space="0"/>
            </w:tcBorders>
            <w:noWrap w:val="0"/>
            <w:vAlign w:val="center"/>
          </w:tcPr>
          <w:p w14:paraId="48627063">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w:t>
            </w:r>
          </w:p>
        </w:tc>
        <w:tc>
          <w:tcPr>
            <w:tcW w:w="549" w:type="pct"/>
            <w:tcBorders>
              <w:top w:val="single" w:color="auto" w:sz="4" w:space="0"/>
              <w:left w:val="single" w:color="auto" w:sz="4" w:space="0"/>
              <w:bottom w:val="single" w:color="auto" w:sz="4" w:space="0"/>
              <w:right w:val="single" w:color="auto" w:sz="4" w:space="0"/>
            </w:tcBorders>
            <w:noWrap w:val="0"/>
            <w:vAlign w:val="center"/>
          </w:tcPr>
          <w:p w14:paraId="5C94BA88">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门岗</w:t>
            </w:r>
          </w:p>
        </w:tc>
        <w:tc>
          <w:tcPr>
            <w:tcW w:w="4124" w:type="pct"/>
            <w:tcBorders>
              <w:top w:val="single" w:color="auto" w:sz="4" w:space="0"/>
              <w:left w:val="single" w:color="auto" w:sz="4" w:space="0"/>
              <w:bottom w:val="single" w:color="auto" w:sz="4" w:space="0"/>
              <w:right w:val="single" w:color="auto" w:sz="4" w:space="0"/>
            </w:tcBorders>
            <w:noWrap w:val="0"/>
            <w:vAlign w:val="top"/>
          </w:tcPr>
          <w:p w14:paraId="319DC540">
            <w:pPr>
              <w:keepNext w:val="0"/>
              <w:keepLines w:val="0"/>
              <w:pageBreakBefore w:val="0"/>
              <w:pBdr>
                <w:right w:val="single" w:color="auto" w:sz="4" w:space="4"/>
              </w:pBdr>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w:t>
            </w:r>
            <w:r>
              <w:rPr>
                <w:rFonts w:hint="eastAsia" w:ascii="宋体" w:hAnsi="宋体" w:eastAsia="宋体" w:cs="宋体"/>
                <w:b w:val="0"/>
                <w:bCs w:val="0"/>
                <w:color w:val="auto"/>
                <w:sz w:val="24"/>
                <w:szCs w:val="24"/>
                <w:lang w:val="en-US" w:eastAsia="zh-CN"/>
              </w:rPr>
              <w:t>碧绿小区</w:t>
            </w:r>
            <w:r>
              <w:rPr>
                <w:rFonts w:hint="eastAsia" w:ascii="宋体" w:hAnsi="宋体" w:eastAsia="宋体" w:cs="宋体"/>
                <w:b w:val="0"/>
                <w:bCs w:val="0"/>
                <w:color w:val="auto"/>
                <w:sz w:val="24"/>
                <w:szCs w:val="24"/>
              </w:rPr>
              <w:t>出入口24小时值班看守，并有详细交接班记录和外来车辆的登记记录。</w:t>
            </w:r>
          </w:p>
          <w:p w14:paraId="2774387C">
            <w:pPr>
              <w:keepNext w:val="0"/>
              <w:keepLines w:val="0"/>
              <w:pageBreakBefore w:val="0"/>
              <w:pBdr>
                <w:right w:val="single" w:color="auto" w:sz="4" w:space="4"/>
              </w:pBdr>
              <w:kinsoku/>
              <w:wordWrap/>
              <w:overflowPunct/>
              <w:topLinePunct w:val="0"/>
              <w:autoSpaceDE/>
              <w:autoSpaceDN/>
              <w:bidi w:val="0"/>
              <w:snapToGrid w:val="0"/>
              <w:spacing w:after="0" w:line="240" w:lineRule="auto"/>
              <w:ind w:left="315" w:hanging="360" w:hangingChars="150"/>
              <w:textAlignment w:val="auto"/>
              <w:rPr>
                <w:rFonts w:hint="eastAsia" w:ascii="宋体" w:hAnsi="宋体" w:eastAsia="宋体" w:cs="宋体"/>
                <w:b w:val="0"/>
                <w:bCs w:val="0"/>
                <w:color w:val="auto"/>
                <w:sz w:val="24"/>
                <w:szCs w:val="24"/>
              </w:rPr>
            </w:pPr>
          </w:p>
          <w:p w14:paraId="7D115C67">
            <w:pPr>
              <w:keepNext w:val="0"/>
              <w:keepLines w:val="0"/>
              <w:pageBreakBefore w:val="0"/>
              <w:pBdr>
                <w:right w:val="single" w:color="auto" w:sz="4" w:space="4"/>
              </w:pBdr>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val="en-US" w:eastAsia="zh-CN"/>
              </w:rPr>
              <w:t>2</w:t>
            </w:r>
            <w:r>
              <w:rPr>
                <w:rFonts w:hint="eastAsia" w:ascii="宋体" w:hAnsi="宋体" w:eastAsia="宋体" w:cs="宋体"/>
                <w:b w:val="0"/>
                <w:bCs w:val="0"/>
                <w:color w:val="auto"/>
                <w:sz w:val="24"/>
                <w:szCs w:val="24"/>
              </w:rPr>
              <w:t>）对进出小区的车辆进行管理和疏导，保持出入口环境整洁、有序、道路畅通；对大型物件搬出实行记录。</w:t>
            </w:r>
          </w:p>
        </w:tc>
      </w:tr>
      <w:tr w14:paraId="5BD229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25" w:hRule="atLeast"/>
          <w:jc w:val="center"/>
        </w:trPr>
        <w:tc>
          <w:tcPr>
            <w:tcW w:w="326" w:type="pct"/>
            <w:tcBorders>
              <w:top w:val="single" w:color="auto" w:sz="4" w:space="0"/>
              <w:bottom w:val="single" w:color="auto" w:sz="4" w:space="0"/>
            </w:tcBorders>
            <w:noWrap w:val="0"/>
            <w:vAlign w:val="center"/>
          </w:tcPr>
          <w:p w14:paraId="7DBEE016">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w:t>
            </w:r>
          </w:p>
        </w:tc>
        <w:tc>
          <w:tcPr>
            <w:tcW w:w="549" w:type="pct"/>
            <w:tcBorders>
              <w:top w:val="single" w:color="auto" w:sz="4" w:space="0"/>
              <w:bottom w:val="single" w:color="auto" w:sz="4" w:space="0"/>
            </w:tcBorders>
            <w:noWrap w:val="0"/>
            <w:vAlign w:val="center"/>
          </w:tcPr>
          <w:p w14:paraId="0191DEEF">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巡逻岗</w:t>
            </w:r>
          </w:p>
        </w:tc>
        <w:tc>
          <w:tcPr>
            <w:tcW w:w="4124" w:type="pct"/>
            <w:tcBorders>
              <w:top w:val="single" w:color="auto" w:sz="4" w:space="0"/>
              <w:bottom w:val="single" w:color="auto" w:sz="4" w:space="0"/>
            </w:tcBorders>
            <w:noWrap w:val="0"/>
            <w:vAlign w:val="top"/>
          </w:tcPr>
          <w:p w14:paraId="10B46C4E">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（1）保安人员手持巡更采集器，按指定的时间和路线每二小时巡查一次，重点部位应设巡更点。监控中心有巡更记录（如无巡更器，巡逻时二人一组）。</w:t>
            </w:r>
          </w:p>
          <w:p w14:paraId="12D70D1F">
            <w:pPr>
              <w:keepNext w:val="0"/>
              <w:keepLines w:val="0"/>
              <w:pageBreakBefore w:val="0"/>
              <w:kinsoku/>
              <w:wordWrap/>
              <w:overflowPunct/>
              <w:topLinePunct w:val="0"/>
              <w:autoSpaceDE/>
              <w:autoSpaceDN/>
              <w:bidi w:val="0"/>
              <w:snapToGrid w:val="0"/>
              <w:spacing w:after="0" w:line="240" w:lineRule="auto"/>
              <w:ind w:left="315" w:hanging="360" w:hangingChars="15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（2）接到火警、警情后五分钟内到达现场，协助保护现场，并报告管理处与警方。</w:t>
            </w:r>
          </w:p>
          <w:p w14:paraId="07D22414">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（3）在遇到异常情况或住户紧急求助时，五分钟内赶到现场，采取相应措施。</w:t>
            </w:r>
          </w:p>
        </w:tc>
      </w:tr>
      <w:tr w14:paraId="488CBE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25" w:hRule="atLeast"/>
          <w:jc w:val="center"/>
        </w:trPr>
        <w:tc>
          <w:tcPr>
            <w:tcW w:w="326" w:type="pct"/>
            <w:tcBorders>
              <w:top w:val="single" w:color="auto" w:sz="4" w:space="0"/>
              <w:bottom w:val="single" w:color="auto" w:sz="4" w:space="0"/>
            </w:tcBorders>
            <w:noWrap w:val="0"/>
            <w:vAlign w:val="center"/>
          </w:tcPr>
          <w:p w14:paraId="17B5F094">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w:t>
            </w:r>
          </w:p>
        </w:tc>
        <w:tc>
          <w:tcPr>
            <w:tcW w:w="549" w:type="pct"/>
            <w:tcBorders>
              <w:top w:val="single" w:color="auto" w:sz="4" w:space="0"/>
              <w:bottom w:val="single" w:color="auto" w:sz="4" w:space="0"/>
            </w:tcBorders>
            <w:noWrap w:val="0"/>
            <w:vAlign w:val="center"/>
          </w:tcPr>
          <w:p w14:paraId="78DA861E">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技防设施和救助</w:t>
            </w:r>
          </w:p>
          <w:p w14:paraId="5217CC40">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（监控岗）</w:t>
            </w:r>
          </w:p>
        </w:tc>
        <w:tc>
          <w:tcPr>
            <w:tcW w:w="4124" w:type="pct"/>
            <w:tcBorders>
              <w:top w:val="single" w:color="auto" w:sz="4" w:space="0"/>
              <w:bottom w:val="single" w:color="auto" w:sz="4" w:space="0"/>
            </w:tcBorders>
            <w:noWrap w:val="0"/>
            <w:vAlign w:val="top"/>
          </w:tcPr>
          <w:p w14:paraId="2122AF58">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（1）控制中心接到报警信号后，保安人员五分钟内赶到现场进行处理，同时中心应接受用户救助要求，解答用户询问。</w:t>
            </w:r>
          </w:p>
          <w:p w14:paraId="5CF51136">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val="en-US" w:eastAsia="zh-CN"/>
              </w:rPr>
              <w:t>2</w:t>
            </w:r>
            <w:r>
              <w:rPr>
                <w:rFonts w:hint="eastAsia" w:ascii="宋体" w:hAnsi="宋体" w:eastAsia="宋体" w:cs="宋体"/>
                <w:b w:val="0"/>
                <w:bCs w:val="0"/>
                <w:color w:val="auto"/>
                <w:sz w:val="24"/>
                <w:szCs w:val="24"/>
              </w:rPr>
              <w:t>）小区有火警、警情应急预案，并在监控中心控制室内悬挂；每年应组织不少于一次的防火应急预案演习。</w:t>
            </w:r>
          </w:p>
        </w:tc>
      </w:tr>
      <w:tr w14:paraId="212398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25" w:hRule="atLeast"/>
          <w:jc w:val="center"/>
        </w:trPr>
        <w:tc>
          <w:tcPr>
            <w:tcW w:w="326" w:type="pct"/>
            <w:tcBorders>
              <w:top w:val="single" w:color="auto" w:sz="4" w:space="0"/>
              <w:bottom w:val="single" w:color="auto" w:sz="12" w:space="0"/>
            </w:tcBorders>
            <w:noWrap w:val="0"/>
            <w:vAlign w:val="center"/>
          </w:tcPr>
          <w:p w14:paraId="2DB1CBAA">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5</w:t>
            </w:r>
          </w:p>
        </w:tc>
        <w:tc>
          <w:tcPr>
            <w:tcW w:w="549" w:type="pct"/>
            <w:tcBorders>
              <w:top w:val="single" w:color="auto" w:sz="4" w:space="0"/>
              <w:bottom w:val="single" w:color="auto" w:sz="12" w:space="0"/>
            </w:tcBorders>
            <w:noWrap w:val="0"/>
            <w:vAlign w:val="center"/>
          </w:tcPr>
          <w:p w14:paraId="3EAAF5FF">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车辆管理</w:t>
            </w:r>
          </w:p>
        </w:tc>
        <w:tc>
          <w:tcPr>
            <w:tcW w:w="4124" w:type="pct"/>
            <w:tcBorders>
              <w:top w:val="single" w:color="auto" w:sz="4" w:space="0"/>
              <w:bottom w:val="single" w:color="auto" w:sz="12" w:space="0"/>
            </w:tcBorders>
            <w:noWrap w:val="0"/>
            <w:vAlign w:val="top"/>
          </w:tcPr>
          <w:p w14:paraId="22711060">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（1）地面、墙面按车辆道路行驶要求设立指示牌和地标，车辆行驶有规定路线，车辆停放有序。</w:t>
            </w:r>
          </w:p>
          <w:p w14:paraId="03F61EE2">
            <w:pPr>
              <w:keepNext w:val="0"/>
              <w:keepLines w:val="0"/>
              <w:pageBreakBefore w:val="0"/>
              <w:kinsoku/>
              <w:wordWrap/>
              <w:overflowPunct/>
              <w:topLinePunct w:val="0"/>
              <w:autoSpaceDE/>
              <w:autoSpaceDN/>
              <w:bidi w:val="0"/>
              <w:snapToGrid w:val="0"/>
              <w:spacing w:after="0" w:line="240" w:lineRule="auto"/>
              <w:ind w:left="315" w:hanging="360" w:hangingChars="15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（2）有专职人员24小时巡视和协助停车事宜。</w:t>
            </w:r>
          </w:p>
          <w:p w14:paraId="18660BBE">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收费管理的车库应24小时有专人管理，车辆停放有序，车库内配置道闸和录像监视，地面、墙面按车辆道路行驶要求设立指示牌和地标，照明、消防器械配置齐全，车库场地每日清洁一次，无渗漏，无积水，通风良好，无易燃、易爆及危险物品存放。</w:t>
            </w:r>
          </w:p>
        </w:tc>
      </w:tr>
    </w:tbl>
    <w:p w14:paraId="51C8C5A0">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p>
    <w:p w14:paraId="3AC6BF3B">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（五）保洁服务</w:t>
      </w:r>
    </w:p>
    <w:p w14:paraId="6363BDDF">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1、基本要求</w:t>
      </w:r>
    </w:p>
    <w:p w14:paraId="080FDDAE">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（1）合理设置果壳箱或者垃圾桶，每日清运 1 次。垃圾袋装化， 保持垃圾桶清洁无异味。</w:t>
      </w:r>
    </w:p>
    <w:p w14:paraId="655DAD0D">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（2）电梯轿厢每日擦拭（清洗）</w:t>
      </w:r>
      <w:r>
        <w:rPr>
          <w:rFonts w:hint="eastAsia" w:ascii="宋体" w:hAnsi="宋体" w:eastAsia="宋体" w:cs="宋体"/>
          <w:spacing w:val="0"/>
          <w:position w:val="0"/>
          <w:sz w:val="24"/>
          <w:szCs w:val="24"/>
          <w:lang w:val="en-US" w:eastAsia="zh-CN"/>
        </w:rPr>
        <w:t>1</w:t>
      </w:r>
      <w:r>
        <w:rPr>
          <w:rFonts w:ascii="宋体" w:hAnsi="宋体" w:eastAsia="宋体" w:cs="宋体"/>
          <w:spacing w:val="0"/>
          <w:position w:val="0"/>
          <w:sz w:val="24"/>
          <w:szCs w:val="24"/>
        </w:rPr>
        <w:t xml:space="preserve"> 次；楼道保持整洁无杂物；共用部位玻</w:t>
      </w:r>
    </w:p>
    <w:p w14:paraId="20BAAEDA">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璃每季度清洁 1 次；路灯、楼道灯每</w:t>
      </w:r>
      <w:r>
        <w:rPr>
          <w:rFonts w:hint="eastAsia" w:ascii="宋体" w:hAnsi="宋体" w:eastAsia="宋体" w:cs="宋体"/>
          <w:spacing w:val="0"/>
          <w:position w:val="0"/>
          <w:sz w:val="24"/>
          <w:szCs w:val="24"/>
          <w:lang w:val="en-US" w:eastAsia="zh-CN"/>
        </w:rPr>
        <w:t>季度</w:t>
      </w:r>
      <w:r>
        <w:rPr>
          <w:rFonts w:ascii="宋体" w:hAnsi="宋体" w:eastAsia="宋体" w:cs="宋体"/>
          <w:spacing w:val="0"/>
          <w:position w:val="0"/>
          <w:sz w:val="24"/>
          <w:szCs w:val="24"/>
        </w:rPr>
        <w:t>清洁 1 次。</w:t>
      </w:r>
    </w:p>
    <w:p w14:paraId="53BBDA64">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（3）小区内共用雨、污水管道每年疏通 1 次；雨、污水井每半年检查 1 次， 视检查情况及时清掏； 化粪池每季度检查 1 次， 每年清掏 1 次， 发现异常及时清掏。</w:t>
      </w:r>
    </w:p>
    <w:p w14:paraId="06C39C5E">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（4）二次供水水箱 1 年清洗两次，定时巡查，水质须由具备资质的第三方</w:t>
      </w:r>
    </w:p>
    <w:p w14:paraId="14FBB6E2">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权威检测机构出具的《水质检测合格报告》，以达到卫生要求的标准。</w:t>
      </w:r>
    </w:p>
    <w:p w14:paraId="4D02B42C">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2、保洁服务具体要求</w:t>
      </w:r>
    </w:p>
    <w:p w14:paraId="74020548">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（1）保洁员领班制订保洁工作计划，做好每月材料申购报表。</w:t>
      </w:r>
    </w:p>
    <w:p w14:paraId="631261DC">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（2）中标人负责保洁员工的岗位技能培训工作， 不断提高员工的业务素质。</w:t>
      </w:r>
    </w:p>
    <w:p w14:paraId="5333BE2D">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（3）保洁员负责工作区域内道路、灯具、 栅栏、扶手、楼内走廊、大堂、 办公室、卫生间、屋顶、楼梯地面、内墙面、消防栓、灭火器等公共区域的清洁 工作， 负责工作区域垃圾的清理、收集工作， 有权制止各种破坏、污染卫生环境的行为。</w:t>
      </w:r>
    </w:p>
    <w:p w14:paraId="43C8D907">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（4）熟练掌握消防器材的使用方法和安全门锁的开启。</w:t>
      </w:r>
    </w:p>
    <w:p w14:paraId="663FE4D5">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（5）发现各类隐患或突发事件等能及时采取应急措施，并及时向上级领导</w:t>
      </w:r>
    </w:p>
    <w:p w14:paraId="158A8F37">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汇报。</w:t>
      </w:r>
    </w:p>
    <w:p w14:paraId="33F95898">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（6）积极参加业务培训，自觉学习有关清洁卫生知识，不断提高综合素质。</w:t>
      </w:r>
    </w:p>
    <w:p w14:paraId="67724A82">
      <w:pPr>
        <w:pStyle w:val="11"/>
        <w:keepNext w:val="0"/>
        <w:keepLines w:val="0"/>
        <w:pageBreakBefore w:val="0"/>
        <w:numPr>
          <w:ilvl w:val="0"/>
          <w:numId w:val="0"/>
        </w:numPr>
        <w:kinsoku/>
        <w:wordWrap/>
        <w:overflowPunct/>
        <w:topLinePunct w:val="0"/>
        <w:autoSpaceDE/>
        <w:autoSpaceDN/>
        <w:bidi w:val="0"/>
        <w:snapToGrid w:val="0"/>
        <w:spacing w:line="240" w:lineRule="auto"/>
        <w:ind w:leftChars="0" w:firstLine="480" w:firstLineChars="200"/>
        <w:jc w:val="both"/>
        <w:textAlignment w:val="auto"/>
        <w:rPr>
          <w:rFonts w:hint="eastAsia" w:ascii="宋体" w:hAnsi="宋体" w:eastAsia="宋体" w:cs="宋体"/>
          <w:spacing w:val="0"/>
          <w:kern w:val="2"/>
          <w:position w:val="0"/>
          <w:sz w:val="24"/>
          <w:szCs w:val="24"/>
          <w:lang w:val="en-US" w:eastAsia="zh-CN" w:bidi="ar-SA"/>
        </w:rPr>
      </w:pPr>
      <w:r>
        <w:rPr>
          <w:rFonts w:hint="eastAsia" w:ascii="宋体" w:hAnsi="宋体" w:eastAsia="宋体" w:cs="宋体"/>
          <w:spacing w:val="0"/>
          <w:kern w:val="2"/>
          <w:position w:val="0"/>
          <w:sz w:val="24"/>
          <w:szCs w:val="24"/>
          <w:lang w:val="en-US" w:eastAsia="zh-CN" w:bidi="ar-SA"/>
        </w:rPr>
        <w:t>（7）公共区域清洁卫生服务标准</w:t>
      </w:r>
    </w:p>
    <w:tbl>
      <w:tblPr>
        <w:tblStyle w:val="9"/>
        <w:tblW w:w="92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752"/>
        <w:gridCol w:w="748"/>
        <w:gridCol w:w="2285"/>
        <w:gridCol w:w="5417"/>
      </w:tblGrid>
      <w:tr w14:paraId="56AE19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3" w:hRule="atLeast"/>
          <w:jc w:val="center"/>
        </w:trPr>
        <w:tc>
          <w:tcPr>
            <w:tcW w:w="752" w:type="dxa"/>
            <w:tcBorders>
              <w:top w:val="single" w:color="auto" w:sz="12" w:space="0"/>
              <w:bottom w:val="single" w:color="auto" w:sz="12" w:space="0"/>
            </w:tcBorders>
            <w:noWrap w:val="0"/>
            <w:vAlign w:val="center"/>
          </w:tcPr>
          <w:p w14:paraId="5DEA0729">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项目</w:t>
            </w:r>
          </w:p>
        </w:tc>
        <w:tc>
          <w:tcPr>
            <w:tcW w:w="748" w:type="dxa"/>
            <w:tcBorders>
              <w:top w:val="single" w:color="auto" w:sz="12" w:space="0"/>
              <w:bottom w:val="single" w:color="auto" w:sz="12" w:space="0"/>
            </w:tcBorders>
            <w:noWrap w:val="0"/>
            <w:vAlign w:val="center"/>
          </w:tcPr>
          <w:p w14:paraId="0243C4DC">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序号</w:t>
            </w:r>
          </w:p>
        </w:tc>
        <w:tc>
          <w:tcPr>
            <w:tcW w:w="2285" w:type="dxa"/>
            <w:tcBorders>
              <w:top w:val="single" w:color="auto" w:sz="12" w:space="0"/>
              <w:bottom w:val="single" w:color="auto" w:sz="12" w:space="0"/>
            </w:tcBorders>
            <w:noWrap w:val="0"/>
            <w:vAlign w:val="center"/>
          </w:tcPr>
          <w:p w14:paraId="07D7FEDD">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内容</w:t>
            </w:r>
          </w:p>
        </w:tc>
        <w:tc>
          <w:tcPr>
            <w:tcW w:w="5417" w:type="dxa"/>
            <w:tcBorders>
              <w:top w:val="single" w:color="auto" w:sz="12" w:space="0"/>
              <w:bottom w:val="single" w:color="auto" w:sz="12" w:space="0"/>
            </w:tcBorders>
            <w:noWrap w:val="0"/>
            <w:vAlign w:val="center"/>
          </w:tcPr>
          <w:p w14:paraId="7A2C9982">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服务要求</w:t>
            </w:r>
          </w:p>
        </w:tc>
      </w:tr>
      <w:tr w14:paraId="17E3E7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52" w:type="dxa"/>
            <w:vMerge w:val="restart"/>
            <w:tcBorders>
              <w:top w:val="single" w:color="auto" w:sz="12" w:space="0"/>
            </w:tcBorders>
            <w:noWrap w:val="0"/>
            <w:vAlign w:val="center"/>
          </w:tcPr>
          <w:p w14:paraId="787673C0">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楼内公共区域</w:t>
            </w:r>
          </w:p>
          <w:p w14:paraId="6A6B6FDA">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748" w:type="dxa"/>
            <w:tcBorders>
              <w:top w:val="single" w:color="auto" w:sz="12" w:space="0"/>
            </w:tcBorders>
            <w:noWrap w:val="0"/>
            <w:vAlign w:val="center"/>
          </w:tcPr>
          <w:p w14:paraId="685F20EE">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w:t>
            </w:r>
          </w:p>
        </w:tc>
        <w:tc>
          <w:tcPr>
            <w:tcW w:w="2285" w:type="dxa"/>
            <w:tcBorders>
              <w:top w:val="single" w:color="auto" w:sz="12" w:space="0"/>
            </w:tcBorders>
            <w:noWrap w:val="0"/>
            <w:vAlign w:val="center"/>
          </w:tcPr>
          <w:p w14:paraId="005CAEB3">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地面和墙面</w:t>
            </w:r>
          </w:p>
        </w:tc>
        <w:tc>
          <w:tcPr>
            <w:tcW w:w="5417" w:type="dxa"/>
            <w:tcBorders>
              <w:top w:val="single" w:color="auto" w:sz="12" w:space="0"/>
            </w:tcBorders>
            <w:noWrap w:val="0"/>
            <w:vAlign w:val="center"/>
          </w:tcPr>
          <w:p w14:paraId="170F0F51">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隔</w:t>
            </w:r>
            <w:r>
              <w:rPr>
                <w:rFonts w:hint="eastAsia" w:ascii="宋体" w:hAnsi="宋体" w:eastAsia="宋体" w:cs="宋体"/>
                <w:b w:val="0"/>
                <w:bCs w:val="0"/>
                <w:color w:val="auto"/>
                <w:sz w:val="24"/>
                <w:szCs w:val="24"/>
              </w:rPr>
              <w:t>日清扫一次，保持材质原貌，干净、无灰尘。</w:t>
            </w:r>
          </w:p>
        </w:tc>
      </w:tr>
      <w:tr w14:paraId="2FE40C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52" w:type="dxa"/>
            <w:vMerge w:val="continue"/>
            <w:noWrap w:val="0"/>
            <w:vAlign w:val="center"/>
          </w:tcPr>
          <w:p w14:paraId="7EAD1799">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748" w:type="dxa"/>
            <w:noWrap w:val="0"/>
            <w:vAlign w:val="center"/>
          </w:tcPr>
          <w:p w14:paraId="4F55C8A6">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w:t>
            </w:r>
          </w:p>
        </w:tc>
        <w:tc>
          <w:tcPr>
            <w:tcW w:w="2285" w:type="dxa"/>
            <w:noWrap w:val="0"/>
            <w:vAlign w:val="center"/>
          </w:tcPr>
          <w:p w14:paraId="174EE067">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楼梯扶手、栏杆、窗台</w:t>
            </w:r>
          </w:p>
        </w:tc>
        <w:tc>
          <w:tcPr>
            <w:tcW w:w="5417" w:type="dxa"/>
            <w:noWrap w:val="0"/>
            <w:vAlign w:val="center"/>
          </w:tcPr>
          <w:p w14:paraId="3C61ADFD">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每周</w:t>
            </w:r>
            <w:r>
              <w:rPr>
                <w:rFonts w:hint="eastAsia" w:ascii="宋体" w:hAnsi="宋体" w:eastAsia="宋体" w:cs="宋体"/>
                <w:b w:val="0"/>
                <w:bCs w:val="0"/>
                <w:color w:val="auto"/>
                <w:sz w:val="24"/>
                <w:szCs w:val="24"/>
              </w:rPr>
              <w:t>擦抹一次，保持干净、无灰尘。</w:t>
            </w:r>
          </w:p>
        </w:tc>
      </w:tr>
      <w:tr w14:paraId="7F62DD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52" w:type="dxa"/>
            <w:vMerge w:val="continue"/>
            <w:noWrap w:val="0"/>
            <w:vAlign w:val="center"/>
          </w:tcPr>
          <w:p w14:paraId="119192E8">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748" w:type="dxa"/>
            <w:noWrap w:val="0"/>
            <w:vAlign w:val="center"/>
          </w:tcPr>
          <w:p w14:paraId="42E58030">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w:t>
            </w:r>
          </w:p>
        </w:tc>
        <w:tc>
          <w:tcPr>
            <w:tcW w:w="2285" w:type="dxa"/>
            <w:noWrap w:val="0"/>
            <w:vAlign w:val="center"/>
          </w:tcPr>
          <w:p w14:paraId="455BBFF5">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消防栓、指示牌等公共设施</w:t>
            </w:r>
          </w:p>
        </w:tc>
        <w:tc>
          <w:tcPr>
            <w:tcW w:w="5417" w:type="dxa"/>
            <w:noWrap w:val="0"/>
            <w:vAlign w:val="center"/>
          </w:tcPr>
          <w:p w14:paraId="3E018938">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每</w:t>
            </w:r>
            <w:r>
              <w:rPr>
                <w:rFonts w:hint="eastAsia" w:ascii="宋体" w:hAnsi="宋体" w:eastAsia="宋体" w:cs="宋体"/>
                <w:b w:val="0"/>
                <w:bCs w:val="0"/>
                <w:color w:val="auto"/>
                <w:sz w:val="24"/>
                <w:szCs w:val="24"/>
                <w:lang w:val="en-US" w:eastAsia="zh-CN"/>
              </w:rPr>
              <w:t>月</w:t>
            </w:r>
            <w:r>
              <w:rPr>
                <w:rFonts w:hint="eastAsia" w:ascii="宋体" w:hAnsi="宋体" w:eastAsia="宋体" w:cs="宋体"/>
                <w:b w:val="0"/>
                <w:bCs w:val="0"/>
                <w:color w:val="auto"/>
                <w:sz w:val="24"/>
                <w:szCs w:val="24"/>
              </w:rPr>
              <w:t>擦抹</w:t>
            </w:r>
            <w:r>
              <w:rPr>
                <w:rFonts w:hint="eastAsia" w:ascii="宋体" w:hAnsi="宋体" w:eastAsia="宋体" w:cs="宋体"/>
                <w:b w:val="0"/>
                <w:bCs w:val="0"/>
                <w:color w:val="auto"/>
                <w:sz w:val="24"/>
                <w:szCs w:val="24"/>
                <w:lang w:val="en-US" w:eastAsia="zh-CN"/>
              </w:rPr>
              <w:t>一</w:t>
            </w:r>
            <w:r>
              <w:rPr>
                <w:rFonts w:hint="eastAsia" w:ascii="宋体" w:hAnsi="宋体" w:eastAsia="宋体" w:cs="宋体"/>
                <w:b w:val="0"/>
                <w:bCs w:val="0"/>
                <w:color w:val="auto"/>
                <w:sz w:val="24"/>
                <w:szCs w:val="24"/>
              </w:rPr>
              <w:t>次，目视无灰尘、无污渍。</w:t>
            </w:r>
          </w:p>
        </w:tc>
      </w:tr>
      <w:tr w14:paraId="5A28B2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52" w:type="dxa"/>
            <w:vMerge w:val="continue"/>
            <w:noWrap w:val="0"/>
            <w:vAlign w:val="center"/>
          </w:tcPr>
          <w:p w14:paraId="4C863302">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748" w:type="dxa"/>
            <w:noWrap w:val="0"/>
            <w:vAlign w:val="center"/>
          </w:tcPr>
          <w:p w14:paraId="2273E909">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w:t>
            </w:r>
          </w:p>
        </w:tc>
        <w:tc>
          <w:tcPr>
            <w:tcW w:w="2285" w:type="dxa"/>
            <w:noWrap w:val="0"/>
            <w:vAlign w:val="center"/>
          </w:tcPr>
          <w:p w14:paraId="6B1F0C07">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天花板、公共灯具</w:t>
            </w:r>
          </w:p>
        </w:tc>
        <w:tc>
          <w:tcPr>
            <w:tcW w:w="5417" w:type="dxa"/>
            <w:noWrap w:val="0"/>
            <w:vAlign w:val="center"/>
          </w:tcPr>
          <w:p w14:paraId="67E07036">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每</w:t>
            </w:r>
            <w:r>
              <w:rPr>
                <w:rFonts w:hint="eastAsia" w:ascii="宋体" w:hAnsi="宋体" w:eastAsia="宋体" w:cs="宋体"/>
                <w:b w:val="0"/>
                <w:bCs w:val="0"/>
                <w:color w:val="auto"/>
                <w:sz w:val="24"/>
                <w:szCs w:val="24"/>
                <w:lang w:val="en-US" w:eastAsia="zh-CN"/>
              </w:rPr>
              <w:t>季度</w:t>
            </w:r>
            <w:r>
              <w:rPr>
                <w:rFonts w:hint="eastAsia" w:ascii="宋体" w:hAnsi="宋体" w:eastAsia="宋体" w:cs="宋体"/>
                <w:b w:val="0"/>
                <w:bCs w:val="0"/>
                <w:color w:val="auto"/>
                <w:sz w:val="24"/>
                <w:szCs w:val="24"/>
              </w:rPr>
              <w:t>除尘一次，目视干净，无蜘蛛网。</w:t>
            </w:r>
          </w:p>
        </w:tc>
      </w:tr>
      <w:tr w14:paraId="6A232F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52" w:type="dxa"/>
            <w:vMerge w:val="continue"/>
            <w:noWrap w:val="0"/>
            <w:vAlign w:val="center"/>
          </w:tcPr>
          <w:p w14:paraId="748BED5C">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748" w:type="dxa"/>
            <w:noWrap w:val="0"/>
            <w:vAlign w:val="center"/>
          </w:tcPr>
          <w:p w14:paraId="3FD4723B">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5</w:t>
            </w:r>
          </w:p>
        </w:tc>
        <w:tc>
          <w:tcPr>
            <w:tcW w:w="2285" w:type="dxa"/>
            <w:noWrap w:val="0"/>
            <w:vAlign w:val="center"/>
          </w:tcPr>
          <w:p w14:paraId="2B388589">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门、窗等玻璃</w:t>
            </w:r>
          </w:p>
        </w:tc>
        <w:tc>
          <w:tcPr>
            <w:tcW w:w="5417" w:type="dxa"/>
            <w:noWrap w:val="0"/>
            <w:vAlign w:val="center"/>
          </w:tcPr>
          <w:p w14:paraId="6F143BAE">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每</w:t>
            </w:r>
            <w:r>
              <w:rPr>
                <w:rFonts w:hint="eastAsia" w:ascii="宋体" w:hAnsi="宋体" w:eastAsia="宋体" w:cs="宋体"/>
                <w:b w:val="0"/>
                <w:bCs w:val="0"/>
                <w:color w:val="auto"/>
                <w:sz w:val="24"/>
                <w:szCs w:val="24"/>
                <w:lang w:val="en-US" w:eastAsia="zh-CN"/>
              </w:rPr>
              <w:t>月</w:t>
            </w:r>
            <w:r>
              <w:rPr>
                <w:rFonts w:hint="eastAsia" w:ascii="宋体" w:hAnsi="宋体" w:eastAsia="宋体" w:cs="宋体"/>
                <w:b w:val="0"/>
                <w:bCs w:val="0"/>
                <w:color w:val="auto"/>
                <w:sz w:val="24"/>
                <w:szCs w:val="24"/>
              </w:rPr>
              <w:t>擦拭一次，其中门厅玻璃每周一次，目视洁净、光亮、无灰尘。</w:t>
            </w:r>
          </w:p>
        </w:tc>
      </w:tr>
      <w:tr w14:paraId="0AC6A8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52" w:type="dxa"/>
            <w:vMerge w:val="continue"/>
            <w:noWrap w:val="0"/>
            <w:vAlign w:val="center"/>
          </w:tcPr>
          <w:p w14:paraId="267F361E">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748" w:type="dxa"/>
            <w:noWrap w:val="0"/>
            <w:vAlign w:val="center"/>
          </w:tcPr>
          <w:p w14:paraId="4286655F">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6</w:t>
            </w:r>
          </w:p>
        </w:tc>
        <w:tc>
          <w:tcPr>
            <w:tcW w:w="2285" w:type="dxa"/>
            <w:noWrap w:val="0"/>
            <w:vAlign w:val="center"/>
          </w:tcPr>
          <w:p w14:paraId="70A0185B">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天台、屋顶</w:t>
            </w:r>
          </w:p>
        </w:tc>
        <w:tc>
          <w:tcPr>
            <w:tcW w:w="5417" w:type="dxa"/>
            <w:noWrap w:val="0"/>
            <w:vAlign w:val="center"/>
          </w:tcPr>
          <w:p w14:paraId="13E1511E">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保持清洁、无垃圾。</w:t>
            </w:r>
          </w:p>
        </w:tc>
      </w:tr>
      <w:tr w14:paraId="673FBC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52" w:type="dxa"/>
            <w:vMerge w:val="continue"/>
            <w:noWrap w:val="0"/>
            <w:vAlign w:val="center"/>
          </w:tcPr>
          <w:p w14:paraId="46CAE82E">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748" w:type="dxa"/>
            <w:noWrap w:val="0"/>
            <w:vAlign w:val="center"/>
          </w:tcPr>
          <w:p w14:paraId="448C857C">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val="en-US" w:eastAsia="zh-CN"/>
              </w:rPr>
              <w:t>7</w:t>
            </w:r>
          </w:p>
        </w:tc>
        <w:tc>
          <w:tcPr>
            <w:tcW w:w="2285" w:type="dxa"/>
            <w:noWrap w:val="0"/>
            <w:vAlign w:val="center"/>
          </w:tcPr>
          <w:p w14:paraId="4B220788">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电梯轿厢</w:t>
            </w:r>
          </w:p>
        </w:tc>
        <w:tc>
          <w:tcPr>
            <w:tcW w:w="5417" w:type="dxa"/>
            <w:noWrap w:val="0"/>
            <w:vAlign w:val="center"/>
          </w:tcPr>
          <w:p w14:paraId="06292EAE">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每日擦拭、清扫一次以上；每月对电梯门壁打蜡上光一次，表面光亮，无污迹。</w:t>
            </w:r>
          </w:p>
        </w:tc>
      </w:tr>
      <w:tr w14:paraId="533CB9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52" w:type="dxa"/>
            <w:vMerge w:val="restart"/>
            <w:noWrap w:val="0"/>
            <w:vAlign w:val="center"/>
          </w:tcPr>
          <w:p w14:paraId="0990DBEE">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楼外公共区域</w:t>
            </w:r>
          </w:p>
        </w:tc>
        <w:tc>
          <w:tcPr>
            <w:tcW w:w="748" w:type="dxa"/>
            <w:noWrap w:val="0"/>
            <w:vAlign w:val="center"/>
          </w:tcPr>
          <w:p w14:paraId="7D27446C">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val="en-US" w:eastAsia="zh-CN"/>
              </w:rPr>
              <w:t>8</w:t>
            </w:r>
          </w:p>
        </w:tc>
        <w:tc>
          <w:tcPr>
            <w:tcW w:w="2285" w:type="dxa"/>
            <w:noWrap w:val="0"/>
            <w:vAlign w:val="center"/>
          </w:tcPr>
          <w:p w14:paraId="6CCEF709">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道路地面、绿地、明沟</w:t>
            </w:r>
          </w:p>
        </w:tc>
        <w:tc>
          <w:tcPr>
            <w:tcW w:w="5417" w:type="dxa"/>
            <w:noWrap w:val="0"/>
            <w:vAlign w:val="center"/>
          </w:tcPr>
          <w:p w14:paraId="7B45F8E0">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道路、地面、绿地每日清扫二次以上，广场砖地面每半月冲洗一次；目视地面干净，地面垃圾滞留时间不能超过</w:t>
            </w:r>
            <w:r>
              <w:rPr>
                <w:rFonts w:hint="eastAsia" w:ascii="宋体" w:hAnsi="宋体" w:eastAsia="宋体" w:cs="宋体"/>
                <w:b w:val="0"/>
                <w:bCs w:val="0"/>
                <w:color w:val="auto"/>
                <w:sz w:val="24"/>
                <w:szCs w:val="24"/>
                <w:lang w:val="en-US" w:eastAsia="zh-CN"/>
              </w:rPr>
              <w:t>三</w:t>
            </w:r>
            <w:r>
              <w:rPr>
                <w:rFonts w:hint="eastAsia" w:ascii="宋体" w:hAnsi="宋体" w:eastAsia="宋体" w:cs="宋体"/>
                <w:b w:val="0"/>
                <w:bCs w:val="0"/>
                <w:color w:val="auto"/>
                <w:sz w:val="24"/>
                <w:szCs w:val="24"/>
              </w:rPr>
              <w:t>小时；明沟每日清扫一次，明沟无杂物、无积水。</w:t>
            </w:r>
          </w:p>
        </w:tc>
      </w:tr>
      <w:tr w14:paraId="2671DD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52" w:type="dxa"/>
            <w:vMerge w:val="continue"/>
            <w:noWrap w:val="0"/>
            <w:vAlign w:val="center"/>
          </w:tcPr>
          <w:p w14:paraId="36E512E5">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748" w:type="dxa"/>
            <w:noWrap w:val="0"/>
            <w:vAlign w:val="center"/>
          </w:tcPr>
          <w:p w14:paraId="5BE2A772">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val="en-US" w:eastAsia="zh-CN"/>
              </w:rPr>
              <w:t>9</w:t>
            </w:r>
          </w:p>
        </w:tc>
        <w:tc>
          <w:tcPr>
            <w:tcW w:w="2285" w:type="dxa"/>
            <w:noWrap w:val="0"/>
            <w:vAlign w:val="center"/>
          </w:tcPr>
          <w:p w14:paraId="20325527">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公共灯具、宣传栏、小品等</w:t>
            </w:r>
          </w:p>
        </w:tc>
        <w:tc>
          <w:tcPr>
            <w:tcW w:w="5417" w:type="dxa"/>
            <w:noWrap w:val="0"/>
            <w:vAlign w:val="center"/>
          </w:tcPr>
          <w:p w14:paraId="0CB8C6AA">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每</w:t>
            </w:r>
            <w:r>
              <w:rPr>
                <w:rFonts w:hint="eastAsia" w:ascii="宋体" w:hAnsi="宋体" w:eastAsia="宋体" w:cs="宋体"/>
                <w:b w:val="0"/>
                <w:bCs w:val="0"/>
                <w:color w:val="auto"/>
                <w:sz w:val="24"/>
                <w:szCs w:val="24"/>
                <w:lang w:val="en-US" w:eastAsia="zh-CN"/>
              </w:rPr>
              <w:t>月</w:t>
            </w:r>
            <w:r>
              <w:rPr>
                <w:rFonts w:hint="eastAsia" w:ascii="宋体" w:hAnsi="宋体" w:eastAsia="宋体" w:cs="宋体"/>
                <w:b w:val="0"/>
                <w:bCs w:val="0"/>
                <w:color w:val="auto"/>
                <w:sz w:val="24"/>
                <w:szCs w:val="24"/>
              </w:rPr>
              <w:t>擦抹</w:t>
            </w:r>
            <w:r>
              <w:rPr>
                <w:rFonts w:hint="eastAsia" w:ascii="宋体" w:hAnsi="宋体" w:eastAsia="宋体" w:cs="宋体"/>
                <w:b w:val="0"/>
                <w:bCs w:val="0"/>
                <w:color w:val="auto"/>
                <w:sz w:val="24"/>
                <w:szCs w:val="24"/>
                <w:lang w:val="en-US" w:eastAsia="zh-CN"/>
              </w:rPr>
              <w:t>一</w:t>
            </w:r>
            <w:r>
              <w:rPr>
                <w:rFonts w:hint="eastAsia" w:ascii="宋体" w:hAnsi="宋体" w:eastAsia="宋体" w:cs="宋体"/>
                <w:b w:val="0"/>
                <w:bCs w:val="0"/>
                <w:color w:val="auto"/>
                <w:sz w:val="24"/>
                <w:szCs w:val="24"/>
              </w:rPr>
              <w:t>次，目视无灰尘、明亮清洁。</w:t>
            </w:r>
          </w:p>
        </w:tc>
      </w:tr>
      <w:tr w14:paraId="58B232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52" w:type="dxa"/>
            <w:vMerge w:val="continue"/>
            <w:noWrap w:val="0"/>
            <w:vAlign w:val="center"/>
          </w:tcPr>
          <w:p w14:paraId="656EC905">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748" w:type="dxa"/>
            <w:noWrap w:val="0"/>
            <w:vAlign w:val="center"/>
          </w:tcPr>
          <w:p w14:paraId="41C8E6AC">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1</w:t>
            </w:r>
            <w:r>
              <w:rPr>
                <w:rFonts w:hint="eastAsia" w:ascii="宋体" w:hAnsi="宋体" w:eastAsia="宋体" w:cs="宋体"/>
                <w:b w:val="0"/>
                <w:bCs w:val="0"/>
                <w:color w:val="auto"/>
                <w:sz w:val="24"/>
                <w:szCs w:val="24"/>
                <w:lang w:val="en-US" w:eastAsia="zh-CN"/>
              </w:rPr>
              <w:t>0</w:t>
            </w:r>
          </w:p>
        </w:tc>
        <w:tc>
          <w:tcPr>
            <w:tcW w:w="2285" w:type="dxa"/>
            <w:noWrap w:val="0"/>
            <w:vAlign w:val="center"/>
          </w:tcPr>
          <w:p w14:paraId="4E4D3F6E">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垃圾厢房</w:t>
            </w:r>
          </w:p>
        </w:tc>
        <w:tc>
          <w:tcPr>
            <w:tcW w:w="5417" w:type="dxa"/>
            <w:noWrap w:val="0"/>
            <w:vAlign w:val="top"/>
          </w:tcPr>
          <w:p w14:paraId="1B9A1A5C">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有专人管理。生活、建筑垃圾封闭存放，垃圾厢（房）每日清理、冲洗，垃圾厢（房）整体清洁、无异味，灭害措施完善。</w:t>
            </w:r>
          </w:p>
        </w:tc>
      </w:tr>
      <w:tr w14:paraId="2E6843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52" w:type="dxa"/>
            <w:vMerge w:val="continue"/>
            <w:noWrap w:val="0"/>
            <w:vAlign w:val="center"/>
          </w:tcPr>
          <w:p w14:paraId="2656E7F1">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748" w:type="dxa"/>
            <w:noWrap w:val="0"/>
            <w:vAlign w:val="center"/>
          </w:tcPr>
          <w:p w14:paraId="774D3DDD">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1</w:t>
            </w:r>
            <w:r>
              <w:rPr>
                <w:rFonts w:hint="eastAsia" w:ascii="宋体" w:hAnsi="宋体" w:eastAsia="宋体" w:cs="宋体"/>
                <w:b w:val="0"/>
                <w:bCs w:val="0"/>
                <w:color w:val="auto"/>
                <w:sz w:val="24"/>
                <w:szCs w:val="24"/>
                <w:lang w:val="en-US" w:eastAsia="zh-CN"/>
              </w:rPr>
              <w:t>1</w:t>
            </w:r>
          </w:p>
        </w:tc>
        <w:tc>
          <w:tcPr>
            <w:tcW w:w="2285" w:type="dxa"/>
            <w:noWrap w:val="0"/>
            <w:vAlign w:val="center"/>
          </w:tcPr>
          <w:p w14:paraId="5DB3CCF8">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果皮箱、垃圾桶</w:t>
            </w:r>
          </w:p>
        </w:tc>
        <w:tc>
          <w:tcPr>
            <w:tcW w:w="5417" w:type="dxa"/>
            <w:noWrap w:val="0"/>
            <w:vAlign w:val="top"/>
          </w:tcPr>
          <w:p w14:paraId="233E99C1">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合理设置。每日清理二次，擦拭一次，箱（桶）无满溢、无异味、无污迹。</w:t>
            </w:r>
          </w:p>
        </w:tc>
      </w:tr>
      <w:tr w14:paraId="61C011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52" w:type="dxa"/>
            <w:vMerge w:val="continue"/>
            <w:noWrap w:val="0"/>
            <w:vAlign w:val="center"/>
          </w:tcPr>
          <w:p w14:paraId="02F111B5">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748" w:type="dxa"/>
            <w:noWrap w:val="0"/>
            <w:vAlign w:val="center"/>
          </w:tcPr>
          <w:p w14:paraId="176F0ACD">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t>1</w:t>
            </w:r>
            <w:r>
              <w:rPr>
                <w:rFonts w:hint="eastAsia" w:ascii="宋体" w:hAnsi="宋体" w:eastAsia="宋体" w:cs="宋体"/>
                <w:b w:val="0"/>
                <w:bCs w:val="0"/>
                <w:color w:val="auto"/>
                <w:sz w:val="24"/>
                <w:szCs w:val="24"/>
                <w:lang w:val="en-US" w:eastAsia="zh-CN"/>
              </w:rPr>
              <w:t>2</w:t>
            </w:r>
          </w:p>
        </w:tc>
        <w:tc>
          <w:tcPr>
            <w:tcW w:w="2285" w:type="dxa"/>
            <w:noWrap w:val="0"/>
            <w:vAlign w:val="center"/>
          </w:tcPr>
          <w:p w14:paraId="60BBFFFA">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消毒灭害</w:t>
            </w:r>
          </w:p>
        </w:tc>
        <w:tc>
          <w:tcPr>
            <w:tcW w:w="5417" w:type="dxa"/>
            <w:noWrap w:val="0"/>
            <w:vAlign w:val="center"/>
          </w:tcPr>
          <w:p w14:paraId="51F351B7">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每月对窨井、明沟、垃圾房喷洒药水一次，每半年灭鼠一次。</w:t>
            </w:r>
          </w:p>
        </w:tc>
      </w:tr>
    </w:tbl>
    <w:p w14:paraId="646E9BC6">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p>
    <w:p w14:paraId="511AFA77">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（六）绿化养护</w:t>
      </w:r>
    </w:p>
    <w:p w14:paraId="7418C70F">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1、绿化完好率不低于 85%，对草坪、花卉、绿篱、树木定期进行修剪、养</w:t>
      </w:r>
    </w:p>
    <w:p w14:paraId="7F166A72">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护。</w:t>
      </w:r>
    </w:p>
    <w:p w14:paraId="0503E1E2">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2、定期清除绿地杂草、杂物。</w:t>
      </w:r>
    </w:p>
    <w:p w14:paraId="43971D4B">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3、预防花草、树木病虫害。</w:t>
      </w:r>
    </w:p>
    <w:p w14:paraId="1339E4FD">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4、适时组织浇灌、施肥和松土，做好防涝、防冻。</w:t>
      </w:r>
    </w:p>
    <w:p w14:paraId="5913CB08">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5、适时喷洒药物，预防病虫害。</w:t>
      </w:r>
    </w:p>
    <w:tbl>
      <w:tblPr>
        <w:tblStyle w:val="9"/>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031"/>
        <w:gridCol w:w="2023"/>
        <w:gridCol w:w="5465"/>
      </w:tblGrid>
      <w:tr w14:paraId="238EC8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605" w:type="pct"/>
            <w:tcBorders>
              <w:top w:val="single" w:color="auto" w:sz="12" w:space="0"/>
              <w:bottom w:val="single" w:color="auto" w:sz="12" w:space="0"/>
            </w:tcBorders>
            <w:noWrap w:val="0"/>
            <w:vAlign w:val="center"/>
          </w:tcPr>
          <w:p w14:paraId="02BC3772">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内容</w:t>
            </w:r>
          </w:p>
        </w:tc>
        <w:tc>
          <w:tcPr>
            <w:tcW w:w="1187" w:type="pct"/>
            <w:tcBorders>
              <w:top w:val="single" w:color="auto" w:sz="12" w:space="0"/>
              <w:bottom w:val="single" w:color="auto" w:sz="12" w:space="0"/>
            </w:tcBorders>
            <w:noWrap w:val="0"/>
            <w:vAlign w:val="center"/>
          </w:tcPr>
          <w:p w14:paraId="5B66F560">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要素</w:t>
            </w:r>
          </w:p>
        </w:tc>
        <w:tc>
          <w:tcPr>
            <w:tcW w:w="3207" w:type="pct"/>
            <w:tcBorders>
              <w:top w:val="single" w:color="auto" w:sz="12" w:space="0"/>
              <w:bottom w:val="single" w:color="auto" w:sz="12" w:space="0"/>
            </w:tcBorders>
            <w:noWrap w:val="0"/>
            <w:vAlign w:val="center"/>
          </w:tcPr>
          <w:p w14:paraId="71402EBD">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养护要求（植物）</w:t>
            </w:r>
          </w:p>
        </w:tc>
      </w:tr>
      <w:tr w14:paraId="0CA111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2" w:hRule="atLeast"/>
          <w:jc w:val="center"/>
        </w:trPr>
        <w:tc>
          <w:tcPr>
            <w:tcW w:w="605" w:type="pct"/>
            <w:vMerge w:val="restart"/>
            <w:tcBorders>
              <w:top w:val="single" w:color="auto" w:sz="12" w:space="0"/>
            </w:tcBorders>
            <w:noWrap w:val="0"/>
            <w:vAlign w:val="center"/>
          </w:tcPr>
          <w:p w14:paraId="04C720E8">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草坪</w:t>
            </w:r>
          </w:p>
        </w:tc>
        <w:tc>
          <w:tcPr>
            <w:tcW w:w="1187" w:type="pct"/>
            <w:tcBorders>
              <w:top w:val="single" w:color="auto" w:sz="12" w:space="0"/>
            </w:tcBorders>
            <w:noWrap w:val="0"/>
            <w:vAlign w:val="center"/>
          </w:tcPr>
          <w:p w14:paraId="15C361E4">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修剪</w:t>
            </w:r>
          </w:p>
        </w:tc>
        <w:tc>
          <w:tcPr>
            <w:tcW w:w="3207" w:type="pct"/>
            <w:tcBorders>
              <w:top w:val="single" w:color="auto" w:sz="12" w:space="0"/>
            </w:tcBorders>
            <w:noWrap w:val="0"/>
            <w:vAlign w:val="center"/>
          </w:tcPr>
          <w:p w14:paraId="7494C7F2">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草坪保持平整，草高不超过8cm。</w:t>
            </w:r>
          </w:p>
        </w:tc>
      </w:tr>
      <w:tr w14:paraId="65025A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1" w:hRule="atLeast"/>
          <w:jc w:val="center"/>
        </w:trPr>
        <w:tc>
          <w:tcPr>
            <w:tcW w:w="605" w:type="pct"/>
            <w:vMerge w:val="continue"/>
            <w:noWrap w:val="0"/>
            <w:vAlign w:val="center"/>
          </w:tcPr>
          <w:p w14:paraId="3EA3D2DA">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1187" w:type="pct"/>
            <w:noWrap w:val="0"/>
            <w:vAlign w:val="center"/>
          </w:tcPr>
          <w:p w14:paraId="4E8E2AB8">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清杂草</w:t>
            </w:r>
          </w:p>
        </w:tc>
        <w:tc>
          <w:tcPr>
            <w:tcW w:w="3207" w:type="pct"/>
            <w:noWrap w:val="0"/>
            <w:vAlign w:val="center"/>
          </w:tcPr>
          <w:p w14:paraId="71B41700">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每年清除杂草七遍以上，杂草面积不大于</w:t>
            </w:r>
            <w:r>
              <w:rPr>
                <w:rFonts w:hint="eastAsia" w:ascii="宋体" w:hAnsi="宋体" w:eastAsia="宋体" w:cs="宋体"/>
                <w:b w:val="0"/>
                <w:bCs w:val="0"/>
                <w:color w:val="auto"/>
                <w:sz w:val="24"/>
                <w:szCs w:val="24"/>
                <w:lang w:val="en-US" w:eastAsia="zh-CN"/>
              </w:rPr>
              <w:t>10</w:t>
            </w:r>
            <w:r>
              <w:rPr>
                <w:rFonts w:hint="eastAsia" w:ascii="宋体" w:hAnsi="宋体" w:eastAsia="宋体" w:cs="宋体"/>
                <w:b w:val="0"/>
                <w:bCs w:val="0"/>
                <w:color w:val="auto"/>
                <w:sz w:val="24"/>
                <w:szCs w:val="24"/>
              </w:rPr>
              <w:t>%。</w:t>
            </w:r>
          </w:p>
        </w:tc>
      </w:tr>
      <w:tr w14:paraId="37EC2A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605" w:type="pct"/>
            <w:vMerge w:val="continue"/>
            <w:noWrap w:val="0"/>
            <w:vAlign w:val="center"/>
          </w:tcPr>
          <w:p w14:paraId="089A832F">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1187" w:type="pct"/>
            <w:noWrap w:val="0"/>
            <w:vAlign w:val="center"/>
          </w:tcPr>
          <w:p w14:paraId="14AAA9E3">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灌、排水</w:t>
            </w:r>
          </w:p>
        </w:tc>
        <w:tc>
          <w:tcPr>
            <w:tcW w:w="3207" w:type="pct"/>
            <w:noWrap w:val="0"/>
            <w:vAlign w:val="center"/>
          </w:tcPr>
          <w:p w14:paraId="39CB5C49">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常年保证有效供水，有低洼及时整平，基本无积水。</w:t>
            </w:r>
          </w:p>
        </w:tc>
      </w:tr>
      <w:tr w14:paraId="2BC42C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5" w:hRule="atLeast"/>
          <w:jc w:val="center"/>
        </w:trPr>
        <w:tc>
          <w:tcPr>
            <w:tcW w:w="605" w:type="pct"/>
            <w:vMerge w:val="continue"/>
            <w:noWrap w:val="0"/>
            <w:vAlign w:val="center"/>
          </w:tcPr>
          <w:p w14:paraId="2EE2B4DD">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1187" w:type="pct"/>
            <w:noWrap w:val="0"/>
            <w:vAlign w:val="center"/>
          </w:tcPr>
          <w:p w14:paraId="2856650B">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施肥</w:t>
            </w:r>
          </w:p>
        </w:tc>
        <w:tc>
          <w:tcPr>
            <w:tcW w:w="3207" w:type="pct"/>
            <w:noWrap w:val="0"/>
            <w:vAlign w:val="center"/>
          </w:tcPr>
          <w:p w14:paraId="02A91421">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按肥力、草种、生长情况及时施肥，每年二遍以上。</w:t>
            </w:r>
          </w:p>
        </w:tc>
      </w:tr>
      <w:tr w14:paraId="474677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8" w:hRule="atLeast"/>
          <w:jc w:val="center"/>
        </w:trPr>
        <w:tc>
          <w:tcPr>
            <w:tcW w:w="605" w:type="pct"/>
            <w:vMerge w:val="continue"/>
            <w:noWrap w:val="0"/>
            <w:vAlign w:val="center"/>
          </w:tcPr>
          <w:p w14:paraId="71326FD5">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1187" w:type="pct"/>
            <w:noWrap w:val="0"/>
            <w:vAlign w:val="center"/>
          </w:tcPr>
          <w:p w14:paraId="3CF97AE7">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病虫害防治</w:t>
            </w:r>
          </w:p>
        </w:tc>
        <w:tc>
          <w:tcPr>
            <w:tcW w:w="3207" w:type="pct"/>
            <w:noWrap w:val="0"/>
            <w:vAlign w:val="center"/>
          </w:tcPr>
          <w:p w14:paraId="789F0BDC">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及时做好病虫害防治。</w:t>
            </w:r>
          </w:p>
        </w:tc>
      </w:tr>
      <w:tr w14:paraId="662745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9" w:hRule="atLeast"/>
          <w:jc w:val="center"/>
        </w:trPr>
        <w:tc>
          <w:tcPr>
            <w:tcW w:w="605" w:type="pct"/>
            <w:vMerge w:val="continue"/>
            <w:noWrap w:val="0"/>
            <w:vAlign w:val="center"/>
          </w:tcPr>
          <w:p w14:paraId="40EDF3A4">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1187" w:type="pct"/>
            <w:noWrap w:val="0"/>
            <w:vAlign w:val="center"/>
          </w:tcPr>
          <w:p w14:paraId="4107A525">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其它</w:t>
            </w:r>
          </w:p>
        </w:tc>
        <w:tc>
          <w:tcPr>
            <w:tcW w:w="3207" w:type="pct"/>
            <w:noWrap w:val="0"/>
            <w:vAlign w:val="center"/>
          </w:tcPr>
          <w:p w14:paraId="2D017BD2">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草地生长正常，斑秃黄萎低于5%。</w:t>
            </w:r>
          </w:p>
        </w:tc>
      </w:tr>
      <w:tr w14:paraId="4D36AF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6" w:hRule="atLeast"/>
          <w:jc w:val="center"/>
        </w:trPr>
        <w:tc>
          <w:tcPr>
            <w:tcW w:w="605" w:type="pct"/>
            <w:vMerge w:val="restart"/>
            <w:noWrap w:val="0"/>
            <w:vAlign w:val="center"/>
          </w:tcPr>
          <w:p w14:paraId="6ACF83B4">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树木</w:t>
            </w:r>
          </w:p>
        </w:tc>
        <w:tc>
          <w:tcPr>
            <w:tcW w:w="1187" w:type="pct"/>
            <w:noWrap w:val="0"/>
            <w:vAlign w:val="center"/>
          </w:tcPr>
          <w:p w14:paraId="348B6761">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修剪</w:t>
            </w:r>
          </w:p>
        </w:tc>
        <w:tc>
          <w:tcPr>
            <w:tcW w:w="3207" w:type="pct"/>
            <w:noWrap w:val="0"/>
            <w:vAlign w:val="center"/>
          </w:tcPr>
          <w:p w14:paraId="64FD4345">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乔、灌木修剪每年三次以上，基本做到无枯枝、萌蘖枝；蓠、球、造型植物及时修剪，每年不少于五遍，做到枝叶紧密、圆整、无脱节；地被、攀援植物修剪及时，每年不少于三次，基本无枯枝。</w:t>
            </w:r>
          </w:p>
        </w:tc>
      </w:tr>
      <w:tr w14:paraId="13F15B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9" w:hRule="atLeast"/>
          <w:jc w:val="center"/>
        </w:trPr>
        <w:tc>
          <w:tcPr>
            <w:tcW w:w="605" w:type="pct"/>
            <w:vMerge w:val="continue"/>
            <w:noWrap w:val="0"/>
            <w:vAlign w:val="center"/>
          </w:tcPr>
          <w:p w14:paraId="427DD13C">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1187" w:type="pct"/>
            <w:noWrap w:val="0"/>
            <w:vAlign w:val="center"/>
          </w:tcPr>
          <w:p w14:paraId="26FD9D97">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中耕除草、松土</w:t>
            </w:r>
          </w:p>
        </w:tc>
        <w:tc>
          <w:tcPr>
            <w:tcW w:w="3207" w:type="pct"/>
            <w:noWrap w:val="0"/>
            <w:vAlign w:val="center"/>
          </w:tcPr>
          <w:p w14:paraId="103C6628">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适时中耕除草,做到基本无杂草，土壤疏松。</w:t>
            </w:r>
          </w:p>
        </w:tc>
      </w:tr>
      <w:tr w14:paraId="3947D8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605" w:type="pct"/>
            <w:vMerge w:val="continue"/>
            <w:noWrap w:val="0"/>
            <w:vAlign w:val="center"/>
          </w:tcPr>
          <w:p w14:paraId="3E3E2D8A">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1187" w:type="pct"/>
            <w:noWrap w:val="0"/>
            <w:vAlign w:val="center"/>
          </w:tcPr>
          <w:p w14:paraId="247AF1AF">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施肥</w:t>
            </w:r>
          </w:p>
        </w:tc>
        <w:tc>
          <w:tcPr>
            <w:tcW w:w="3207" w:type="pct"/>
            <w:noWrap w:val="0"/>
            <w:vAlign w:val="center"/>
          </w:tcPr>
          <w:p w14:paraId="08C6C52C">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按植物品种、生长状况、土壤条件适时施肥，每年普施基肥不少于一遍，花灌木增施追肥一遍。</w:t>
            </w:r>
          </w:p>
        </w:tc>
      </w:tr>
      <w:tr w14:paraId="75C17A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05" w:type="pct"/>
            <w:vMerge w:val="continue"/>
            <w:noWrap w:val="0"/>
            <w:vAlign w:val="center"/>
          </w:tcPr>
          <w:p w14:paraId="3F4546D6">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1187" w:type="pct"/>
            <w:noWrap w:val="0"/>
            <w:vAlign w:val="center"/>
          </w:tcPr>
          <w:p w14:paraId="49F2B94D">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病虫害防治</w:t>
            </w:r>
          </w:p>
        </w:tc>
        <w:tc>
          <w:tcPr>
            <w:tcW w:w="3207" w:type="pct"/>
            <w:noWrap w:val="0"/>
            <w:vAlign w:val="center"/>
          </w:tcPr>
          <w:p w14:paraId="0BD73F12">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防治结合、及时灭治，主要病虫害发生低于5％。</w:t>
            </w:r>
          </w:p>
        </w:tc>
      </w:tr>
      <w:tr w14:paraId="4CE0C6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 w:hRule="atLeast"/>
          <w:jc w:val="center"/>
        </w:trPr>
        <w:tc>
          <w:tcPr>
            <w:tcW w:w="605" w:type="pct"/>
            <w:vMerge w:val="continue"/>
            <w:noWrap w:val="0"/>
            <w:vAlign w:val="center"/>
          </w:tcPr>
          <w:p w14:paraId="0BC535AE">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1187" w:type="pct"/>
            <w:noWrap w:val="0"/>
            <w:vAlign w:val="center"/>
          </w:tcPr>
          <w:p w14:paraId="3EDE9EB5">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扶正加固</w:t>
            </w:r>
          </w:p>
        </w:tc>
        <w:tc>
          <w:tcPr>
            <w:tcW w:w="3207" w:type="pct"/>
            <w:noWrap w:val="0"/>
            <w:vAlign w:val="center"/>
          </w:tcPr>
          <w:p w14:paraId="08A7560A">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树木基本无倾斜。</w:t>
            </w:r>
          </w:p>
        </w:tc>
      </w:tr>
      <w:tr w14:paraId="3D8543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605" w:type="pct"/>
            <w:vMerge w:val="continue"/>
            <w:noWrap w:val="0"/>
            <w:vAlign w:val="center"/>
          </w:tcPr>
          <w:p w14:paraId="5A8ACDA1">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p>
        </w:tc>
        <w:tc>
          <w:tcPr>
            <w:tcW w:w="1187" w:type="pct"/>
            <w:noWrap w:val="0"/>
            <w:vAlign w:val="center"/>
          </w:tcPr>
          <w:p w14:paraId="1669FFA4">
            <w:pPr>
              <w:keepNext w:val="0"/>
              <w:keepLines w:val="0"/>
              <w:pageBreakBefore w:val="0"/>
              <w:kinsoku/>
              <w:wordWrap/>
              <w:overflowPunct/>
              <w:topLinePunct w:val="0"/>
              <w:autoSpaceDE/>
              <w:autoSpaceDN/>
              <w:bidi w:val="0"/>
              <w:snapToGrid w:val="0"/>
              <w:spacing w:after="0" w:line="24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其它</w:t>
            </w:r>
          </w:p>
        </w:tc>
        <w:tc>
          <w:tcPr>
            <w:tcW w:w="3207" w:type="pct"/>
            <w:noWrap w:val="0"/>
            <w:vAlign w:val="center"/>
          </w:tcPr>
          <w:p w14:paraId="34CF3ECB">
            <w:pPr>
              <w:keepNext w:val="0"/>
              <w:keepLines w:val="0"/>
              <w:pageBreakBefore w:val="0"/>
              <w:kinsoku/>
              <w:wordWrap/>
              <w:overflowPunct/>
              <w:topLinePunct w:val="0"/>
              <w:autoSpaceDE/>
              <w:autoSpaceDN/>
              <w:bidi w:val="0"/>
              <w:snapToGrid w:val="0"/>
              <w:spacing w:after="0" w:line="24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乔灌木生长良好，树冠完整；花灌木按时开花结果；球、篱、地被生长良好，无缺枝、空档。</w:t>
            </w:r>
          </w:p>
        </w:tc>
      </w:tr>
    </w:tbl>
    <w:p w14:paraId="6B5CEA46">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p>
    <w:p w14:paraId="55397A50">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（七）项目经理岗位职责</w:t>
      </w:r>
    </w:p>
    <w:p w14:paraId="1BCF0A04">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1、根据项目合同要求，坚持为业主服务、组织物业公司全体工作人员对本</w:t>
      </w:r>
    </w:p>
    <w:p w14:paraId="581F68DE">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小区物业开展日常管理和服务工作，努力搞好小区物业管理工作。</w:t>
      </w:r>
    </w:p>
    <w:p w14:paraId="773255EE">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2、负责服务项目经营状况管理，负责服务项目各项费用的收取，监督小区日常的业务管理中的财务开支。重点对服务项目的物业管理费及各项费用的回收</w:t>
      </w:r>
    </w:p>
    <w:p w14:paraId="65C6FF2B">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有管理责任。</w:t>
      </w:r>
    </w:p>
    <w:p w14:paraId="433394A6">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3、负责组织、保证小区各项安全管理、保洁管理、秩序维护管理、绿化管理、品质管理、设施设备管理等制度的贯彻执行，确保项目整体服务质量的不断提升，满足项目发展需要，保障公司利益。</w:t>
      </w:r>
    </w:p>
    <w:p w14:paraId="3D4118AE">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4、负责服务项目的安全管理工作，落实安全责任制，每天巡视管理区域，</w:t>
      </w:r>
    </w:p>
    <w:p w14:paraId="0F1A57D1">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及时发现安全隐患并汇报处理，依法制止违规装修和违章搭建等具体违反安全管理服务工作。</w:t>
      </w:r>
    </w:p>
    <w:p w14:paraId="5B21AC12">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5、负责督导检查服务中心内的清洁卫生、环境绿化、创优美、舒适的居住</w:t>
      </w:r>
    </w:p>
    <w:p w14:paraId="4038695B">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环境。</w:t>
      </w:r>
    </w:p>
    <w:p w14:paraId="3243569D">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6、负责服务项目的日常管理工作</w:t>
      </w:r>
      <w:r>
        <w:rPr>
          <w:rFonts w:hint="eastAsia" w:ascii="宋体" w:hAnsi="宋体" w:eastAsia="宋体" w:cs="宋体"/>
          <w:spacing w:val="0"/>
          <w:position w:val="0"/>
          <w:sz w:val="24"/>
          <w:szCs w:val="24"/>
          <w:lang w:eastAsia="zh-CN"/>
        </w:rPr>
        <w:t>，</w:t>
      </w:r>
      <w:r>
        <w:rPr>
          <w:rFonts w:ascii="宋体" w:hAnsi="宋体" w:eastAsia="宋体" w:cs="宋体"/>
          <w:spacing w:val="0"/>
          <w:position w:val="0"/>
          <w:sz w:val="24"/>
          <w:szCs w:val="24"/>
        </w:rPr>
        <w:t>对服务项目各项工作标准进行检查、监</w:t>
      </w:r>
    </w:p>
    <w:p w14:paraId="74B61D9C">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督，负责业主投诉的调查、处理、回访及客户满意度调查工作。</w:t>
      </w:r>
    </w:p>
    <w:p w14:paraId="04F520BD">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7、负责定期（每月）按比例（业主 10%）拜访租户/业主，加强信息沟通与 业主及时交流， 收集相关需求信息， 并拿出组织实施建议或方案， 提高物业管理水平和成果。</w:t>
      </w:r>
    </w:p>
    <w:p w14:paraId="7C6CB209">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8、负责编制服务中心年度各项支出预算，控制、审批各项开支、控制预算。</w:t>
      </w:r>
    </w:p>
    <w:p w14:paraId="5135ACD7">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9、负责建立、健全管理档案（含业主档案、消防档案、工作日志档案等）。</w:t>
      </w:r>
    </w:p>
    <w:p w14:paraId="011D3A8F">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10、负责对服务中心设施设备、装修、日常工程维修、水电平衡进行综合性</w:t>
      </w:r>
    </w:p>
    <w:p w14:paraId="2B2995B8">
      <w:pPr>
        <w:keepNext w:val="0"/>
        <w:keepLines w:val="0"/>
        <w:pageBreakBefore w:val="0"/>
        <w:widowControl w:val="0"/>
        <w:kinsoku/>
        <w:wordWrap/>
        <w:overflowPunct/>
        <w:topLinePunct w:val="0"/>
        <w:autoSpaceDE/>
        <w:autoSpaceDN/>
        <w:bidi w:val="0"/>
        <w:adjustRightInd/>
        <w:snapToGrid/>
        <w:spacing w:line="360" w:lineRule="auto"/>
        <w:ind w:right="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监督管理，及时发现问题并汇报处理。</w:t>
      </w:r>
    </w:p>
    <w:p w14:paraId="49294210">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11、发生突发事件时，立即组织相关责任人员进行处理，按应急方案制定的措施执行。</w:t>
      </w:r>
    </w:p>
    <w:p w14:paraId="71FC6641">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12、负责制定服务中心年度培训计划，组织有关人员业务培训及职业安全教育，不断提高业务技术素质。</w:t>
      </w:r>
    </w:p>
    <w:p w14:paraId="0364B05A">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13、负责做好本服务中心人员的人事管理工作，负责所辖员工的入职材料提交、工作业绩考核、考勤管理、人员排班、加班情况及协调员工关系工作。</w:t>
      </w:r>
    </w:p>
    <w:p w14:paraId="2D696E21">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14、加强与业主、业主单位的沟通</w:t>
      </w:r>
      <w:r>
        <w:rPr>
          <w:rFonts w:hint="eastAsia" w:ascii="宋体" w:hAnsi="宋体" w:eastAsia="宋体" w:cs="宋体"/>
          <w:spacing w:val="0"/>
          <w:position w:val="0"/>
          <w:sz w:val="24"/>
          <w:szCs w:val="24"/>
          <w:lang w:eastAsia="zh-CN"/>
        </w:rPr>
        <w:t>，</w:t>
      </w:r>
      <w:r>
        <w:rPr>
          <w:rFonts w:ascii="宋体" w:hAnsi="宋体" w:eastAsia="宋体" w:cs="宋体"/>
          <w:spacing w:val="0"/>
          <w:position w:val="0"/>
          <w:sz w:val="24"/>
          <w:szCs w:val="24"/>
        </w:rPr>
        <w:t>了解需要，完善各项工作内容。在日常工作中，加强与业主</w:t>
      </w:r>
      <w:r>
        <w:rPr>
          <w:rFonts w:hint="eastAsia" w:ascii="宋体" w:hAnsi="宋体" w:eastAsia="宋体" w:cs="宋体"/>
          <w:spacing w:val="0"/>
          <w:position w:val="0"/>
          <w:sz w:val="24"/>
          <w:szCs w:val="24"/>
          <w:lang w:val="en-US" w:eastAsia="zh-CN"/>
        </w:rPr>
        <w:t>单位</w:t>
      </w:r>
      <w:r>
        <w:rPr>
          <w:rFonts w:ascii="宋体" w:hAnsi="宋体" w:eastAsia="宋体" w:cs="宋体"/>
          <w:spacing w:val="0"/>
          <w:position w:val="0"/>
          <w:sz w:val="24"/>
          <w:szCs w:val="24"/>
        </w:rPr>
        <w:t>的日常沟通，及时处理租户/业主需求及相关问题。</w:t>
      </w:r>
    </w:p>
    <w:p w14:paraId="300A88D0">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（八）收费员岗位职责</w:t>
      </w:r>
    </w:p>
    <w:p w14:paraId="0FAF2229">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1、负责日常收费工作并开具相关票据。</w:t>
      </w:r>
    </w:p>
    <w:p w14:paraId="5DDE9100">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2、负责登记收费日记账。</w:t>
      </w:r>
    </w:p>
    <w:p w14:paraId="003CF2AD">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3、负责填制现金上交传票。</w:t>
      </w:r>
    </w:p>
    <w:p w14:paraId="218B181A">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w:t>
      </w:r>
      <w:r>
        <w:rPr>
          <w:rFonts w:hint="eastAsia" w:ascii="宋体" w:hAnsi="宋体" w:eastAsia="宋体" w:cs="宋体"/>
          <w:spacing w:val="0"/>
          <w:position w:val="0"/>
          <w:sz w:val="24"/>
          <w:szCs w:val="24"/>
          <w:lang w:val="en-US" w:eastAsia="zh-CN"/>
        </w:rPr>
        <w:t>九</w:t>
      </w:r>
      <w:r>
        <w:rPr>
          <w:rFonts w:ascii="宋体" w:hAnsi="宋体" w:eastAsia="宋体" w:cs="宋体"/>
          <w:spacing w:val="0"/>
          <w:position w:val="0"/>
          <w:sz w:val="24"/>
          <w:szCs w:val="24"/>
        </w:rPr>
        <w:t>）工程技术员岗位职责</w:t>
      </w:r>
    </w:p>
    <w:p w14:paraId="007B06B5">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1、除完成日常维修任务外，有计划地承担其他工程任务。</w:t>
      </w:r>
    </w:p>
    <w:p w14:paraId="5DCAC4EF">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2、熟练地掌握小区水电设备的原理及实际操作与维修。</w:t>
      </w:r>
    </w:p>
    <w:p w14:paraId="7942D723">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3、制订所管辖设备的检修计划，按时按质按量地完成，并填好记录表格。</w:t>
      </w:r>
    </w:p>
    <w:p w14:paraId="672C92B0">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4、积极协助其他技术员的工作。</w:t>
      </w:r>
    </w:p>
    <w:p w14:paraId="4085D5A3">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5、严格执行设备管理制度，做好日夜班的交接班工作。</w:t>
      </w:r>
    </w:p>
    <w:p w14:paraId="58BBB9FF">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6、交班时发生故障</w:t>
      </w:r>
      <w:r>
        <w:rPr>
          <w:rFonts w:hint="eastAsia" w:ascii="宋体" w:hAnsi="宋体" w:eastAsia="宋体" w:cs="宋体"/>
          <w:spacing w:val="0"/>
          <w:position w:val="0"/>
          <w:sz w:val="24"/>
          <w:szCs w:val="24"/>
          <w:lang w:eastAsia="zh-CN"/>
        </w:rPr>
        <w:t>，</w:t>
      </w:r>
      <w:r>
        <w:rPr>
          <w:rFonts w:ascii="宋体" w:hAnsi="宋体" w:eastAsia="宋体" w:cs="宋体"/>
          <w:spacing w:val="0"/>
          <w:position w:val="0"/>
          <w:sz w:val="24"/>
          <w:szCs w:val="24"/>
        </w:rPr>
        <w:t>上一班必须协同下一班排除故障后才能下班，配电设备发生事故时不得离岗。</w:t>
      </w:r>
    </w:p>
    <w:p w14:paraId="37BEC194">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7、每月进行一次分管设备的维修保养工作。</w:t>
      </w:r>
    </w:p>
    <w:p w14:paraId="09A40F75">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ascii="宋体" w:hAnsi="宋体" w:eastAsia="宋体" w:cs="宋体"/>
          <w:spacing w:val="0"/>
          <w:position w:val="0"/>
          <w:sz w:val="24"/>
          <w:szCs w:val="24"/>
        </w:rPr>
        <w:t>8、搞好班内外清洁工作。</w:t>
      </w:r>
    </w:p>
    <w:p w14:paraId="41B9C3A4">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rPr>
      </w:pPr>
      <w:r>
        <w:rPr>
          <w:rFonts w:hint="eastAsia" w:ascii="宋体" w:hAnsi="宋体" w:cs="宋体"/>
          <w:spacing w:val="0"/>
          <w:position w:val="0"/>
          <w:sz w:val="24"/>
          <w:szCs w:val="24"/>
          <w:lang w:val="en-US" w:eastAsia="zh-CN"/>
          <w14:textOutline w14:w="4354" w14:cap="flat" w14:cmpd="sng">
            <w14:solidFill>
              <w14:srgbClr w14:val="000000"/>
            </w14:solidFill>
            <w14:prstDash w14:val="solid"/>
            <w14:miter w14:val="0"/>
          </w14:textOutline>
        </w:rPr>
        <w:t>(九)</w:t>
      </w:r>
      <w:r>
        <w:rPr>
          <w:rFonts w:ascii="宋体" w:hAnsi="宋体" w:eastAsia="宋体" w:cs="宋体"/>
          <w:spacing w:val="0"/>
          <w:position w:val="0"/>
          <w:sz w:val="24"/>
          <w:szCs w:val="24"/>
          <w14:textOutline w14:w="4354" w14:cap="flat" w14:cmpd="sng">
            <w14:solidFill>
              <w14:srgbClr w14:val="000000"/>
            </w14:solidFill>
            <w14:prstDash w14:val="solid"/>
            <w14:miter w14:val="0"/>
          </w14:textOutline>
        </w:rPr>
        <w:t>、物业服务的其它要求</w:t>
      </w:r>
    </w:p>
    <w:p w14:paraId="2CAE013B">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spacing w:val="0"/>
          <w:position w:val="0"/>
          <w:sz w:val="24"/>
          <w:szCs w:val="24"/>
          <w:highlight w:val="none"/>
        </w:rPr>
      </w:pPr>
      <w:r>
        <w:rPr>
          <w:rFonts w:hint="eastAsia" w:ascii="宋体" w:hAnsi="宋体" w:cs="宋体"/>
          <w:spacing w:val="0"/>
          <w:position w:val="0"/>
          <w:sz w:val="24"/>
          <w:szCs w:val="24"/>
          <w:highlight w:val="none"/>
          <w:lang w:val="en-US" w:eastAsia="zh-CN"/>
        </w:rPr>
        <w:t>1、</w:t>
      </w:r>
      <w:r>
        <w:rPr>
          <w:rFonts w:ascii="宋体" w:hAnsi="宋体" w:eastAsia="宋体" w:cs="宋体"/>
          <w:spacing w:val="0"/>
          <w:position w:val="0"/>
          <w:sz w:val="24"/>
          <w:szCs w:val="24"/>
          <w:highlight w:val="none"/>
        </w:rPr>
        <w:t>遵守住房保障管理部门的各项规章制度，包括政府部门出台的各项管理办法。</w:t>
      </w:r>
    </w:p>
    <w:p w14:paraId="328E523B">
      <w:pPr>
        <w:keepNext w:val="0"/>
        <w:keepLines w:val="0"/>
        <w:spacing w:line="360" w:lineRule="auto"/>
        <w:ind w:firstLine="480" w:firstLineChars="200"/>
        <w:jc w:val="left"/>
        <w:rPr>
          <w:rFonts w:ascii="宋体" w:hAnsi="宋体" w:eastAsia="宋体" w:cs="宋体"/>
          <w:spacing w:val="0"/>
          <w:position w:val="0"/>
          <w:sz w:val="24"/>
          <w:szCs w:val="24"/>
          <w:highlight w:val="none"/>
        </w:rPr>
      </w:pPr>
      <w:r>
        <w:rPr>
          <w:rFonts w:hint="eastAsia" w:ascii="宋体" w:hAnsi="宋体" w:cs="宋体"/>
          <w:spacing w:val="0"/>
          <w:position w:val="0"/>
          <w:sz w:val="24"/>
          <w:szCs w:val="24"/>
          <w:highlight w:val="none"/>
          <w:lang w:val="en-US" w:eastAsia="zh-CN"/>
        </w:rPr>
        <w:t>2、</w:t>
      </w:r>
      <w:r>
        <w:rPr>
          <w:rFonts w:ascii="宋体" w:hAnsi="宋体" w:eastAsia="宋体" w:cs="宋体"/>
          <w:spacing w:val="0"/>
          <w:position w:val="0"/>
          <w:sz w:val="24"/>
          <w:szCs w:val="24"/>
          <w:highlight w:val="none"/>
        </w:rPr>
        <w:t>按照各项规章制度及物业服务合同的约定，配合采购人做好各项应由物业服务公司负责的物业服务工作。</w:t>
      </w:r>
    </w:p>
    <w:p w14:paraId="65BDDE32">
      <w:pPr>
        <w:keepNext w:val="0"/>
        <w:keepLines w:val="0"/>
        <w:spacing w:line="360" w:lineRule="auto"/>
        <w:ind w:firstLine="480" w:firstLineChars="200"/>
        <w:jc w:val="left"/>
        <w:rPr>
          <w:rFonts w:hint="eastAsia" w:ascii="宋体" w:hAnsi="宋体" w:cs="宋体"/>
          <w:b w:val="0"/>
          <w:bCs w:val="0"/>
          <w:sz w:val="24"/>
          <w:szCs w:val="24"/>
          <w:highlight w:val="none"/>
          <w:lang w:eastAsia="zh-CN"/>
        </w:rPr>
      </w:pPr>
      <w:r>
        <w:rPr>
          <w:rFonts w:hint="eastAsia" w:ascii="宋体" w:hAnsi="宋体" w:cs="宋体"/>
          <w:b w:val="0"/>
          <w:bCs w:val="0"/>
          <w:color w:val="000000"/>
          <w:sz w:val="24"/>
          <w:szCs w:val="24"/>
          <w:highlight w:val="none"/>
          <w:lang w:val="en-US" w:eastAsia="zh-CN"/>
        </w:rPr>
        <w:t>3、</w:t>
      </w:r>
      <w:r>
        <w:rPr>
          <w:rFonts w:ascii="宋体" w:hAnsi="宋体" w:cs="宋体"/>
          <w:b w:val="0"/>
          <w:bCs w:val="0"/>
          <w:color w:val="000000"/>
          <w:sz w:val="24"/>
          <w:szCs w:val="24"/>
          <w:highlight w:val="none"/>
        </w:rPr>
        <w:t>配合主管部门进行房源的交接、验收工作，建立健全房屋档案，保证房屋正常使用功能</w:t>
      </w:r>
      <w:r>
        <w:rPr>
          <w:rFonts w:hint="eastAsia" w:ascii="宋体" w:hAnsi="宋体" w:cs="宋体"/>
          <w:b w:val="0"/>
          <w:bCs w:val="0"/>
          <w:sz w:val="24"/>
          <w:szCs w:val="24"/>
          <w:highlight w:val="none"/>
          <w:lang w:eastAsia="zh-CN"/>
        </w:rPr>
        <w:t>。</w:t>
      </w:r>
    </w:p>
    <w:p w14:paraId="1F68A089">
      <w:pPr>
        <w:keepNext w:val="0"/>
        <w:keepLines w:val="0"/>
        <w:spacing w:line="360" w:lineRule="auto"/>
        <w:ind w:firstLine="480" w:firstLineChars="200"/>
        <w:jc w:val="left"/>
        <w:rPr>
          <w:rFonts w:hint="eastAsia" w:ascii="宋体" w:hAnsi="宋体" w:cs="宋体"/>
          <w:b w:val="0"/>
          <w:bCs w:val="0"/>
          <w:sz w:val="24"/>
          <w:szCs w:val="24"/>
          <w:highlight w:val="none"/>
          <w:lang w:eastAsia="zh-CN"/>
        </w:rPr>
      </w:pPr>
      <w:r>
        <w:rPr>
          <w:rFonts w:hint="eastAsia" w:ascii="宋体" w:hAnsi="宋体" w:cs="宋体" w:eastAsiaTheme="minorEastAsia"/>
          <w:b w:val="0"/>
          <w:bCs w:val="0"/>
          <w:color w:val="000000"/>
          <w:sz w:val="24"/>
          <w:szCs w:val="24"/>
          <w:highlight w:val="none"/>
          <w:lang w:val="en-US" w:eastAsia="zh-CN"/>
        </w:rPr>
        <w:t>4、</w:t>
      </w:r>
      <w:r>
        <w:rPr>
          <w:rFonts w:ascii="宋体" w:hAnsi="宋体" w:cs="宋体" w:eastAsiaTheme="minorEastAsia"/>
          <w:b w:val="0"/>
          <w:bCs w:val="0"/>
          <w:color w:val="000000"/>
          <w:sz w:val="24"/>
          <w:szCs w:val="24"/>
          <w:highlight w:val="none"/>
        </w:rPr>
        <w:t>配合主管部门做好公租房年审、租赁合同变更、终止及房屋调换、续租等事项</w:t>
      </w:r>
      <w:r>
        <w:rPr>
          <w:rFonts w:hint="eastAsia" w:ascii="宋体" w:hAnsi="宋体" w:cs="宋体"/>
          <w:b w:val="0"/>
          <w:bCs w:val="0"/>
          <w:sz w:val="24"/>
          <w:szCs w:val="24"/>
          <w:highlight w:val="none"/>
          <w:lang w:eastAsia="zh-CN"/>
        </w:rPr>
        <w:t>。</w:t>
      </w:r>
    </w:p>
    <w:p w14:paraId="0C1BD5E5">
      <w:pPr>
        <w:spacing w:line="360" w:lineRule="auto"/>
        <w:ind w:firstLine="480" w:firstLineChars="200"/>
        <w:jc w:val="left"/>
        <w:rPr>
          <w:rFonts w:hint="eastAsia" w:ascii="宋体" w:hAnsi="宋体" w:cs="宋体" w:eastAsiaTheme="minorEastAsia"/>
          <w:b w:val="0"/>
          <w:bCs w:val="0"/>
          <w:sz w:val="24"/>
          <w:szCs w:val="24"/>
          <w:highlight w:val="none"/>
          <w:lang w:eastAsia="zh-CN"/>
        </w:rPr>
      </w:pPr>
      <w:r>
        <w:rPr>
          <w:rFonts w:hint="eastAsia" w:ascii="宋体" w:hAnsi="宋体" w:cs="宋体"/>
          <w:b w:val="0"/>
          <w:bCs w:val="0"/>
          <w:color w:val="auto"/>
          <w:sz w:val="24"/>
          <w:highlight w:val="none"/>
          <w:lang w:val="en-US" w:eastAsia="zh-CN"/>
        </w:rPr>
        <w:t>5、</w:t>
      </w:r>
      <w:r>
        <w:rPr>
          <w:rFonts w:hint="eastAsia" w:ascii="宋体" w:hAnsi="宋体" w:cs="宋体"/>
          <w:b w:val="0"/>
          <w:bCs w:val="0"/>
          <w:color w:val="auto"/>
          <w:sz w:val="24"/>
          <w:highlight w:val="none"/>
        </w:rPr>
        <w:t>配合主管部门做好公租房的分配工作。参与公租房配租选房的前期筹备</w:t>
      </w:r>
      <w:r>
        <w:rPr>
          <w:rFonts w:hint="eastAsia" w:ascii="宋体" w:hAnsi="宋体" w:cs="宋体" w:eastAsiaTheme="minorEastAsia"/>
          <w:b w:val="0"/>
          <w:bCs w:val="0"/>
          <w:sz w:val="24"/>
          <w:szCs w:val="24"/>
          <w:highlight w:val="none"/>
          <w:lang w:eastAsia="zh-CN"/>
        </w:rPr>
        <w:t>。</w:t>
      </w:r>
    </w:p>
    <w:p w14:paraId="6DB86CB2">
      <w:pPr>
        <w:spacing w:line="360" w:lineRule="auto"/>
        <w:ind w:firstLine="480" w:firstLineChars="200"/>
        <w:jc w:val="left"/>
        <w:rPr>
          <w:rFonts w:hint="eastAsia" w:ascii="宋体" w:hAnsi="宋体" w:cs="宋体"/>
          <w:sz w:val="24"/>
          <w:highlight w:val="none"/>
        </w:rPr>
      </w:pPr>
      <w:r>
        <w:rPr>
          <w:rFonts w:hint="eastAsia" w:ascii="宋体" w:hAnsi="宋体" w:cs="宋体"/>
          <w:color w:val="000000"/>
          <w:sz w:val="24"/>
          <w:highlight w:val="none"/>
          <w:lang w:val="en-US" w:eastAsia="zh-CN"/>
        </w:rPr>
        <w:t>6、</w:t>
      </w:r>
      <w:r>
        <w:rPr>
          <w:rFonts w:hint="eastAsia" w:ascii="宋体" w:hAnsi="宋体" w:cs="宋体"/>
          <w:color w:val="000000"/>
          <w:sz w:val="24"/>
          <w:highlight w:val="none"/>
        </w:rPr>
        <w:t>做好公租房纸质档案、电子档案的保存和管理工作。建立公租房租赁台帐和入户巡查制度，及时掌握承租人基本信息变化情况，监督承租人房屋使用行为，并按合同约定纠正、处理违约行为。</w:t>
      </w:r>
    </w:p>
    <w:p w14:paraId="28334401">
      <w:pPr>
        <w:spacing w:line="360" w:lineRule="auto"/>
        <w:ind w:firstLine="480" w:firstLineChars="200"/>
        <w:jc w:val="left"/>
        <w:rPr>
          <w:rFonts w:hint="default" w:ascii="宋体" w:hAnsi="宋体" w:cs="宋体"/>
          <w:sz w:val="24"/>
          <w:highlight w:val="none"/>
          <w:lang w:eastAsia="zh-CN"/>
        </w:rPr>
      </w:pPr>
      <w:r>
        <w:rPr>
          <w:rFonts w:hint="eastAsia" w:ascii="宋体" w:hAnsi="宋体" w:cs="宋体"/>
          <w:color w:val="000000"/>
          <w:sz w:val="24"/>
          <w:highlight w:val="none"/>
          <w:lang w:val="en-US" w:eastAsia="zh-CN"/>
        </w:rPr>
        <w:t>7、</w:t>
      </w:r>
      <w:r>
        <w:rPr>
          <w:rFonts w:hint="eastAsia" w:ascii="宋体" w:hAnsi="宋体" w:cs="宋体"/>
          <w:color w:val="000000"/>
          <w:sz w:val="24"/>
          <w:highlight w:val="none"/>
        </w:rPr>
        <w:t>做好公租房管理的协调。配合协调公安、卫健、城管、消防、供水、供电、供热、燃气、有线电视，物业服务企业等相关部门单位工作</w:t>
      </w:r>
      <w:r>
        <w:rPr>
          <w:rFonts w:hint="default" w:ascii="宋体" w:hAnsi="宋体" w:cs="宋体"/>
          <w:sz w:val="24"/>
          <w:highlight w:val="none"/>
          <w:lang w:eastAsia="zh-CN"/>
        </w:rPr>
        <w:t>。</w:t>
      </w:r>
    </w:p>
    <w:p w14:paraId="5D92A693">
      <w:pPr>
        <w:spacing w:line="360" w:lineRule="auto"/>
        <w:ind w:firstLine="480" w:firstLineChars="200"/>
        <w:jc w:val="left"/>
        <w:rPr>
          <w:rFonts w:hint="eastAsia" w:ascii="宋体" w:hAnsi="宋体" w:cs="宋体"/>
          <w:sz w:val="24"/>
          <w:highlight w:val="none"/>
        </w:rPr>
      </w:pPr>
      <w:r>
        <w:rPr>
          <w:rFonts w:hint="eastAsia" w:ascii="宋体" w:hAnsi="宋体" w:cs="宋体"/>
          <w:color w:val="000000"/>
          <w:sz w:val="24"/>
          <w:highlight w:val="none"/>
          <w:lang w:val="en-US" w:eastAsia="zh-CN"/>
        </w:rPr>
        <w:t>8、</w:t>
      </w:r>
      <w:r>
        <w:rPr>
          <w:rFonts w:ascii="宋体" w:hAnsi="宋体" w:cs="宋体"/>
          <w:color w:val="000000"/>
          <w:sz w:val="24"/>
          <w:highlight w:val="none"/>
        </w:rPr>
        <w:t>做好公租房承租户的日常管理工作，及时发现违法违规行为并采集证据上报。</w:t>
      </w:r>
    </w:p>
    <w:p w14:paraId="7B14951E">
      <w:pPr>
        <w:pStyle w:val="7"/>
        <w:rPr>
          <w:rFonts w:hint="eastAsia" w:hAnsi="宋体" w:eastAsia="宋体" w:cs="宋体"/>
          <w:b/>
          <w:bCs/>
          <w:color w:val="auto"/>
          <w:sz w:val="28"/>
          <w:szCs w:val="28"/>
          <w:lang w:val="en-US" w:eastAsia="zh-CN"/>
        </w:rPr>
      </w:pPr>
    </w:p>
    <w:p w14:paraId="1E883BBA">
      <w:pPr>
        <w:pStyle w:val="7"/>
        <w:rPr>
          <w:rFonts w:hint="eastAsia" w:hAnsi="宋体" w:eastAsia="宋体" w:cs="宋体"/>
          <w:b/>
          <w:bCs/>
          <w:color w:val="auto"/>
          <w:sz w:val="28"/>
          <w:szCs w:val="28"/>
          <w:lang w:val="en-US" w:eastAsia="zh-CN"/>
        </w:rPr>
      </w:pPr>
    </w:p>
    <w:p w14:paraId="7FCC083C">
      <w:pPr>
        <w:pStyle w:val="7"/>
        <w:rPr>
          <w:rFonts w:hint="eastAsia" w:ascii="宋体" w:hAnsi="宋体" w:eastAsia="宋体" w:cs="宋体"/>
          <w:b/>
          <w:bCs/>
          <w:color w:val="auto"/>
          <w:spacing w:val="-1"/>
          <w:sz w:val="28"/>
          <w:szCs w:val="28"/>
          <w:lang w:eastAsia="zh-CN"/>
        </w:rPr>
      </w:pPr>
      <w:r>
        <w:rPr>
          <w:rFonts w:hint="eastAsia" w:hAnsi="宋体" w:eastAsia="宋体" w:cs="宋体"/>
          <w:b/>
          <w:bCs/>
          <w:color w:val="auto"/>
          <w:sz w:val="28"/>
          <w:szCs w:val="28"/>
          <w:lang w:val="en-US" w:eastAsia="zh-CN"/>
        </w:rPr>
        <w:t>附件三：考核标准</w:t>
      </w:r>
    </w:p>
    <w:tbl>
      <w:tblPr>
        <w:tblStyle w:val="9"/>
        <w:tblW w:w="995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3"/>
        <w:gridCol w:w="4"/>
        <w:gridCol w:w="3182"/>
        <w:gridCol w:w="885"/>
        <w:gridCol w:w="5150"/>
      </w:tblGrid>
      <w:tr w14:paraId="3138DF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575" w:hRule="atLeast"/>
          <w:jc w:val="center"/>
        </w:trPr>
        <w:tc>
          <w:tcPr>
            <w:tcW w:w="733" w:type="dxa"/>
            <w:tcBorders>
              <w:bottom w:val="single" w:color="000000" w:sz="8" w:space="0"/>
              <w:right w:val="single" w:color="000000" w:sz="4" w:space="0"/>
            </w:tcBorders>
            <w:shd w:val="clear" w:color="auto" w:fill="auto"/>
            <w:vAlign w:val="center"/>
          </w:tcPr>
          <w:p w14:paraId="01E787A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序号</w:t>
            </w:r>
          </w:p>
        </w:tc>
        <w:tc>
          <w:tcPr>
            <w:tcW w:w="3186" w:type="dxa"/>
            <w:gridSpan w:val="2"/>
            <w:tcBorders>
              <w:left w:val="single" w:color="000000" w:sz="4" w:space="0"/>
              <w:bottom w:val="single" w:color="000000" w:sz="8" w:space="0"/>
              <w:right w:val="single" w:color="000000" w:sz="4" w:space="0"/>
            </w:tcBorders>
            <w:shd w:val="clear" w:color="auto" w:fill="auto"/>
            <w:vAlign w:val="center"/>
          </w:tcPr>
          <w:p w14:paraId="10E5331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评分内容</w:t>
            </w:r>
          </w:p>
        </w:tc>
        <w:tc>
          <w:tcPr>
            <w:tcW w:w="885" w:type="dxa"/>
            <w:tcBorders>
              <w:left w:val="single" w:color="000000" w:sz="4" w:space="0"/>
              <w:bottom w:val="single" w:color="000000" w:sz="8" w:space="0"/>
              <w:right w:val="single" w:color="000000" w:sz="4" w:space="0"/>
            </w:tcBorders>
            <w:shd w:val="clear" w:color="auto" w:fill="auto"/>
            <w:vAlign w:val="center"/>
          </w:tcPr>
          <w:p w14:paraId="7BF2E36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规定</w:t>
            </w:r>
          </w:p>
          <w:p w14:paraId="25DDE55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分值</w:t>
            </w:r>
          </w:p>
        </w:tc>
        <w:tc>
          <w:tcPr>
            <w:tcW w:w="5150" w:type="dxa"/>
            <w:tcBorders>
              <w:left w:val="single" w:color="000000" w:sz="4" w:space="0"/>
              <w:bottom w:val="single" w:color="000000" w:sz="8" w:space="0"/>
            </w:tcBorders>
            <w:shd w:val="clear" w:color="auto" w:fill="auto"/>
            <w:vAlign w:val="center"/>
          </w:tcPr>
          <w:p w14:paraId="30716AD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评分标准</w:t>
            </w:r>
          </w:p>
        </w:tc>
      </w:tr>
      <w:tr w14:paraId="1DA67C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733" w:type="dxa"/>
            <w:tcBorders>
              <w:top w:val="single" w:color="000000" w:sz="8" w:space="0"/>
              <w:bottom w:val="single" w:color="000000" w:sz="8" w:space="0"/>
              <w:right w:val="single" w:color="000000" w:sz="4" w:space="0"/>
            </w:tcBorders>
            <w:shd w:val="clear" w:color="auto" w:fill="auto"/>
            <w:vAlign w:val="center"/>
          </w:tcPr>
          <w:p w14:paraId="23546E2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w:t>
            </w:r>
          </w:p>
        </w:tc>
        <w:tc>
          <w:tcPr>
            <w:tcW w:w="3186" w:type="dxa"/>
            <w:gridSpan w:val="2"/>
            <w:tcBorders>
              <w:top w:val="single" w:color="000000" w:sz="8" w:space="0"/>
              <w:left w:val="single" w:color="000000" w:sz="4" w:space="0"/>
              <w:bottom w:val="single" w:color="000000" w:sz="8" w:space="0"/>
              <w:right w:val="single" w:color="000000" w:sz="4" w:space="0"/>
            </w:tcBorders>
            <w:shd w:val="clear" w:color="auto" w:fill="auto"/>
            <w:vAlign w:val="center"/>
          </w:tcPr>
          <w:p w14:paraId="39743DB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综合管理</w:t>
            </w:r>
          </w:p>
        </w:tc>
        <w:tc>
          <w:tcPr>
            <w:tcW w:w="885" w:type="dxa"/>
            <w:tcBorders>
              <w:top w:val="single" w:color="000000" w:sz="8" w:space="0"/>
              <w:left w:val="single" w:color="000000" w:sz="4" w:space="0"/>
              <w:bottom w:val="single" w:color="000000" w:sz="8" w:space="0"/>
              <w:right w:val="single" w:color="000000" w:sz="4" w:space="0"/>
            </w:tcBorders>
            <w:shd w:val="clear" w:color="auto" w:fill="auto"/>
            <w:vAlign w:val="center"/>
          </w:tcPr>
          <w:p w14:paraId="6FD0B2E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35分</w:t>
            </w:r>
          </w:p>
        </w:tc>
        <w:tc>
          <w:tcPr>
            <w:tcW w:w="5150" w:type="dxa"/>
            <w:tcBorders>
              <w:top w:val="single" w:color="000000" w:sz="8" w:space="0"/>
              <w:left w:val="single" w:color="000000" w:sz="4" w:space="0"/>
              <w:bottom w:val="single" w:color="000000" w:sz="8" w:space="0"/>
            </w:tcBorders>
            <w:shd w:val="clear" w:color="auto" w:fill="auto"/>
            <w:vAlign w:val="center"/>
          </w:tcPr>
          <w:p w14:paraId="0BB85180">
            <w:pPr>
              <w:keepNext w:val="0"/>
              <w:keepLines w:val="0"/>
              <w:pageBreakBefore w:val="0"/>
              <w:kinsoku/>
              <w:wordWrap/>
              <w:overflowPunct/>
              <w:topLinePunct w:val="0"/>
              <w:autoSpaceDE/>
              <w:autoSpaceDN/>
              <w:bidi w:val="0"/>
              <w:adjustRightInd/>
              <w:snapToGrid/>
              <w:spacing w:line="360" w:lineRule="exact"/>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r>
      <w:tr w14:paraId="21303D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85" w:hRule="atLeast"/>
          <w:jc w:val="center"/>
        </w:trPr>
        <w:tc>
          <w:tcPr>
            <w:tcW w:w="733" w:type="dxa"/>
            <w:vMerge w:val="restart"/>
            <w:tcBorders>
              <w:top w:val="single" w:color="000000" w:sz="8" w:space="0"/>
              <w:right w:val="single" w:color="000000" w:sz="4" w:space="0"/>
            </w:tcBorders>
            <w:shd w:val="clear" w:color="auto" w:fill="auto"/>
            <w:vAlign w:val="center"/>
          </w:tcPr>
          <w:p w14:paraId="2E0EF8A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p>
        </w:tc>
        <w:tc>
          <w:tcPr>
            <w:tcW w:w="3186" w:type="dxa"/>
            <w:gridSpan w:val="2"/>
            <w:tcBorders>
              <w:top w:val="single" w:color="000000" w:sz="8" w:space="0"/>
              <w:left w:val="single" w:color="000000" w:sz="4" w:space="0"/>
              <w:bottom w:val="single" w:color="000000" w:sz="8" w:space="0"/>
              <w:right w:val="single" w:color="000000" w:sz="4" w:space="0"/>
            </w:tcBorders>
            <w:shd w:val="clear" w:color="auto" w:fill="auto"/>
            <w:vAlign w:val="center"/>
          </w:tcPr>
          <w:p w14:paraId="6389E44D">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（一）项目资料管理</w:t>
            </w:r>
          </w:p>
        </w:tc>
        <w:tc>
          <w:tcPr>
            <w:tcW w:w="885" w:type="dxa"/>
            <w:tcBorders>
              <w:top w:val="single" w:color="000000" w:sz="8" w:space="0"/>
              <w:left w:val="single" w:color="000000" w:sz="4" w:space="0"/>
              <w:bottom w:val="single" w:color="000000" w:sz="8" w:space="0"/>
              <w:right w:val="single" w:color="000000" w:sz="4" w:space="0"/>
            </w:tcBorders>
            <w:shd w:val="clear" w:color="auto" w:fill="auto"/>
            <w:vAlign w:val="center"/>
          </w:tcPr>
          <w:p w14:paraId="457854B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4</w:t>
            </w:r>
          </w:p>
        </w:tc>
        <w:tc>
          <w:tcPr>
            <w:tcW w:w="5150" w:type="dxa"/>
            <w:tcBorders>
              <w:top w:val="single" w:color="000000" w:sz="8" w:space="0"/>
              <w:left w:val="single" w:color="000000" w:sz="4" w:space="0"/>
              <w:bottom w:val="single" w:color="000000" w:sz="8" w:space="0"/>
            </w:tcBorders>
            <w:shd w:val="clear" w:color="auto" w:fill="auto"/>
            <w:vAlign w:val="center"/>
          </w:tcPr>
          <w:p w14:paraId="36B55B8B">
            <w:pPr>
              <w:keepNext w:val="0"/>
              <w:keepLines w:val="0"/>
              <w:pageBreakBefore w:val="0"/>
              <w:numPr>
                <w:ilvl w:val="0"/>
                <w:numId w:val="4"/>
              </w:numPr>
              <w:kinsoku/>
              <w:wordWrap/>
              <w:overflowPunct/>
              <w:topLinePunct w:val="0"/>
              <w:autoSpaceDE/>
              <w:autoSpaceDN/>
              <w:bidi w:val="0"/>
              <w:adjustRightInd/>
              <w:snapToGrid/>
              <w:spacing w:line="360" w:lineRule="exact"/>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业主基本信息资料完整；</w:t>
            </w:r>
          </w:p>
          <w:p w14:paraId="52B566AF">
            <w:pPr>
              <w:keepNext w:val="0"/>
              <w:keepLines w:val="0"/>
              <w:pageBreakBefore w:val="0"/>
              <w:numPr>
                <w:ilvl w:val="0"/>
                <w:numId w:val="4"/>
              </w:numPr>
              <w:kinsoku/>
              <w:wordWrap/>
              <w:overflowPunct/>
              <w:topLinePunct w:val="0"/>
              <w:autoSpaceDE/>
              <w:autoSpaceDN/>
              <w:bidi w:val="0"/>
              <w:adjustRightInd/>
              <w:snapToGrid/>
              <w:spacing w:line="360" w:lineRule="exact"/>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建立房屋及共用部位、共用设施设备图纸档案完整；</w:t>
            </w:r>
          </w:p>
          <w:p w14:paraId="0C991060">
            <w:pPr>
              <w:keepNext w:val="0"/>
              <w:keepLines w:val="0"/>
              <w:pageBreakBefore w:val="0"/>
              <w:numPr>
                <w:ilvl w:val="0"/>
                <w:numId w:val="4"/>
              </w:numPr>
              <w:kinsoku/>
              <w:wordWrap/>
              <w:overflowPunct/>
              <w:topLinePunct w:val="0"/>
              <w:autoSpaceDE/>
              <w:autoSpaceDN/>
              <w:bidi w:val="0"/>
              <w:adjustRightInd/>
              <w:snapToGrid/>
              <w:spacing w:line="360" w:lineRule="exact"/>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历年各类物业</w:t>
            </w:r>
            <w:r>
              <w:rPr>
                <w:rFonts w:hint="eastAsia" w:ascii="宋体" w:hAnsi="宋体" w:eastAsia="宋体" w:cs="宋体"/>
                <w:b w:val="0"/>
                <w:bCs w:val="0"/>
                <w:color w:val="000000" w:themeColor="text1"/>
                <w:kern w:val="0"/>
                <w:sz w:val="28"/>
                <w:szCs w:val="28"/>
                <w:highlight w:val="none"/>
                <w14:textFill>
                  <w14:solidFill>
                    <w14:schemeClr w14:val="tx1"/>
                  </w14:solidFill>
                </w14:textFill>
              </w:rPr>
              <w:t>服务档案资料</w:t>
            </w:r>
            <w:r>
              <w:rPr>
                <w:rFonts w:hint="eastAsia" w:ascii="宋体" w:hAnsi="宋体" w:eastAsia="宋体" w:cs="宋体"/>
                <w:b w:val="0"/>
                <w:bCs w:val="0"/>
                <w:color w:val="000000" w:themeColor="text1"/>
                <w:kern w:val="0"/>
                <w:sz w:val="28"/>
                <w:szCs w:val="28"/>
                <w:highlight w:val="none"/>
                <w:lang w:val="en-US" w:eastAsia="zh-CN"/>
                <w14:textFill>
                  <w14:solidFill>
                    <w14:schemeClr w14:val="tx1"/>
                  </w14:solidFill>
                </w14:textFill>
              </w:rPr>
              <w:t>整理</w:t>
            </w:r>
            <w:r>
              <w:rPr>
                <w:rFonts w:hint="eastAsia" w:ascii="宋体" w:hAnsi="宋体" w:eastAsia="宋体" w:cs="宋体"/>
                <w:b w:val="0"/>
                <w:bCs w:val="0"/>
                <w:color w:val="000000" w:themeColor="text1"/>
                <w:kern w:val="0"/>
                <w:sz w:val="28"/>
                <w:szCs w:val="28"/>
                <w:highlight w:val="none"/>
                <w14:textFill>
                  <w14:solidFill>
                    <w14:schemeClr w14:val="tx1"/>
                  </w14:solidFill>
                </w14:textFill>
              </w:rPr>
              <w:t>完整</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w:t>
            </w:r>
            <w:r>
              <w:rPr>
                <w:rFonts w:hint="eastAsia" w:ascii="宋体" w:hAnsi="宋体" w:eastAsia="宋体" w:cs="宋体"/>
                <w:b w:val="0"/>
                <w:bCs w:val="0"/>
                <w:color w:val="000000" w:themeColor="text1"/>
                <w:sz w:val="28"/>
                <w:szCs w:val="28"/>
                <w:highlight w:val="none"/>
                <w14:textFill>
                  <w14:solidFill>
                    <w14:schemeClr w14:val="tx1"/>
                  </w14:solidFill>
                </w14:textFill>
              </w:rPr>
              <w:t>分类合理</w:t>
            </w:r>
            <w:r>
              <w:rPr>
                <w:rFonts w:hint="eastAsia" w:ascii="宋体" w:hAnsi="宋体" w:eastAsia="宋体" w:cs="宋体"/>
                <w:b w:val="0"/>
                <w:bCs w:val="0"/>
                <w:color w:val="000000" w:themeColor="text1"/>
                <w:kern w:val="0"/>
                <w:sz w:val="28"/>
                <w:szCs w:val="28"/>
                <w:highlight w:val="none"/>
                <w14:textFill>
                  <w14:solidFill>
                    <w14:schemeClr w14:val="tx1"/>
                  </w14:solidFill>
                </w14:textFill>
              </w:rPr>
              <w:t>，</w:t>
            </w:r>
            <w:r>
              <w:rPr>
                <w:rFonts w:hint="eastAsia" w:ascii="宋体" w:hAnsi="宋体" w:eastAsia="宋体" w:cs="宋体"/>
                <w:b w:val="0"/>
                <w:bCs w:val="0"/>
                <w:color w:val="000000" w:themeColor="text1"/>
                <w:sz w:val="28"/>
                <w:szCs w:val="28"/>
                <w:highlight w:val="none"/>
                <w14:textFill>
                  <w14:solidFill>
                    <w14:schemeClr w14:val="tx1"/>
                  </w14:solidFill>
                </w14:textFill>
              </w:rPr>
              <w:t>并按规范</w:t>
            </w:r>
            <w:r>
              <w:rPr>
                <w:rFonts w:hint="eastAsia" w:ascii="宋体" w:hAnsi="宋体" w:eastAsia="宋体" w:cs="宋体"/>
                <w:b w:val="0"/>
                <w:bCs w:val="0"/>
                <w:color w:val="000000" w:themeColor="text1"/>
                <w:sz w:val="28"/>
                <w:szCs w:val="28"/>
                <w:highlight w:val="none"/>
                <w:lang w:val="en-US" w:eastAsia="zh-CN"/>
                <w14:textFill>
                  <w14:solidFill>
                    <w14:schemeClr w14:val="tx1"/>
                  </w14:solidFill>
                </w14:textFill>
              </w:rPr>
              <w:t>存放</w:t>
            </w:r>
            <w:r>
              <w:rPr>
                <w:rFonts w:hint="eastAsia" w:ascii="宋体" w:hAnsi="宋体" w:eastAsia="宋体" w:cs="宋体"/>
                <w:b w:val="0"/>
                <w:bCs w:val="0"/>
                <w:color w:val="000000" w:themeColor="text1"/>
                <w:sz w:val="28"/>
                <w:szCs w:val="28"/>
                <w:highlight w:val="none"/>
                <w:lang w:eastAsia="zh-CN"/>
                <w14:textFill>
                  <w14:solidFill>
                    <w14:schemeClr w14:val="tx1"/>
                  </w14:solidFill>
                </w14:textFill>
              </w:rPr>
              <w:t>；</w:t>
            </w:r>
          </w:p>
          <w:p w14:paraId="2B09552F">
            <w:pPr>
              <w:keepNext w:val="0"/>
              <w:keepLines w:val="0"/>
              <w:pageBreakBefore w:val="0"/>
              <w:numPr>
                <w:ilvl w:val="0"/>
                <w:numId w:val="4"/>
              </w:numPr>
              <w:kinsoku/>
              <w:wordWrap/>
              <w:overflowPunct/>
              <w:topLinePunct w:val="0"/>
              <w:autoSpaceDE/>
              <w:autoSpaceDN/>
              <w:bidi w:val="0"/>
              <w:adjustRightInd/>
              <w:snapToGrid/>
              <w:spacing w:line="360" w:lineRule="exact"/>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档案资料存放规范，有标识，建立目录簿，查阅方便；</w:t>
            </w:r>
          </w:p>
          <w:p w14:paraId="441C0A8E">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一项不符合扣1分。</w:t>
            </w:r>
          </w:p>
        </w:tc>
      </w:tr>
      <w:tr w14:paraId="589D34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32" w:hRule="atLeast"/>
          <w:jc w:val="center"/>
        </w:trPr>
        <w:tc>
          <w:tcPr>
            <w:tcW w:w="733" w:type="dxa"/>
            <w:vMerge w:val="continue"/>
            <w:tcBorders>
              <w:right w:val="single" w:color="000000" w:sz="4" w:space="0"/>
            </w:tcBorders>
            <w:shd w:val="clear" w:color="auto" w:fill="auto"/>
            <w:vAlign w:val="center"/>
          </w:tcPr>
          <w:p w14:paraId="192E7E06">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8" w:space="0"/>
              <w:left w:val="single" w:color="000000" w:sz="4" w:space="0"/>
              <w:bottom w:val="single" w:color="000000" w:sz="4" w:space="0"/>
              <w:right w:val="single" w:color="000000" w:sz="4" w:space="0"/>
            </w:tcBorders>
            <w:shd w:val="clear" w:color="auto" w:fill="auto"/>
            <w:vAlign w:val="center"/>
          </w:tcPr>
          <w:p w14:paraId="06CE963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（二）日常工作管理</w:t>
            </w:r>
          </w:p>
        </w:tc>
        <w:tc>
          <w:tcPr>
            <w:tcW w:w="885" w:type="dxa"/>
            <w:tcBorders>
              <w:top w:val="single" w:color="000000" w:sz="8" w:space="0"/>
              <w:left w:val="single" w:color="000000" w:sz="4" w:space="0"/>
              <w:bottom w:val="single" w:color="000000" w:sz="4" w:space="0"/>
              <w:right w:val="single" w:color="000000" w:sz="4" w:space="0"/>
            </w:tcBorders>
            <w:shd w:val="clear" w:color="auto" w:fill="auto"/>
            <w:vAlign w:val="center"/>
          </w:tcPr>
          <w:p w14:paraId="73DC0B4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8"/>
                <w:szCs w:val="28"/>
                <w:highlight w:val="none"/>
                <w:u w:val="none"/>
                <w:lang w:val="en-US" w:eastAsia="zh-CN"/>
                <w14:textFill>
                  <w14:solidFill>
                    <w14:schemeClr w14:val="tx1"/>
                  </w14:solidFill>
                </w14:textFill>
              </w:rPr>
              <w:t>5</w:t>
            </w:r>
          </w:p>
        </w:tc>
        <w:tc>
          <w:tcPr>
            <w:tcW w:w="5150" w:type="dxa"/>
            <w:tcBorders>
              <w:top w:val="single" w:color="000000" w:sz="8" w:space="0"/>
              <w:left w:val="single" w:color="000000" w:sz="4" w:space="0"/>
              <w:bottom w:val="single" w:color="000000" w:sz="4" w:space="0"/>
            </w:tcBorders>
            <w:shd w:val="clear" w:color="auto" w:fill="auto"/>
            <w:vAlign w:val="center"/>
          </w:tcPr>
          <w:p w14:paraId="10E4F601">
            <w:pPr>
              <w:keepNext w:val="0"/>
              <w:keepLines w:val="0"/>
              <w:pageBreakBefore w:val="0"/>
              <w:widowControl/>
              <w:numPr>
                <w:ilvl w:val="0"/>
                <w:numId w:val="5"/>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每月项目工作例会召开，照片和会议纪要存档齐全；</w:t>
            </w:r>
          </w:p>
          <w:p w14:paraId="7EEB2F90">
            <w:pPr>
              <w:keepNext w:val="0"/>
              <w:keepLines w:val="0"/>
              <w:pageBreakBefore w:val="0"/>
              <w:widowControl/>
              <w:numPr>
                <w:ilvl w:val="0"/>
                <w:numId w:val="5"/>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每日工作相片分类存档于工作电脑（如定期消杀、保安巡逻、日常维修等）；</w:t>
            </w:r>
          </w:p>
          <w:p w14:paraId="4D9AADDD">
            <w:pPr>
              <w:keepNext w:val="0"/>
              <w:keepLines w:val="0"/>
              <w:pageBreakBefore w:val="0"/>
              <w:widowControl/>
              <w:numPr>
                <w:ilvl w:val="0"/>
                <w:numId w:val="5"/>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项目固定资产管理规范并设有台账；</w:t>
            </w:r>
          </w:p>
          <w:p w14:paraId="2DCAC275">
            <w:pPr>
              <w:keepNext w:val="0"/>
              <w:keepLines w:val="0"/>
              <w:pageBreakBefore w:val="0"/>
              <w:kinsoku/>
              <w:wordWrap/>
              <w:overflowPunct/>
              <w:topLinePunct w:val="0"/>
              <w:autoSpaceDE/>
              <w:autoSpaceDN/>
              <w:bidi w:val="0"/>
              <w:adjustRightInd/>
              <w:snapToGrid/>
              <w:spacing w:line="360" w:lineRule="exac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4、收费员能熟练操作物业管理软件，熟悉收费流程及注意事项；</w:t>
            </w:r>
          </w:p>
          <w:p w14:paraId="0E757B05">
            <w:pPr>
              <w:keepNext w:val="0"/>
              <w:keepLines w:val="0"/>
              <w:pageBreakBefore w:val="0"/>
              <w:kinsoku/>
              <w:wordWrap/>
              <w:overflowPunct/>
              <w:topLinePunct w:val="0"/>
              <w:autoSpaceDE/>
              <w:autoSpaceDN/>
              <w:bidi w:val="0"/>
              <w:adjustRightInd/>
              <w:snapToGrid/>
              <w:spacing w:line="360" w:lineRule="exac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r>
              <w:rPr>
                <w:rFonts w:hint="eastAsia" w:ascii="宋体" w:hAnsi="宋体" w:eastAsia="宋体" w:cs="宋体"/>
                <w:b w:val="0"/>
                <w:bCs w:val="0"/>
                <w:color w:val="auto"/>
                <w:sz w:val="28"/>
                <w:szCs w:val="28"/>
                <w:vertAlign w:val="baseline"/>
                <w:lang w:val="en-US" w:eastAsia="zh-CN"/>
              </w:rPr>
              <w:t>物业服务收费、成本开支管理规范，记录</w:t>
            </w:r>
            <w:r>
              <w:rPr>
                <w:rFonts w:hint="eastAsia" w:ascii="宋体" w:hAnsi="宋体" w:eastAsia="宋体" w:cs="宋体"/>
                <w:color w:val="auto"/>
                <w:sz w:val="28"/>
                <w:szCs w:val="28"/>
              </w:rPr>
              <w:t>清晰</w:t>
            </w:r>
            <w:r>
              <w:rPr>
                <w:rFonts w:hint="eastAsia" w:ascii="宋体" w:hAnsi="宋体" w:eastAsia="宋体" w:cs="宋体"/>
                <w:color w:val="auto"/>
                <w:sz w:val="28"/>
                <w:szCs w:val="28"/>
                <w:lang w:eastAsia="zh-CN"/>
              </w:rPr>
              <w:t>完整。</w:t>
            </w:r>
          </w:p>
          <w:p w14:paraId="11E9E3E8">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一项不符合扣1分。</w:t>
            </w:r>
          </w:p>
        </w:tc>
      </w:tr>
      <w:tr w14:paraId="0F90D4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37" w:hRule="atLeast"/>
          <w:jc w:val="center"/>
        </w:trPr>
        <w:tc>
          <w:tcPr>
            <w:tcW w:w="733" w:type="dxa"/>
            <w:vMerge w:val="continue"/>
            <w:tcBorders>
              <w:right w:val="single" w:color="000000" w:sz="4" w:space="0"/>
            </w:tcBorders>
            <w:shd w:val="clear" w:color="auto" w:fill="auto"/>
            <w:vAlign w:val="center"/>
          </w:tcPr>
          <w:p w14:paraId="1AD8343B">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29388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（三）客户服务管理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10B5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8"/>
                <w:szCs w:val="28"/>
                <w:highlight w:val="none"/>
                <w:u w:val="none"/>
                <w:lang w:val="en-US" w:eastAsia="zh-CN"/>
                <w14:textFill>
                  <w14:solidFill>
                    <w14:schemeClr w14:val="tx1"/>
                  </w14:solidFill>
                </w14:textFill>
              </w:rPr>
              <w:t>4</w:t>
            </w:r>
          </w:p>
        </w:tc>
        <w:tc>
          <w:tcPr>
            <w:tcW w:w="5150" w:type="dxa"/>
            <w:tcBorders>
              <w:top w:val="single" w:color="000000" w:sz="4" w:space="0"/>
              <w:left w:val="single" w:color="000000" w:sz="4" w:space="0"/>
              <w:bottom w:val="single" w:color="000000" w:sz="4" w:space="0"/>
            </w:tcBorders>
            <w:shd w:val="clear" w:color="auto" w:fill="auto"/>
            <w:vAlign w:val="center"/>
          </w:tcPr>
          <w:p w14:paraId="290E5CCA">
            <w:pPr>
              <w:keepNext w:val="0"/>
              <w:keepLines w:val="0"/>
              <w:pageBreakBefore w:val="0"/>
              <w:numPr>
                <w:ilvl w:val="0"/>
                <w:numId w:val="6"/>
              </w:numPr>
              <w:kinsoku/>
              <w:wordWrap/>
              <w:overflowPunct/>
              <w:topLinePunct w:val="0"/>
              <w:autoSpaceDE/>
              <w:autoSpaceDN/>
              <w:bidi w:val="0"/>
              <w:adjustRightInd/>
              <w:snapToGrid/>
              <w:spacing w:line="360" w:lineRule="exact"/>
              <w:ind w:left="0" w:leftChars="0" w:firstLine="0" w:firstLineChars="0"/>
              <w:rPr>
                <w:rFonts w:hint="eastAsia" w:ascii="宋体" w:hAnsi="宋体" w:eastAsia="宋体" w:cs="宋体"/>
                <w:b w:val="0"/>
                <w:bCs w:val="0"/>
                <w:color w:val="000000" w:themeColor="text1"/>
                <w:kern w:val="0"/>
                <w:sz w:val="28"/>
                <w:szCs w:val="28"/>
                <w:highlight w:val="none"/>
                <w14:textFill>
                  <w14:solidFill>
                    <w14:schemeClr w14:val="tx1"/>
                  </w14:solidFill>
                </w14:textFill>
              </w:rPr>
            </w:pPr>
            <w:r>
              <w:rPr>
                <w:rFonts w:hint="eastAsia" w:ascii="宋体" w:hAnsi="宋体" w:eastAsia="宋体" w:cs="宋体"/>
                <w:b w:val="0"/>
                <w:bCs w:val="0"/>
                <w:color w:val="000000" w:themeColor="text1"/>
                <w:kern w:val="0"/>
                <w:sz w:val="28"/>
                <w:szCs w:val="28"/>
                <w:highlight w:val="none"/>
                <w14:textFill>
                  <w14:solidFill>
                    <w14:schemeClr w14:val="tx1"/>
                  </w14:solidFill>
                </w14:textFill>
              </w:rPr>
              <w:t>客户</w:t>
            </w: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来电来访</w:t>
            </w:r>
            <w:r>
              <w:rPr>
                <w:rFonts w:hint="eastAsia" w:ascii="宋体" w:hAnsi="宋体" w:eastAsia="宋体" w:cs="宋体"/>
                <w:b w:val="0"/>
                <w:bCs w:val="0"/>
                <w:color w:val="000000" w:themeColor="text1"/>
                <w:kern w:val="0"/>
                <w:sz w:val="28"/>
                <w:szCs w:val="28"/>
                <w:highlight w:val="none"/>
                <w14:textFill>
                  <w14:solidFill>
                    <w14:schemeClr w14:val="tx1"/>
                  </w14:solidFill>
                </w14:textFill>
              </w:rPr>
              <w:t>投诉、报修、建议等信息</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登记及</w:t>
            </w:r>
            <w:r>
              <w:rPr>
                <w:rFonts w:hint="eastAsia" w:ascii="宋体" w:hAnsi="宋体" w:eastAsia="宋体" w:cs="宋体"/>
                <w:b w:val="0"/>
                <w:bCs w:val="0"/>
                <w:color w:val="000000" w:themeColor="text1"/>
                <w:kern w:val="0"/>
                <w:sz w:val="28"/>
                <w:szCs w:val="28"/>
                <w:highlight w:val="none"/>
                <w14:textFill>
                  <w14:solidFill>
                    <w14:schemeClr w14:val="tx1"/>
                  </w14:solidFill>
                </w14:textFill>
              </w:rPr>
              <w:t>处理记录完整</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w:t>
            </w:r>
          </w:p>
          <w:p w14:paraId="42F2F69F">
            <w:pPr>
              <w:keepNext w:val="0"/>
              <w:keepLines w:val="0"/>
              <w:pageBreakBefore w:val="0"/>
              <w:numPr>
                <w:ilvl w:val="0"/>
                <w:numId w:val="6"/>
              </w:numPr>
              <w:kinsoku/>
              <w:wordWrap/>
              <w:overflowPunct/>
              <w:topLinePunct w:val="0"/>
              <w:autoSpaceDE/>
              <w:autoSpaceDN/>
              <w:bidi w:val="0"/>
              <w:adjustRightInd/>
              <w:snapToGrid/>
              <w:spacing w:line="360" w:lineRule="exact"/>
              <w:ind w:left="0" w:leftChars="0" w:firstLine="0" w:firstLineChars="0"/>
              <w:rPr>
                <w:rFonts w:hint="eastAsia" w:ascii="宋体" w:hAnsi="宋体" w:eastAsia="宋体" w:cs="宋体"/>
                <w:b w:val="0"/>
                <w:bCs w:val="0"/>
                <w:color w:val="000000" w:themeColor="text1"/>
                <w:kern w:val="0"/>
                <w:sz w:val="28"/>
                <w:szCs w:val="28"/>
                <w:highlight w:val="none"/>
                <w14:textFill>
                  <w14:solidFill>
                    <w14:schemeClr w14:val="tx1"/>
                  </w14:solidFill>
                </w14:textFill>
              </w:rPr>
            </w:pPr>
            <w:r>
              <w:rPr>
                <w:rFonts w:hint="eastAsia" w:ascii="宋体" w:hAnsi="宋体" w:eastAsia="宋体" w:cs="宋体"/>
                <w:b w:val="0"/>
                <w:bCs w:val="0"/>
                <w:color w:val="000000" w:themeColor="text1"/>
                <w:kern w:val="0"/>
                <w:sz w:val="28"/>
                <w:szCs w:val="28"/>
                <w:highlight w:val="none"/>
                <w14:textFill>
                  <w14:solidFill>
                    <w14:schemeClr w14:val="tx1"/>
                  </w14:solidFill>
                </w14:textFill>
              </w:rPr>
              <w:t>投诉处理及时率100%</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w:t>
            </w:r>
            <w:r>
              <w:rPr>
                <w:rFonts w:hint="eastAsia" w:ascii="宋体" w:hAnsi="宋体" w:eastAsia="宋体" w:cs="宋体"/>
                <w:b w:val="0"/>
                <w:bCs w:val="0"/>
                <w:color w:val="000000" w:themeColor="text1"/>
                <w:kern w:val="0"/>
                <w:sz w:val="28"/>
                <w:szCs w:val="28"/>
                <w:highlight w:val="none"/>
                <w14:textFill>
                  <w14:solidFill>
                    <w14:schemeClr w14:val="tx1"/>
                  </w14:solidFill>
                </w14:textFill>
              </w:rPr>
              <w:t>有客户回访记录</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w:t>
            </w:r>
          </w:p>
          <w:p w14:paraId="0888489B">
            <w:pPr>
              <w:keepNext w:val="0"/>
              <w:keepLines w:val="0"/>
              <w:pageBreakBefore w:val="0"/>
              <w:numPr>
                <w:ilvl w:val="0"/>
                <w:numId w:val="6"/>
              </w:numPr>
              <w:kinsoku/>
              <w:wordWrap/>
              <w:overflowPunct/>
              <w:topLinePunct w:val="0"/>
              <w:autoSpaceDE/>
              <w:autoSpaceDN/>
              <w:bidi w:val="0"/>
              <w:adjustRightInd/>
              <w:snapToGrid/>
              <w:spacing w:line="360" w:lineRule="exact"/>
              <w:ind w:left="0" w:leftChars="0" w:firstLine="0" w:firstLineChars="0"/>
              <w:rPr>
                <w:rFonts w:hint="eastAsia" w:ascii="宋体" w:hAnsi="宋体" w:eastAsia="宋体" w:cs="宋体"/>
                <w:b w:val="0"/>
                <w:bCs w:val="0"/>
                <w:color w:val="000000" w:themeColor="text1"/>
                <w:kern w:val="0"/>
                <w:sz w:val="28"/>
                <w:szCs w:val="28"/>
                <w:highlight w:val="none"/>
                <w14:textFill>
                  <w14:solidFill>
                    <w14:schemeClr w14:val="tx1"/>
                  </w14:solidFill>
                </w14:textFill>
              </w:rPr>
            </w:pP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每月费用催缴记录，有电话、微信或上门贴单等记录；</w:t>
            </w:r>
          </w:p>
          <w:p w14:paraId="535C090B">
            <w:pPr>
              <w:keepNext w:val="0"/>
              <w:keepLines w:val="0"/>
              <w:pageBreakBefore w:val="0"/>
              <w:widowControl/>
              <w:numPr>
                <w:ilvl w:val="0"/>
                <w:numId w:val="6"/>
              </w:numPr>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项目负责人熟悉项目各类应收费用情况（询问方式考核）</w:t>
            </w:r>
          </w:p>
          <w:p w14:paraId="57B71781">
            <w:pPr>
              <w:keepNext w:val="0"/>
              <w:keepLines w:val="0"/>
              <w:pageBreakBefore w:val="0"/>
              <w:widowControl/>
              <w:numPr>
                <w:ilvl w:val="0"/>
                <w:numId w:val="6"/>
              </w:numPr>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sz w:val="28"/>
                <w:szCs w:val="28"/>
                <w:lang w:val="en-US" w:eastAsia="zh-CN"/>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物业服务中心干净整洁，无乱堆乱发，办公设备无积尘。</w:t>
            </w:r>
          </w:p>
          <w:p w14:paraId="210C66E4">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leftChars="0"/>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第1、2项不符扣0.5分，第3-5项不符扣1分。</w:t>
            </w:r>
          </w:p>
        </w:tc>
      </w:tr>
      <w:tr w14:paraId="08280A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733" w:type="dxa"/>
            <w:vMerge w:val="continue"/>
            <w:tcBorders>
              <w:right w:val="single" w:color="000000" w:sz="4" w:space="0"/>
            </w:tcBorders>
            <w:shd w:val="clear" w:color="auto" w:fill="auto"/>
            <w:vAlign w:val="center"/>
          </w:tcPr>
          <w:p w14:paraId="5D509FFD">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306A0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（四）员工培训及企业形象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C194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8"/>
                <w:szCs w:val="28"/>
                <w:highlight w:val="none"/>
                <w:u w:val="none"/>
                <w:lang w:val="en-US" w:eastAsia="zh-CN"/>
                <w14:textFill>
                  <w14:solidFill>
                    <w14:schemeClr w14:val="tx1"/>
                  </w14:solidFill>
                </w14:textFill>
              </w:rPr>
              <w:t>4</w:t>
            </w:r>
          </w:p>
        </w:tc>
        <w:tc>
          <w:tcPr>
            <w:tcW w:w="5150" w:type="dxa"/>
            <w:tcBorders>
              <w:top w:val="single" w:color="000000" w:sz="4" w:space="0"/>
              <w:left w:val="single" w:color="000000" w:sz="4" w:space="0"/>
              <w:bottom w:val="single" w:color="000000" w:sz="4" w:space="0"/>
            </w:tcBorders>
            <w:shd w:val="clear" w:color="auto" w:fill="auto"/>
            <w:vAlign w:val="center"/>
          </w:tcPr>
          <w:p w14:paraId="0E2F43B8">
            <w:pPr>
              <w:keepNext w:val="0"/>
              <w:keepLines w:val="0"/>
              <w:pageBreakBefore w:val="0"/>
              <w:widowControl/>
              <w:numPr>
                <w:ilvl w:val="0"/>
                <w:numId w:val="7"/>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auto"/>
                <w:kern w:val="0"/>
                <w:sz w:val="28"/>
                <w:szCs w:val="28"/>
                <w:highlight w:val="none"/>
                <w:u w:val="none"/>
                <w:lang w:val="en-US" w:eastAsia="zh-CN" w:bidi="ar"/>
              </w:rPr>
            </w:pPr>
            <w:r>
              <w:rPr>
                <w:rFonts w:hint="eastAsia" w:ascii="宋体" w:hAnsi="宋体" w:eastAsia="宋体" w:cs="宋体"/>
                <w:i w:val="0"/>
                <w:iCs w:val="0"/>
                <w:color w:val="auto"/>
                <w:kern w:val="0"/>
                <w:sz w:val="28"/>
                <w:szCs w:val="28"/>
                <w:highlight w:val="none"/>
                <w:u w:val="none"/>
                <w:lang w:val="en-US" w:eastAsia="zh-CN" w:bidi="ar"/>
              </w:rPr>
              <w:t>按职务穿着工作服、佩戴公司标志牌或衣冠穿戴整齐；</w:t>
            </w:r>
          </w:p>
          <w:p w14:paraId="44F50956">
            <w:pPr>
              <w:keepNext w:val="0"/>
              <w:keepLines w:val="0"/>
              <w:pageBreakBefore w:val="0"/>
              <w:widowControl/>
              <w:numPr>
                <w:ilvl w:val="0"/>
                <w:numId w:val="7"/>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auto"/>
                <w:kern w:val="0"/>
                <w:sz w:val="28"/>
                <w:szCs w:val="28"/>
                <w:highlight w:val="none"/>
                <w:u w:val="none"/>
                <w:lang w:val="en-US" w:eastAsia="zh-CN" w:bidi="ar"/>
              </w:rPr>
            </w:pPr>
            <w:r>
              <w:rPr>
                <w:rFonts w:hint="eastAsia" w:ascii="宋体" w:hAnsi="宋体" w:eastAsia="宋体" w:cs="宋体"/>
                <w:i w:val="0"/>
                <w:iCs w:val="0"/>
                <w:color w:val="auto"/>
                <w:kern w:val="0"/>
                <w:sz w:val="28"/>
                <w:szCs w:val="28"/>
                <w:highlight w:val="none"/>
                <w:u w:val="none"/>
                <w:lang w:val="en-US" w:eastAsia="zh-CN" w:bidi="ar"/>
              </w:rPr>
              <w:t>服务人员态度热情耐心，举止文明礼貌，解答问题及时准确；</w:t>
            </w:r>
          </w:p>
          <w:p w14:paraId="1154D5E8">
            <w:pPr>
              <w:keepNext w:val="0"/>
              <w:keepLines w:val="0"/>
              <w:pageBreakBefore w:val="0"/>
              <w:kinsoku/>
              <w:wordWrap/>
              <w:overflowPunct/>
              <w:topLinePunct w:val="0"/>
              <w:autoSpaceDE/>
              <w:autoSpaceDN/>
              <w:bidi w:val="0"/>
              <w:adjustRightInd/>
              <w:snapToGrid/>
              <w:spacing w:line="360" w:lineRule="exact"/>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从业人员或者涉及人身安全的作业人</w:t>
            </w:r>
            <w:r>
              <w:rPr>
                <w:rFonts w:hint="eastAsia" w:ascii="宋体" w:hAnsi="宋体" w:eastAsia="宋体" w:cs="宋体"/>
                <w:b w:val="0"/>
                <w:bCs w:val="0"/>
                <w:color w:val="auto"/>
                <w:sz w:val="28"/>
                <w:szCs w:val="28"/>
              </w:rPr>
              <w:t>员</w:t>
            </w:r>
            <w:r>
              <w:rPr>
                <w:rFonts w:hint="eastAsia" w:ascii="宋体" w:hAnsi="宋体" w:eastAsia="宋体" w:cs="宋体"/>
                <w:b w:val="0"/>
                <w:bCs w:val="0"/>
                <w:color w:val="auto"/>
                <w:sz w:val="28"/>
                <w:szCs w:val="28"/>
                <w:lang w:eastAsia="zh-CN"/>
              </w:rPr>
              <w:t>是否</w:t>
            </w:r>
            <w:r>
              <w:rPr>
                <w:rFonts w:hint="eastAsia" w:ascii="宋体" w:hAnsi="宋体" w:eastAsia="宋体" w:cs="宋体"/>
                <w:color w:val="auto"/>
                <w:sz w:val="28"/>
                <w:szCs w:val="28"/>
              </w:rPr>
              <w:t>按照国家有关规定取得相应资格证书或岗位证书</w:t>
            </w:r>
            <w:r>
              <w:rPr>
                <w:rFonts w:hint="eastAsia" w:ascii="宋体" w:hAnsi="宋体" w:eastAsia="宋体" w:cs="宋体"/>
                <w:color w:val="auto"/>
                <w:sz w:val="28"/>
                <w:szCs w:val="28"/>
                <w:lang w:eastAsia="zh-CN"/>
              </w:rPr>
              <w:t>并设有台账；</w:t>
            </w:r>
          </w:p>
          <w:p w14:paraId="102623DF">
            <w:pPr>
              <w:keepNext w:val="0"/>
              <w:keepLines w:val="0"/>
              <w:pageBreakBefore w:val="0"/>
              <w:kinsoku/>
              <w:wordWrap/>
              <w:overflowPunct/>
              <w:topLinePunct w:val="0"/>
              <w:autoSpaceDE/>
              <w:autoSpaceDN/>
              <w:bidi w:val="0"/>
              <w:adjustRightInd/>
              <w:snapToGrid/>
              <w:spacing w:line="360" w:lineRule="exac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r>
              <w:rPr>
                <w:rFonts w:hint="eastAsia" w:ascii="宋体" w:hAnsi="宋体" w:eastAsia="宋体" w:cs="宋体"/>
                <w:i w:val="0"/>
                <w:iCs w:val="0"/>
                <w:color w:val="auto"/>
                <w:kern w:val="0"/>
                <w:sz w:val="28"/>
                <w:szCs w:val="28"/>
                <w:u w:val="none"/>
                <w:lang w:val="en-US" w:eastAsia="zh-CN" w:bidi="ar"/>
              </w:rPr>
              <w:t>定期完成员工专业技能培训任务，并有图文记录。</w:t>
            </w:r>
          </w:p>
          <w:p w14:paraId="015DA0B0">
            <w:pPr>
              <w:keepNext w:val="0"/>
              <w:keepLines w:val="0"/>
              <w:pageBreakBefore w:val="0"/>
              <w:kinsoku/>
              <w:wordWrap/>
              <w:overflowPunct/>
              <w:topLinePunct w:val="0"/>
              <w:autoSpaceDE/>
              <w:autoSpaceDN/>
              <w:bidi w:val="0"/>
              <w:adjustRightInd/>
              <w:snapToGrid/>
              <w:spacing w:line="360" w:lineRule="exact"/>
              <w:rPr>
                <w:rFonts w:hint="eastAsia" w:ascii="宋体" w:hAnsi="宋体" w:eastAsia="宋体" w:cs="宋体"/>
                <w:color w:val="000000" w:themeColor="text1"/>
                <w:sz w:val="28"/>
                <w:szCs w:val="28"/>
                <w:highlight w:val="none"/>
                <w:lang w:val="en-US"/>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一项不符合扣1分。</w:t>
            </w:r>
          </w:p>
        </w:tc>
      </w:tr>
      <w:tr w14:paraId="72BD69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40" w:hRule="atLeast"/>
          <w:jc w:val="center"/>
        </w:trPr>
        <w:tc>
          <w:tcPr>
            <w:tcW w:w="733" w:type="dxa"/>
            <w:vMerge w:val="continue"/>
            <w:tcBorders>
              <w:right w:val="single" w:color="000000" w:sz="4" w:space="0"/>
            </w:tcBorders>
            <w:shd w:val="clear" w:color="auto" w:fill="auto"/>
            <w:vAlign w:val="center"/>
          </w:tcPr>
          <w:p w14:paraId="76370A42">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B599A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（五）精神文明建设</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0854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4</w:t>
            </w:r>
          </w:p>
        </w:tc>
        <w:tc>
          <w:tcPr>
            <w:tcW w:w="5150" w:type="dxa"/>
            <w:tcBorders>
              <w:top w:val="single" w:color="000000" w:sz="4" w:space="0"/>
              <w:left w:val="single" w:color="000000" w:sz="4" w:space="0"/>
              <w:bottom w:val="single" w:color="000000" w:sz="4" w:space="0"/>
            </w:tcBorders>
            <w:shd w:val="clear" w:color="auto" w:fill="auto"/>
            <w:vAlign w:val="center"/>
          </w:tcPr>
          <w:p w14:paraId="148A09E7">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val="0"/>
                <w:bCs w:val="0"/>
                <w:color w:val="000000" w:themeColor="text1"/>
                <w:kern w:val="0"/>
                <w:sz w:val="28"/>
                <w:szCs w:val="28"/>
                <w:highlight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1、</w:t>
            </w:r>
            <w:r>
              <w:rPr>
                <w:rFonts w:hint="eastAsia" w:ascii="宋体" w:hAnsi="宋体" w:eastAsia="宋体" w:cs="宋体"/>
                <w:b w:val="0"/>
                <w:bCs w:val="0"/>
                <w:color w:val="000000" w:themeColor="text1"/>
                <w:kern w:val="0"/>
                <w:sz w:val="28"/>
                <w:szCs w:val="28"/>
                <w:highlight w:val="none"/>
                <w14:textFill>
                  <w14:solidFill>
                    <w14:schemeClr w14:val="tx1"/>
                  </w14:solidFill>
                </w14:textFill>
              </w:rPr>
              <w:t>每年组织开展</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一</w:t>
            </w:r>
            <w:r>
              <w:rPr>
                <w:rFonts w:hint="eastAsia" w:ascii="宋体" w:hAnsi="宋体" w:eastAsia="宋体" w:cs="宋体"/>
                <w:b w:val="0"/>
                <w:bCs w:val="0"/>
                <w:color w:val="000000" w:themeColor="text1"/>
                <w:kern w:val="0"/>
                <w:sz w:val="28"/>
                <w:szCs w:val="28"/>
                <w:highlight w:val="none"/>
                <w14:textFill>
                  <w14:solidFill>
                    <w14:schemeClr w14:val="tx1"/>
                  </w14:solidFill>
                </w14:textFill>
              </w:rPr>
              <w:t>次以上</w:t>
            </w:r>
            <w:r>
              <w:rPr>
                <w:rFonts w:hint="eastAsia" w:ascii="宋体" w:hAnsi="宋体" w:eastAsia="宋体" w:cs="宋体"/>
                <w:b w:val="0"/>
                <w:bCs w:val="0"/>
                <w:color w:val="000000" w:themeColor="text1"/>
                <w:kern w:val="0"/>
                <w:sz w:val="28"/>
                <w:szCs w:val="28"/>
                <w:highlight w:val="none"/>
                <w:lang w:val="en-US" w:eastAsia="zh-CN"/>
                <w14:textFill>
                  <w14:solidFill>
                    <w14:schemeClr w14:val="tx1"/>
                  </w14:solidFill>
                </w14:textFill>
              </w:rPr>
              <w:t>有业主参与的辖</w:t>
            </w:r>
            <w:r>
              <w:rPr>
                <w:rFonts w:hint="eastAsia" w:ascii="宋体" w:hAnsi="宋体" w:eastAsia="宋体" w:cs="宋体"/>
                <w:b w:val="0"/>
                <w:bCs w:val="0"/>
                <w:color w:val="000000" w:themeColor="text1"/>
                <w:kern w:val="0"/>
                <w:sz w:val="28"/>
                <w:szCs w:val="28"/>
                <w:highlight w:val="none"/>
                <w14:textFill>
                  <w14:solidFill>
                    <w14:schemeClr w14:val="tx1"/>
                  </w14:solidFill>
                </w14:textFill>
              </w:rPr>
              <w:t>区文体活动，活动有照片或影像</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记录</w:t>
            </w:r>
            <w:r>
              <w:rPr>
                <w:rFonts w:hint="eastAsia" w:ascii="宋体" w:hAnsi="宋体" w:eastAsia="宋体" w:cs="宋体"/>
                <w:b w:val="0"/>
                <w:bCs w:val="0"/>
                <w:color w:val="000000" w:themeColor="text1"/>
                <w:kern w:val="0"/>
                <w:sz w:val="28"/>
                <w:szCs w:val="28"/>
                <w:highlight w:val="none"/>
                <w14:textFill>
                  <w14:solidFill>
                    <w14:schemeClr w14:val="tx1"/>
                  </w14:solidFill>
                </w14:textFill>
              </w:rPr>
              <w:t>；</w:t>
            </w:r>
          </w:p>
          <w:p w14:paraId="571E006C">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lang w:val="en-US"/>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一项不符扣4分</w:t>
            </w:r>
          </w:p>
        </w:tc>
      </w:tr>
      <w:tr w14:paraId="1C58C3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80" w:hRule="atLeast"/>
          <w:jc w:val="center"/>
        </w:trPr>
        <w:tc>
          <w:tcPr>
            <w:tcW w:w="733" w:type="dxa"/>
            <w:vMerge w:val="continue"/>
            <w:tcBorders>
              <w:right w:val="single" w:color="000000" w:sz="4" w:space="0"/>
            </w:tcBorders>
            <w:shd w:val="clear" w:color="auto" w:fill="auto"/>
            <w:vAlign w:val="center"/>
          </w:tcPr>
          <w:p w14:paraId="64B76A5C">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4" w:space="0"/>
              <w:left w:val="single" w:color="000000" w:sz="4" w:space="0"/>
              <w:bottom w:val="single" w:color="000000" w:sz="8" w:space="0"/>
              <w:right w:val="single" w:color="000000" w:sz="4" w:space="0"/>
            </w:tcBorders>
            <w:shd w:val="clear" w:color="auto" w:fill="auto"/>
            <w:vAlign w:val="center"/>
          </w:tcPr>
          <w:p w14:paraId="7B8A785E">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（六）突发时间应急机制</w:t>
            </w:r>
          </w:p>
        </w:tc>
        <w:tc>
          <w:tcPr>
            <w:tcW w:w="88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2EF285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5</w:t>
            </w:r>
          </w:p>
        </w:tc>
        <w:tc>
          <w:tcPr>
            <w:tcW w:w="5150" w:type="dxa"/>
            <w:tcBorders>
              <w:top w:val="single" w:color="000000" w:sz="4" w:space="0"/>
              <w:left w:val="single" w:color="000000" w:sz="4" w:space="0"/>
              <w:bottom w:val="single" w:color="000000" w:sz="8" w:space="0"/>
            </w:tcBorders>
            <w:shd w:val="clear" w:color="auto" w:fill="auto"/>
            <w:vAlign w:val="center"/>
          </w:tcPr>
          <w:p w14:paraId="25373DAF">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1、消防、电梯、给排水、供配电等共用设施设备事故应急预案；</w:t>
            </w:r>
          </w:p>
          <w:p w14:paraId="6B1A3694">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2、自然灾害、公共卫生、治安、交通等方面突发事件的配合性应急预案；</w:t>
            </w:r>
          </w:p>
          <w:p w14:paraId="72F41E0C">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3、每半年进行一次预案演习，演习有记录，相片或视频齐全；</w:t>
            </w:r>
          </w:p>
          <w:p w14:paraId="2246EC28">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4、现场随机抽查某项应急预案（相关人员口述预案实施过程）。</w:t>
            </w:r>
          </w:p>
          <w:p w14:paraId="1280CE23">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第1、2项不符扣0.5分，第3、4项不符扣2分。</w:t>
            </w:r>
          </w:p>
        </w:tc>
      </w:tr>
      <w:tr w14:paraId="462224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41" w:hRule="atLeast"/>
          <w:jc w:val="center"/>
        </w:trPr>
        <w:tc>
          <w:tcPr>
            <w:tcW w:w="733" w:type="dxa"/>
            <w:vMerge w:val="continue"/>
            <w:tcBorders>
              <w:right w:val="single" w:color="000000" w:sz="4" w:space="0"/>
            </w:tcBorders>
            <w:shd w:val="clear" w:color="auto" w:fill="auto"/>
            <w:vAlign w:val="center"/>
          </w:tcPr>
          <w:p w14:paraId="4B9B3062">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4" w:space="0"/>
              <w:left w:val="single" w:color="000000" w:sz="4" w:space="0"/>
              <w:bottom w:val="single" w:color="000000" w:sz="8" w:space="0"/>
              <w:right w:val="single" w:color="000000" w:sz="4" w:space="0"/>
            </w:tcBorders>
            <w:shd w:val="clear" w:color="auto" w:fill="auto"/>
            <w:vAlign w:val="center"/>
          </w:tcPr>
          <w:p w14:paraId="083E509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（七）服务环境及公示</w:t>
            </w:r>
          </w:p>
        </w:tc>
        <w:tc>
          <w:tcPr>
            <w:tcW w:w="88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230AEA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5</w:t>
            </w:r>
          </w:p>
        </w:tc>
        <w:tc>
          <w:tcPr>
            <w:tcW w:w="5150" w:type="dxa"/>
            <w:tcBorders>
              <w:top w:val="single" w:color="000000" w:sz="4" w:space="0"/>
              <w:left w:val="single" w:color="000000" w:sz="4" w:space="0"/>
              <w:bottom w:val="single" w:color="000000" w:sz="8" w:space="0"/>
            </w:tcBorders>
            <w:shd w:val="clear" w:color="auto" w:fill="auto"/>
            <w:vAlign w:val="center"/>
          </w:tcPr>
          <w:p w14:paraId="590F22E3">
            <w:pPr>
              <w:keepNext w:val="0"/>
              <w:keepLines w:val="0"/>
              <w:pageBreakBefore w:val="0"/>
              <w:widowControl/>
              <w:numPr>
                <w:ilvl w:val="0"/>
                <w:numId w:val="8"/>
              </w:numPr>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rPr>
              <w:t>设置物业服务管务公开栏及其他宣传栏</w:t>
            </w:r>
            <w:r>
              <w:rPr>
                <w:rFonts w:hint="eastAsia" w:ascii="宋体" w:hAnsi="宋体" w:eastAsia="宋体" w:cs="宋体"/>
                <w:color w:val="auto"/>
                <w:sz w:val="28"/>
                <w:szCs w:val="28"/>
                <w:lang w:eastAsia="zh-CN"/>
              </w:rPr>
              <w:t>；</w:t>
            </w:r>
          </w:p>
          <w:p w14:paraId="5F5C510A">
            <w:pPr>
              <w:keepNext w:val="0"/>
              <w:keepLines w:val="0"/>
              <w:pageBreakBefore w:val="0"/>
              <w:widowControl/>
              <w:numPr>
                <w:ilvl w:val="0"/>
                <w:numId w:val="8"/>
              </w:numPr>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color w:val="auto"/>
                <w:sz w:val="28"/>
                <w:szCs w:val="28"/>
                <w:lang w:eastAsia="zh-CN"/>
              </w:rPr>
            </w:pPr>
            <w:r>
              <w:rPr>
                <w:rFonts w:hint="eastAsia" w:ascii="宋体" w:hAnsi="宋体" w:eastAsia="宋体" w:cs="宋体"/>
                <w:i w:val="0"/>
                <w:iCs w:val="0"/>
                <w:color w:val="auto"/>
                <w:kern w:val="0"/>
                <w:sz w:val="28"/>
                <w:szCs w:val="28"/>
                <w:highlight w:val="none"/>
                <w:u w:val="none"/>
                <w:lang w:val="en-US" w:eastAsia="zh-CN" w:bidi="ar"/>
              </w:rPr>
              <w:t>相关场所设有</w:t>
            </w:r>
            <w:r>
              <w:rPr>
                <w:rFonts w:hint="eastAsia" w:ascii="宋体" w:hAnsi="宋体" w:eastAsia="宋体" w:cs="宋体"/>
                <w:color w:val="auto"/>
                <w:sz w:val="28"/>
                <w:szCs w:val="28"/>
              </w:rPr>
              <w:t>提示标识、安全警示标识、</w:t>
            </w:r>
            <w:r>
              <w:rPr>
                <w:rFonts w:hint="eastAsia" w:ascii="宋体" w:hAnsi="宋体" w:eastAsia="宋体" w:cs="宋体"/>
                <w:i w:val="0"/>
                <w:iCs w:val="0"/>
                <w:color w:val="auto"/>
                <w:kern w:val="0"/>
                <w:sz w:val="28"/>
                <w:szCs w:val="28"/>
                <w:highlight w:val="none"/>
                <w:u w:val="none"/>
                <w:lang w:val="en-US" w:eastAsia="zh-CN" w:bidi="ar"/>
              </w:rPr>
              <w:t>环境提示、</w:t>
            </w:r>
            <w:r>
              <w:rPr>
                <w:rFonts w:hint="eastAsia" w:ascii="宋体" w:hAnsi="宋体" w:eastAsia="宋体" w:cs="宋体"/>
                <w:color w:val="auto"/>
                <w:sz w:val="28"/>
                <w:szCs w:val="28"/>
              </w:rPr>
              <w:t>禁止标识、消防标志及</w:t>
            </w:r>
            <w:r>
              <w:rPr>
                <w:rFonts w:hint="eastAsia" w:ascii="宋体" w:hAnsi="宋体" w:eastAsia="宋体" w:cs="宋体"/>
                <w:color w:val="auto"/>
                <w:sz w:val="28"/>
                <w:szCs w:val="28"/>
                <w:lang w:eastAsia="zh-CN"/>
              </w:rPr>
              <w:t>安全</w:t>
            </w:r>
            <w:r>
              <w:rPr>
                <w:rFonts w:hint="eastAsia" w:ascii="宋体" w:hAnsi="宋体" w:eastAsia="宋体" w:cs="宋体"/>
                <w:color w:val="auto"/>
                <w:sz w:val="28"/>
                <w:szCs w:val="28"/>
              </w:rPr>
              <w:t>交通导向标志</w:t>
            </w:r>
            <w:r>
              <w:rPr>
                <w:rFonts w:hint="eastAsia" w:ascii="宋体" w:hAnsi="宋体" w:eastAsia="宋体" w:cs="宋体"/>
                <w:i w:val="0"/>
                <w:iCs w:val="0"/>
                <w:color w:val="auto"/>
                <w:kern w:val="0"/>
                <w:sz w:val="28"/>
                <w:szCs w:val="28"/>
                <w:highlight w:val="none"/>
                <w:u w:val="none"/>
                <w:lang w:val="en-US" w:eastAsia="zh-CN" w:bidi="ar"/>
              </w:rPr>
              <w:t>等警示标识；</w:t>
            </w:r>
          </w:p>
          <w:p w14:paraId="6C614BBB">
            <w:pPr>
              <w:keepNext w:val="0"/>
              <w:keepLines w:val="0"/>
              <w:pageBreakBefore w:val="0"/>
              <w:widowControl/>
              <w:numPr>
                <w:ilvl w:val="0"/>
                <w:numId w:val="8"/>
              </w:numPr>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rPr>
              <w:t>公示</w:t>
            </w:r>
            <w:r>
              <w:rPr>
                <w:rFonts w:hint="eastAsia" w:ascii="宋体" w:hAnsi="宋体" w:eastAsia="宋体" w:cs="宋体"/>
                <w:color w:val="auto"/>
                <w:sz w:val="28"/>
                <w:szCs w:val="28"/>
                <w:lang w:eastAsia="zh-CN"/>
              </w:rPr>
              <w:t>并</w:t>
            </w:r>
            <w:r>
              <w:rPr>
                <w:rFonts w:hint="eastAsia" w:ascii="宋体" w:hAnsi="宋体" w:eastAsia="宋体" w:cs="宋体"/>
                <w:color w:val="auto"/>
                <w:sz w:val="28"/>
                <w:szCs w:val="28"/>
              </w:rPr>
              <w:t>及时更新物业服务标准、收费项目、收费标准</w:t>
            </w:r>
            <w:r>
              <w:rPr>
                <w:rFonts w:hint="eastAsia" w:ascii="宋体" w:hAnsi="宋体" w:eastAsia="宋体" w:cs="宋体"/>
                <w:color w:val="auto"/>
                <w:sz w:val="28"/>
                <w:szCs w:val="28"/>
                <w:lang w:eastAsia="zh-CN"/>
              </w:rPr>
              <w:t>、主要管理人员信息；</w:t>
            </w:r>
          </w:p>
          <w:p w14:paraId="4787881F">
            <w:pPr>
              <w:keepNext w:val="0"/>
              <w:keepLines w:val="0"/>
              <w:pageBreakBefore w:val="0"/>
              <w:widowControl/>
              <w:numPr>
                <w:ilvl w:val="0"/>
                <w:numId w:val="8"/>
              </w:numPr>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8"/>
                <w:szCs w:val="28"/>
                <w:highlight w:val="none"/>
                <w:u w:val="none"/>
                <w:lang w:val="en-US" w:eastAsia="zh-CN" w:bidi="ar"/>
              </w:rPr>
            </w:pPr>
            <w:r>
              <w:rPr>
                <w:rFonts w:hint="eastAsia" w:ascii="宋体" w:hAnsi="宋体" w:eastAsia="宋体" w:cs="宋体"/>
                <w:color w:val="auto"/>
                <w:sz w:val="28"/>
                <w:szCs w:val="28"/>
                <w:lang w:eastAsia="zh-CN"/>
              </w:rPr>
              <w:t>明显位置</w:t>
            </w:r>
            <w:r>
              <w:rPr>
                <w:rFonts w:hint="eastAsia" w:ascii="宋体" w:hAnsi="宋体" w:eastAsia="宋体" w:cs="宋体"/>
                <w:color w:val="auto"/>
                <w:sz w:val="28"/>
                <w:szCs w:val="28"/>
              </w:rPr>
              <w:t>公布24小时服务电话及投诉电话</w:t>
            </w:r>
            <w:r>
              <w:rPr>
                <w:rFonts w:hint="eastAsia" w:ascii="宋体" w:hAnsi="宋体" w:eastAsia="宋体" w:cs="宋体"/>
                <w:color w:val="auto"/>
                <w:sz w:val="28"/>
                <w:szCs w:val="28"/>
                <w:lang w:eastAsia="zh-CN"/>
              </w:rPr>
              <w:t>，并保存畅通。</w:t>
            </w:r>
          </w:p>
          <w:p w14:paraId="30F79EEB">
            <w:pPr>
              <w:keepNext w:val="0"/>
              <w:keepLines w:val="0"/>
              <w:pageBreakBefore w:val="0"/>
              <w:widowControl/>
              <w:numPr>
                <w:ilvl w:val="0"/>
                <w:numId w:val="8"/>
              </w:numPr>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8"/>
                <w:szCs w:val="28"/>
                <w:highlight w:val="none"/>
                <w:u w:val="none"/>
                <w:lang w:val="en-US" w:eastAsia="zh-CN" w:bidi="ar"/>
              </w:rPr>
            </w:pPr>
            <w:r>
              <w:rPr>
                <w:rFonts w:hint="eastAsia" w:ascii="宋体" w:hAnsi="宋体" w:eastAsia="宋体" w:cs="宋体"/>
                <w:color w:val="auto"/>
                <w:sz w:val="28"/>
                <w:szCs w:val="28"/>
                <w:lang w:eastAsia="zh-CN"/>
              </w:rPr>
              <w:t>公示</w:t>
            </w:r>
            <w:r>
              <w:rPr>
                <w:rFonts w:hint="eastAsia" w:ascii="宋体" w:hAnsi="宋体" w:eastAsia="宋体" w:cs="宋体"/>
                <w:color w:val="auto"/>
                <w:sz w:val="28"/>
                <w:szCs w:val="28"/>
              </w:rPr>
              <w:t>电梯、消防、监控等专项设施设备的日常维修保养单位的名称、资质、联系方式</w:t>
            </w:r>
            <w:r>
              <w:rPr>
                <w:rFonts w:hint="eastAsia" w:ascii="宋体" w:hAnsi="宋体" w:eastAsia="宋体" w:cs="宋体"/>
                <w:color w:val="auto"/>
                <w:sz w:val="28"/>
                <w:szCs w:val="28"/>
                <w:lang w:eastAsia="zh-CN"/>
              </w:rPr>
              <w:t>等</w:t>
            </w:r>
            <w:r>
              <w:rPr>
                <w:rFonts w:hint="eastAsia" w:ascii="宋体" w:hAnsi="宋体" w:eastAsia="宋体" w:cs="宋体"/>
                <w:color w:val="auto"/>
                <w:sz w:val="28"/>
                <w:szCs w:val="28"/>
              </w:rPr>
              <w:t>信息</w:t>
            </w:r>
            <w:r>
              <w:rPr>
                <w:rFonts w:hint="eastAsia" w:ascii="宋体" w:hAnsi="宋体" w:eastAsia="宋体" w:cs="宋体"/>
                <w:color w:val="auto"/>
                <w:sz w:val="28"/>
                <w:szCs w:val="28"/>
                <w:lang w:eastAsia="zh-CN"/>
              </w:rPr>
              <w:t>；</w:t>
            </w:r>
          </w:p>
          <w:p w14:paraId="7FCAD7F2">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有一项处罚扣1分。</w:t>
            </w:r>
          </w:p>
        </w:tc>
      </w:tr>
      <w:tr w14:paraId="144809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05" w:hRule="atLeast"/>
          <w:jc w:val="center"/>
        </w:trPr>
        <w:tc>
          <w:tcPr>
            <w:tcW w:w="733" w:type="dxa"/>
            <w:vMerge w:val="continue"/>
            <w:tcBorders>
              <w:bottom w:val="single" w:color="000000" w:sz="4" w:space="0"/>
              <w:right w:val="single" w:color="000000" w:sz="4" w:space="0"/>
            </w:tcBorders>
            <w:shd w:val="clear" w:color="auto" w:fill="auto"/>
            <w:vAlign w:val="center"/>
          </w:tcPr>
          <w:p w14:paraId="2A478BF8">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4" w:space="0"/>
              <w:left w:val="single" w:color="000000" w:sz="4" w:space="0"/>
              <w:bottom w:val="single" w:color="000000" w:sz="8" w:space="0"/>
              <w:right w:val="single" w:color="000000" w:sz="4" w:space="0"/>
            </w:tcBorders>
            <w:shd w:val="clear" w:color="auto" w:fill="auto"/>
            <w:vAlign w:val="center"/>
          </w:tcPr>
          <w:p w14:paraId="0B6405FF">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（八）项目整体管理能力</w:t>
            </w:r>
          </w:p>
        </w:tc>
        <w:tc>
          <w:tcPr>
            <w:tcW w:w="88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464CC4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4</w:t>
            </w:r>
          </w:p>
        </w:tc>
        <w:tc>
          <w:tcPr>
            <w:tcW w:w="5150" w:type="dxa"/>
            <w:tcBorders>
              <w:top w:val="single" w:color="000000" w:sz="4" w:space="0"/>
              <w:left w:val="single" w:color="000000" w:sz="4" w:space="0"/>
              <w:bottom w:val="single" w:color="000000" w:sz="8" w:space="0"/>
            </w:tcBorders>
            <w:shd w:val="clear" w:color="auto" w:fill="auto"/>
            <w:vAlign w:val="center"/>
          </w:tcPr>
          <w:p w14:paraId="039847B2">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1、辖区整体感官良好，无管理不到位、安全隐患等。</w:t>
            </w:r>
          </w:p>
          <w:p w14:paraId="5384B8E6">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发现一处不合理或存在一处安全隐患扣1分</w:t>
            </w:r>
          </w:p>
        </w:tc>
      </w:tr>
      <w:tr w14:paraId="3567D6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8" w:hRule="atLeast"/>
          <w:jc w:val="center"/>
        </w:trPr>
        <w:tc>
          <w:tcPr>
            <w:tcW w:w="733" w:type="dxa"/>
            <w:tcBorders>
              <w:top w:val="single" w:color="000000" w:sz="8" w:space="0"/>
              <w:bottom w:val="single" w:color="000000" w:sz="8" w:space="0"/>
              <w:right w:val="single" w:color="000000" w:sz="4" w:space="0"/>
            </w:tcBorders>
            <w:shd w:val="clear" w:color="auto" w:fill="auto"/>
            <w:vAlign w:val="center"/>
          </w:tcPr>
          <w:p w14:paraId="4B0DEC8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二</w:t>
            </w:r>
          </w:p>
        </w:tc>
        <w:tc>
          <w:tcPr>
            <w:tcW w:w="3186" w:type="dxa"/>
            <w:gridSpan w:val="2"/>
            <w:tcBorders>
              <w:top w:val="single" w:color="000000" w:sz="8" w:space="0"/>
              <w:left w:val="single" w:color="000000" w:sz="4" w:space="0"/>
              <w:bottom w:val="single" w:color="000000" w:sz="8" w:space="0"/>
              <w:right w:val="single" w:color="000000" w:sz="4" w:space="0"/>
            </w:tcBorders>
            <w:shd w:val="clear" w:color="auto" w:fill="auto"/>
            <w:vAlign w:val="center"/>
          </w:tcPr>
          <w:p w14:paraId="385C3E4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房屋管理与维护</w:t>
            </w:r>
          </w:p>
        </w:tc>
        <w:tc>
          <w:tcPr>
            <w:tcW w:w="885" w:type="dxa"/>
            <w:tcBorders>
              <w:top w:val="single" w:color="000000" w:sz="8" w:space="0"/>
              <w:left w:val="single" w:color="000000" w:sz="4" w:space="0"/>
              <w:bottom w:val="single" w:color="000000" w:sz="8" w:space="0"/>
              <w:right w:val="single" w:color="000000" w:sz="4" w:space="0"/>
            </w:tcBorders>
            <w:shd w:val="clear" w:color="auto" w:fill="auto"/>
            <w:vAlign w:val="center"/>
          </w:tcPr>
          <w:p w14:paraId="48BE729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10分</w:t>
            </w:r>
          </w:p>
        </w:tc>
        <w:tc>
          <w:tcPr>
            <w:tcW w:w="5150" w:type="dxa"/>
            <w:tcBorders>
              <w:top w:val="single" w:color="000000" w:sz="8" w:space="0"/>
              <w:left w:val="single" w:color="000000" w:sz="4" w:space="0"/>
              <w:bottom w:val="single" w:color="000000" w:sz="8" w:space="0"/>
            </w:tcBorders>
            <w:shd w:val="clear" w:color="auto" w:fill="auto"/>
            <w:vAlign w:val="center"/>
          </w:tcPr>
          <w:p w14:paraId="00CE6160">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r>
      <w:tr w14:paraId="3236F2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01" w:hRule="atLeast"/>
          <w:jc w:val="center"/>
        </w:trPr>
        <w:tc>
          <w:tcPr>
            <w:tcW w:w="733" w:type="dxa"/>
            <w:vMerge w:val="restart"/>
            <w:tcBorders>
              <w:top w:val="single" w:color="000000" w:sz="8" w:space="0"/>
              <w:bottom w:val="single" w:color="000000" w:sz="8" w:space="0"/>
              <w:right w:val="single" w:color="000000" w:sz="4" w:space="0"/>
            </w:tcBorders>
            <w:shd w:val="clear" w:color="auto" w:fill="auto"/>
            <w:vAlign w:val="center"/>
          </w:tcPr>
          <w:p w14:paraId="71D3AB3D">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8" w:space="0"/>
              <w:left w:val="single" w:color="000000" w:sz="4" w:space="0"/>
              <w:bottom w:val="single" w:color="000000" w:sz="4" w:space="0"/>
              <w:right w:val="single" w:color="000000" w:sz="4" w:space="0"/>
            </w:tcBorders>
            <w:shd w:val="clear" w:color="auto" w:fill="auto"/>
            <w:vAlign w:val="center"/>
          </w:tcPr>
          <w:p w14:paraId="4B2043E8">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（一）标识管理</w:t>
            </w:r>
          </w:p>
        </w:tc>
        <w:tc>
          <w:tcPr>
            <w:tcW w:w="885" w:type="dxa"/>
            <w:tcBorders>
              <w:top w:val="single" w:color="000000" w:sz="8" w:space="0"/>
              <w:left w:val="single" w:color="000000" w:sz="4" w:space="0"/>
              <w:bottom w:val="single" w:color="000000" w:sz="4" w:space="0"/>
              <w:right w:val="single" w:color="000000" w:sz="4" w:space="0"/>
            </w:tcBorders>
            <w:shd w:val="clear" w:color="auto" w:fill="auto"/>
            <w:vAlign w:val="center"/>
          </w:tcPr>
          <w:p w14:paraId="746C1BC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2</w:t>
            </w:r>
          </w:p>
        </w:tc>
        <w:tc>
          <w:tcPr>
            <w:tcW w:w="5150" w:type="dxa"/>
            <w:tcBorders>
              <w:top w:val="single" w:color="000000" w:sz="8" w:space="0"/>
              <w:left w:val="single" w:color="000000" w:sz="4" w:space="0"/>
              <w:bottom w:val="single" w:color="000000" w:sz="4" w:space="0"/>
            </w:tcBorders>
            <w:shd w:val="clear" w:color="auto" w:fill="auto"/>
            <w:vAlign w:val="center"/>
          </w:tcPr>
          <w:p w14:paraId="33C75DF0">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1.管理区域主出入口设有区域平面示意图；</w:t>
            </w:r>
          </w:p>
          <w:p w14:paraId="58FA776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2.建筑物及幢、单元（门）、户门以及配套标识规范、清晰；</w:t>
            </w:r>
          </w:p>
          <w:p w14:paraId="6E833E8E">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sz w:val="28"/>
                <w:szCs w:val="28"/>
                <w:highlight w:val="none"/>
                <w:u w:val="none"/>
                <w:lang w:eastAsia="zh-CN"/>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一项不符合扣1分，</w:t>
            </w:r>
            <w:r>
              <w:rPr>
                <w:rFonts w:hint="eastAsia" w:ascii="宋体" w:hAnsi="宋体" w:eastAsia="宋体" w:cs="宋体"/>
                <w:b w:val="0"/>
                <w:bCs w:val="0"/>
                <w:color w:val="000000" w:themeColor="text1"/>
                <w:kern w:val="0"/>
                <w:sz w:val="28"/>
                <w:szCs w:val="28"/>
                <w:highlight w:val="none"/>
                <w14:textFill>
                  <w14:solidFill>
                    <w14:schemeClr w14:val="tx1"/>
                  </w14:solidFill>
                </w14:textFill>
              </w:rPr>
              <w:t>一处不符合扣0.</w:t>
            </w:r>
            <w:r>
              <w:rPr>
                <w:rFonts w:hint="eastAsia" w:ascii="宋体" w:hAnsi="宋体" w:eastAsia="宋体" w:cs="宋体"/>
                <w:b w:val="0"/>
                <w:bCs w:val="0"/>
                <w:color w:val="000000" w:themeColor="text1"/>
                <w:kern w:val="0"/>
                <w:sz w:val="28"/>
                <w:szCs w:val="28"/>
                <w:highlight w:val="none"/>
                <w:lang w:val="en-US" w:eastAsia="zh-CN"/>
                <w14:textFill>
                  <w14:solidFill>
                    <w14:schemeClr w14:val="tx1"/>
                  </w14:solidFill>
                </w14:textFill>
              </w:rPr>
              <w:t>5</w:t>
            </w:r>
            <w:r>
              <w:rPr>
                <w:rFonts w:hint="eastAsia" w:ascii="宋体" w:hAnsi="宋体" w:eastAsia="宋体" w:cs="宋体"/>
                <w:b w:val="0"/>
                <w:bCs w:val="0"/>
                <w:color w:val="000000" w:themeColor="text1"/>
                <w:kern w:val="0"/>
                <w:sz w:val="28"/>
                <w:szCs w:val="28"/>
                <w:highlight w:val="none"/>
                <w14:textFill>
                  <w14:solidFill>
                    <w14:schemeClr w14:val="tx1"/>
                  </w14:solidFill>
                </w14:textFill>
              </w:rPr>
              <w:t>分</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w:t>
            </w:r>
          </w:p>
        </w:tc>
      </w:tr>
      <w:tr w14:paraId="623BFB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61" w:hRule="atLeast"/>
          <w:jc w:val="center"/>
        </w:trPr>
        <w:tc>
          <w:tcPr>
            <w:tcW w:w="733" w:type="dxa"/>
            <w:vMerge w:val="continue"/>
            <w:tcBorders>
              <w:top w:val="single" w:color="000000" w:sz="8" w:space="0"/>
              <w:bottom w:val="single" w:color="000000" w:sz="8" w:space="0"/>
              <w:right w:val="single" w:color="000000" w:sz="4" w:space="0"/>
            </w:tcBorders>
            <w:shd w:val="clear" w:color="auto" w:fill="auto"/>
            <w:vAlign w:val="center"/>
          </w:tcPr>
          <w:p w14:paraId="638DA126">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9E3E9D">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（二）共用部位管理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EA22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2</w:t>
            </w:r>
          </w:p>
        </w:tc>
        <w:tc>
          <w:tcPr>
            <w:tcW w:w="5150" w:type="dxa"/>
            <w:tcBorders>
              <w:top w:val="single" w:color="000000" w:sz="4" w:space="0"/>
              <w:left w:val="single" w:color="000000" w:sz="4" w:space="0"/>
              <w:bottom w:val="single" w:color="000000" w:sz="4" w:space="0"/>
            </w:tcBorders>
            <w:shd w:val="clear" w:color="auto" w:fill="auto"/>
            <w:vAlign w:val="center"/>
          </w:tcPr>
          <w:p w14:paraId="74CF537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1.规划合理，无违章搭建现象；</w:t>
            </w:r>
          </w:p>
          <w:p w14:paraId="28385F20">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2.共用部位使用合理，无擅自改变用途现象；</w:t>
            </w:r>
          </w:p>
          <w:p w14:paraId="6535589E">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3.</w:t>
            </w:r>
            <w:r>
              <w:rPr>
                <w:rFonts w:hint="eastAsia" w:ascii="宋体" w:hAnsi="宋体" w:eastAsia="宋体" w:cs="宋体"/>
                <w:i w:val="0"/>
                <w:iCs w:val="0"/>
                <w:color w:val="auto"/>
                <w:kern w:val="0"/>
                <w:sz w:val="28"/>
                <w:szCs w:val="28"/>
                <w:highlight w:val="none"/>
                <w:u w:val="none"/>
                <w:lang w:val="en-US" w:eastAsia="zh-CN" w:bidi="ar"/>
              </w:rPr>
              <w:t>共用部位门、窗等无破损和楼梯、通道、楼面无乱堆放现象</w:t>
            </w: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w:t>
            </w:r>
          </w:p>
          <w:p w14:paraId="39D928AE">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4.定期巡查并记录楼面、门、窗有无漏水、渗水等情况。</w:t>
            </w:r>
          </w:p>
          <w:p w14:paraId="6B4F2206">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sz w:val="28"/>
                <w:szCs w:val="28"/>
                <w:highlight w:val="none"/>
                <w:u w:val="none"/>
                <w:lang w:eastAsia="zh-CN"/>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一项不符合扣0.5分</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w:t>
            </w:r>
          </w:p>
        </w:tc>
      </w:tr>
      <w:tr w14:paraId="36FCE0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21" w:hRule="atLeast"/>
          <w:jc w:val="center"/>
        </w:trPr>
        <w:tc>
          <w:tcPr>
            <w:tcW w:w="733" w:type="dxa"/>
            <w:vMerge w:val="continue"/>
            <w:tcBorders>
              <w:top w:val="single" w:color="000000" w:sz="8" w:space="0"/>
              <w:bottom w:val="single" w:color="000000" w:sz="8" w:space="0"/>
              <w:right w:val="single" w:color="000000" w:sz="4" w:space="0"/>
            </w:tcBorders>
            <w:shd w:val="clear" w:color="auto" w:fill="auto"/>
            <w:vAlign w:val="center"/>
          </w:tcPr>
          <w:p w14:paraId="48A189C2">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8562D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（三）共用部位附加设施管理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309A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1</w:t>
            </w:r>
          </w:p>
        </w:tc>
        <w:tc>
          <w:tcPr>
            <w:tcW w:w="5150" w:type="dxa"/>
            <w:tcBorders>
              <w:top w:val="single" w:color="000000" w:sz="4" w:space="0"/>
              <w:left w:val="single" w:color="000000" w:sz="4" w:space="0"/>
              <w:bottom w:val="single" w:color="000000" w:sz="4" w:space="0"/>
            </w:tcBorders>
            <w:shd w:val="clear" w:color="auto" w:fill="auto"/>
            <w:vAlign w:val="center"/>
          </w:tcPr>
          <w:p w14:paraId="4C0E175E">
            <w:pPr>
              <w:keepNext w:val="0"/>
              <w:keepLines w:val="0"/>
              <w:pageBreakBefore w:val="0"/>
              <w:widowControl/>
              <w:numPr>
                <w:ilvl w:val="0"/>
                <w:numId w:val="9"/>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定期巡视检查室外招牌、广告牌、夜景灯、空调、户外防盗网、晾晒架等室外附加设施安装是否牢固并记录；</w:t>
            </w:r>
          </w:p>
          <w:p w14:paraId="2AC5BEE9">
            <w:pPr>
              <w:keepNext w:val="0"/>
              <w:keepLines w:val="0"/>
              <w:pageBreakBefore w:val="0"/>
              <w:widowControl/>
              <w:numPr>
                <w:ilvl w:val="0"/>
                <w:numId w:val="9"/>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空置房巡查并记录。</w:t>
            </w:r>
          </w:p>
          <w:p w14:paraId="686B0FB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一项不符扣0.5分。</w:t>
            </w:r>
          </w:p>
        </w:tc>
      </w:tr>
      <w:tr w14:paraId="18EE1D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66" w:hRule="atLeast"/>
          <w:jc w:val="center"/>
        </w:trPr>
        <w:tc>
          <w:tcPr>
            <w:tcW w:w="733" w:type="dxa"/>
            <w:vMerge w:val="continue"/>
            <w:tcBorders>
              <w:top w:val="single" w:color="000000" w:sz="8" w:space="0"/>
              <w:bottom w:val="single" w:color="000000" w:sz="8" w:space="0"/>
              <w:right w:val="single" w:color="000000" w:sz="4" w:space="0"/>
            </w:tcBorders>
            <w:shd w:val="clear" w:color="auto" w:fill="auto"/>
            <w:vAlign w:val="center"/>
          </w:tcPr>
          <w:p w14:paraId="2A3D83DA">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49976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（四）建筑物外观管理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2A8D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1</w:t>
            </w:r>
          </w:p>
        </w:tc>
        <w:tc>
          <w:tcPr>
            <w:tcW w:w="5150" w:type="dxa"/>
            <w:tcBorders>
              <w:top w:val="single" w:color="000000" w:sz="4" w:space="0"/>
              <w:left w:val="single" w:color="000000" w:sz="4" w:space="0"/>
              <w:bottom w:val="single" w:color="000000" w:sz="4" w:space="0"/>
            </w:tcBorders>
            <w:shd w:val="clear" w:color="auto" w:fill="auto"/>
            <w:vAlign w:val="center"/>
          </w:tcPr>
          <w:p w14:paraId="2AACC92E">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Style w:val="12"/>
                <w:rFonts w:hint="eastAsia" w:ascii="宋体" w:hAnsi="宋体" w:eastAsia="宋体" w:cs="宋体"/>
                <w:color w:val="000000" w:themeColor="text1"/>
                <w:sz w:val="28"/>
                <w:szCs w:val="28"/>
                <w:highlight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建筑物外观完好、整洁，无破损、无开裂、无沉降、无脱落、无渗水；无乱贴、无乱画等</w:t>
            </w:r>
            <w:r>
              <w:rPr>
                <w:rStyle w:val="12"/>
                <w:rFonts w:hint="eastAsia" w:ascii="宋体" w:hAnsi="宋体" w:eastAsia="宋体" w:cs="宋体"/>
                <w:color w:val="000000" w:themeColor="text1"/>
                <w:sz w:val="28"/>
                <w:szCs w:val="28"/>
                <w:highlight w:val="none"/>
                <w:lang w:val="en-US" w:eastAsia="zh-CN" w:bidi="ar"/>
                <w14:textFill>
                  <w14:solidFill>
                    <w14:schemeClr w14:val="tx1"/>
                  </w14:solidFill>
                </w14:textFill>
              </w:rPr>
              <w:t>现象，如有是否采取相应防范措施，并记录；</w:t>
            </w:r>
          </w:p>
          <w:p w14:paraId="72DD13B5">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Style w:val="12"/>
                <w:rFonts w:hint="eastAsia" w:ascii="宋体" w:hAnsi="宋体" w:eastAsia="宋体" w:cs="宋体"/>
                <w:color w:val="000000" w:themeColor="text1"/>
                <w:sz w:val="28"/>
                <w:szCs w:val="28"/>
                <w:highlight w:val="none"/>
                <w:lang w:val="en-US" w:eastAsia="zh-CN" w:bidi="ar"/>
                <w14:textFill>
                  <w14:solidFill>
                    <w14:schemeClr w14:val="tx1"/>
                  </w14:solidFill>
                </w14:textFill>
              </w:rPr>
              <w:t>一处不符合扣0.2分</w:t>
            </w:r>
          </w:p>
        </w:tc>
      </w:tr>
      <w:tr w14:paraId="3BE2EB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71" w:hRule="atLeast"/>
          <w:jc w:val="center"/>
        </w:trPr>
        <w:tc>
          <w:tcPr>
            <w:tcW w:w="733" w:type="dxa"/>
            <w:vMerge w:val="continue"/>
            <w:tcBorders>
              <w:top w:val="single" w:color="000000" w:sz="8" w:space="0"/>
              <w:bottom w:val="single" w:color="000000" w:sz="8" w:space="0"/>
              <w:right w:val="single" w:color="000000" w:sz="4" w:space="0"/>
            </w:tcBorders>
            <w:shd w:val="clear" w:color="auto" w:fill="auto"/>
            <w:vAlign w:val="center"/>
          </w:tcPr>
          <w:p w14:paraId="36BBBECC">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AF4C5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（五）装饰装修管理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D207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4</w:t>
            </w:r>
          </w:p>
        </w:tc>
        <w:tc>
          <w:tcPr>
            <w:tcW w:w="5150" w:type="dxa"/>
            <w:tcBorders>
              <w:top w:val="single" w:color="000000" w:sz="4" w:space="0"/>
              <w:left w:val="single" w:color="000000" w:sz="4" w:space="0"/>
              <w:bottom w:val="single" w:color="000000" w:sz="4" w:space="0"/>
            </w:tcBorders>
            <w:shd w:val="clear" w:color="auto" w:fill="auto"/>
            <w:vAlign w:val="center"/>
          </w:tcPr>
          <w:p w14:paraId="3448747B">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1.签订装饰装修管理服务协议并登记备案；</w:t>
            </w:r>
          </w:p>
          <w:p w14:paraId="49B13A0F">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2.按规定审核装饰装修方案，办理施工批准手续和施工人员登记；</w:t>
            </w:r>
          </w:p>
          <w:p w14:paraId="2A846BA3">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3.书面告知装修人员及施工单位装饰装修的禁止行为和注意事项，并在装修现场公示；</w:t>
            </w:r>
          </w:p>
          <w:p w14:paraId="1CA26133">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4.有装修现场消防及安全防范措施；</w:t>
            </w:r>
          </w:p>
          <w:p w14:paraId="370BBF23">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5.有效控制装修人员出入和装修施工时间；</w:t>
            </w:r>
          </w:p>
          <w:p w14:paraId="68EDD0BC">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6.装修垃圾定点堆放，定时清运；</w:t>
            </w:r>
          </w:p>
          <w:p w14:paraId="5DE1B0A2">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7.每日巡视检查装饰装修现场，并做好书面记录；</w:t>
            </w:r>
          </w:p>
          <w:p w14:paraId="25875825">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8.装修管理资料分户存档，查验记录完整。</w:t>
            </w:r>
          </w:p>
          <w:p w14:paraId="532E97EA">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一项不符合扣0.5分</w:t>
            </w:r>
          </w:p>
        </w:tc>
      </w:tr>
      <w:tr w14:paraId="295750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3" w:hRule="atLeast"/>
          <w:jc w:val="center"/>
        </w:trPr>
        <w:tc>
          <w:tcPr>
            <w:tcW w:w="733" w:type="dxa"/>
            <w:tcBorders>
              <w:top w:val="single" w:color="000000" w:sz="8" w:space="0"/>
              <w:bottom w:val="single" w:color="000000" w:sz="8" w:space="0"/>
              <w:right w:val="single" w:color="000000" w:sz="4" w:space="0"/>
            </w:tcBorders>
            <w:shd w:val="clear" w:color="auto" w:fill="auto"/>
            <w:vAlign w:val="center"/>
          </w:tcPr>
          <w:p w14:paraId="78A3E28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三</w:t>
            </w:r>
          </w:p>
        </w:tc>
        <w:tc>
          <w:tcPr>
            <w:tcW w:w="3186" w:type="dxa"/>
            <w:gridSpan w:val="2"/>
            <w:tcBorders>
              <w:top w:val="single" w:color="000000" w:sz="8" w:space="0"/>
              <w:left w:val="single" w:color="000000" w:sz="4" w:space="0"/>
              <w:bottom w:val="single" w:color="000000" w:sz="8" w:space="0"/>
              <w:right w:val="single" w:color="000000" w:sz="4" w:space="0"/>
            </w:tcBorders>
            <w:shd w:val="clear" w:color="auto" w:fill="auto"/>
            <w:vAlign w:val="center"/>
          </w:tcPr>
          <w:p w14:paraId="4157AC58">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共用设施设备管理</w:t>
            </w:r>
          </w:p>
        </w:tc>
        <w:tc>
          <w:tcPr>
            <w:tcW w:w="885" w:type="dxa"/>
            <w:tcBorders>
              <w:top w:val="single" w:color="000000" w:sz="8" w:space="0"/>
              <w:left w:val="single" w:color="000000" w:sz="4" w:space="0"/>
              <w:bottom w:val="single" w:color="000000" w:sz="8" w:space="0"/>
              <w:right w:val="single" w:color="000000" w:sz="4" w:space="0"/>
            </w:tcBorders>
            <w:shd w:val="clear" w:color="auto" w:fill="auto"/>
            <w:vAlign w:val="center"/>
          </w:tcPr>
          <w:p w14:paraId="21896B3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20分</w:t>
            </w:r>
          </w:p>
        </w:tc>
        <w:tc>
          <w:tcPr>
            <w:tcW w:w="5150" w:type="dxa"/>
            <w:tcBorders>
              <w:top w:val="single" w:color="000000" w:sz="8" w:space="0"/>
              <w:left w:val="single" w:color="000000" w:sz="4" w:space="0"/>
              <w:bottom w:val="single" w:color="000000" w:sz="8" w:space="0"/>
            </w:tcBorders>
            <w:shd w:val="clear" w:color="auto" w:fill="auto"/>
            <w:vAlign w:val="center"/>
          </w:tcPr>
          <w:p w14:paraId="5362619B">
            <w:pPr>
              <w:keepNext w:val="0"/>
              <w:keepLines w:val="0"/>
              <w:pageBreakBefore w:val="0"/>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r>
      <w:tr w14:paraId="37034D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81" w:hRule="atLeast"/>
          <w:jc w:val="center"/>
        </w:trPr>
        <w:tc>
          <w:tcPr>
            <w:tcW w:w="733" w:type="dxa"/>
            <w:vMerge w:val="restart"/>
            <w:tcBorders>
              <w:top w:val="single" w:color="000000" w:sz="8" w:space="0"/>
              <w:right w:val="single" w:color="000000" w:sz="4" w:space="0"/>
            </w:tcBorders>
            <w:shd w:val="clear" w:color="auto" w:fill="auto"/>
            <w:vAlign w:val="center"/>
          </w:tcPr>
          <w:p w14:paraId="36548CF5">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8" w:space="0"/>
              <w:left w:val="single" w:color="000000" w:sz="4" w:space="0"/>
              <w:bottom w:val="single" w:color="000000" w:sz="4" w:space="0"/>
              <w:right w:val="single" w:color="000000" w:sz="4" w:space="0"/>
            </w:tcBorders>
            <w:shd w:val="clear" w:color="auto" w:fill="auto"/>
            <w:vAlign w:val="center"/>
          </w:tcPr>
          <w:p w14:paraId="10E5E707">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（一）设施设备管理基础要求</w:t>
            </w:r>
          </w:p>
        </w:tc>
        <w:tc>
          <w:tcPr>
            <w:tcW w:w="885" w:type="dxa"/>
            <w:tcBorders>
              <w:top w:val="single" w:color="000000" w:sz="8" w:space="0"/>
              <w:left w:val="single" w:color="000000" w:sz="4" w:space="0"/>
              <w:bottom w:val="single" w:color="000000" w:sz="4" w:space="0"/>
              <w:right w:val="single" w:color="000000" w:sz="4" w:space="0"/>
            </w:tcBorders>
            <w:shd w:val="clear" w:color="auto" w:fill="auto"/>
            <w:vAlign w:val="center"/>
          </w:tcPr>
          <w:p w14:paraId="3A957CE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3</w:t>
            </w:r>
          </w:p>
        </w:tc>
        <w:tc>
          <w:tcPr>
            <w:tcW w:w="5150" w:type="dxa"/>
            <w:tcBorders>
              <w:top w:val="single" w:color="000000" w:sz="8" w:space="0"/>
              <w:left w:val="single" w:color="000000" w:sz="4" w:space="0"/>
              <w:bottom w:val="single" w:color="000000" w:sz="4" w:space="0"/>
            </w:tcBorders>
            <w:shd w:val="clear" w:color="auto" w:fill="auto"/>
            <w:vAlign w:val="center"/>
          </w:tcPr>
          <w:p w14:paraId="165DB313">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1.供配电系统、防雷系统及</w:t>
            </w:r>
            <w:r>
              <w:rPr>
                <w:rFonts w:hint="eastAsia" w:ascii="宋体" w:hAnsi="宋体" w:eastAsia="宋体" w:cs="宋体"/>
                <w:color w:val="auto"/>
                <w:sz w:val="28"/>
                <w:szCs w:val="28"/>
              </w:rPr>
              <w:t>楼道</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楼外照明</w:t>
            </w: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日常巡检、运行、维修养护等工作台账完整；</w:t>
            </w:r>
          </w:p>
          <w:p w14:paraId="4ADBF1D5">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2.对危险隐患部位设置安全防范警示标志</w:t>
            </w:r>
            <w:r>
              <w:rPr>
                <w:rFonts w:hint="eastAsia" w:ascii="宋体" w:hAnsi="宋体" w:eastAsia="宋体" w:cs="宋体"/>
                <w:color w:val="auto"/>
                <w:sz w:val="28"/>
                <w:szCs w:val="28"/>
                <w:lang w:eastAsia="zh-CN"/>
              </w:rPr>
              <w:t>；</w:t>
            </w:r>
          </w:p>
          <w:p w14:paraId="047AE594">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3.共用设施设备是否保持清洁无尘。</w:t>
            </w:r>
          </w:p>
          <w:p w14:paraId="387FC412">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一项不符合扣1分。</w:t>
            </w:r>
          </w:p>
        </w:tc>
      </w:tr>
      <w:tr w14:paraId="6F6E51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51" w:hRule="atLeast"/>
          <w:jc w:val="center"/>
        </w:trPr>
        <w:tc>
          <w:tcPr>
            <w:tcW w:w="733" w:type="dxa"/>
            <w:vMerge w:val="continue"/>
            <w:tcBorders>
              <w:right w:val="single" w:color="000000" w:sz="4" w:space="0"/>
            </w:tcBorders>
            <w:shd w:val="clear" w:color="auto" w:fill="auto"/>
            <w:vAlign w:val="center"/>
          </w:tcPr>
          <w:p w14:paraId="3599B662">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2AC03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(二）共用管线、化粪池和道路管理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1610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3</w:t>
            </w:r>
          </w:p>
        </w:tc>
        <w:tc>
          <w:tcPr>
            <w:tcW w:w="5150" w:type="dxa"/>
            <w:tcBorders>
              <w:top w:val="single" w:color="000000" w:sz="4" w:space="0"/>
              <w:left w:val="single" w:color="000000" w:sz="4" w:space="0"/>
              <w:bottom w:val="single" w:color="000000" w:sz="4" w:space="0"/>
            </w:tcBorders>
            <w:shd w:val="clear" w:color="auto" w:fill="auto"/>
            <w:vAlign w:val="center"/>
          </w:tcPr>
          <w:p w14:paraId="3036BD51">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1.室外共用管线整齐有序，无架空或临时管线；</w:t>
            </w:r>
          </w:p>
          <w:p w14:paraId="52D444E5">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2.化粪池、污水井定期巡检、疏通与清掏等记录完整，无外溢现象；</w:t>
            </w:r>
          </w:p>
          <w:p w14:paraId="320B6B62">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3.</w:t>
            </w:r>
            <w:r>
              <w:rPr>
                <w:rFonts w:hint="eastAsia" w:ascii="宋体" w:hAnsi="宋体" w:eastAsia="宋体" w:cs="宋体"/>
                <w:color w:val="000000" w:themeColor="text1"/>
                <w:sz w:val="28"/>
                <w:szCs w:val="28"/>
                <w:highlight w:val="none"/>
                <w14:textFill>
                  <w14:solidFill>
                    <w14:schemeClr w14:val="tx1"/>
                  </w14:solidFill>
                </w14:textFill>
              </w:rPr>
              <w:t>道路通畅</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路面平整</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井盖无缺损、无丢失</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路面井盖不影响车辆和行人通行</w:t>
            </w:r>
            <w:r>
              <w:rPr>
                <w:rFonts w:hint="eastAsia" w:ascii="宋体" w:hAnsi="宋体" w:eastAsia="宋体" w:cs="宋体"/>
                <w:color w:val="000000" w:themeColor="text1"/>
                <w:sz w:val="28"/>
                <w:szCs w:val="28"/>
                <w:highlight w:val="none"/>
                <w:lang w:eastAsia="zh-CN"/>
                <w14:textFill>
                  <w14:solidFill>
                    <w14:schemeClr w14:val="tx1"/>
                  </w14:solidFill>
                </w14:textFill>
              </w:rPr>
              <w:t>。</w:t>
            </w:r>
          </w:p>
          <w:p w14:paraId="36DF5223">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lang w:val="en-US"/>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一项不符合扣1分，一处不符扣0.5分。</w:t>
            </w:r>
          </w:p>
        </w:tc>
      </w:tr>
      <w:tr w14:paraId="69F8698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41" w:hRule="atLeast"/>
          <w:jc w:val="center"/>
        </w:trPr>
        <w:tc>
          <w:tcPr>
            <w:tcW w:w="733" w:type="dxa"/>
            <w:vMerge w:val="continue"/>
            <w:tcBorders>
              <w:right w:val="single" w:color="000000" w:sz="4" w:space="0"/>
            </w:tcBorders>
            <w:shd w:val="clear" w:color="auto" w:fill="auto"/>
            <w:vAlign w:val="center"/>
          </w:tcPr>
          <w:p w14:paraId="0C8221D0">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6EDA73">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（三）设备机房管理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C194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5</w:t>
            </w:r>
          </w:p>
        </w:tc>
        <w:tc>
          <w:tcPr>
            <w:tcW w:w="5150" w:type="dxa"/>
            <w:tcBorders>
              <w:top w:val="single" w:color="000000" w:sz="4" w:space="0"/>
              <w:left w:val="single" w:color="000000" w:sz="4" w:space="0"/>
              <w:bottom w:val="single" w:color="000000" w:sz="4" w:space="0"/>
            </w:tcBorders>
            <w:shd w:val="clear" w:color="auto" w:fill="auto"/>
            <w:vAlign w:val="center"/>
          </w:tcPr>
          <w:p w14:paraId="32994CFE">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1.设备机房门口应有机房类别及管理标识，保持门窗锁具完好、有效；</w:t>
            </w:r>
          </w:p>
          <w:p w14:paraId="59C45F69">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2.设施设备管线标志清晰，仪器仪表运行正常、数据准确；</w:t>
            </w:r>
          </w:p>
          <w:p w14:paraId="79E0148B">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3.设备机房整洁、无杂物堆放；</w:t>
            </w:r>
          </w:p>
          <w:p w14:paraId="531B7094">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4.设备机房无渗漏、无积水，设备表面无积尘、无锈蚀</w:t>
            </w:r>
          </w:p>
          <w:p w14:paraId="1611C8A0">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5.设备机房具备温、湿度检测设备，且环境温度、湿度值在规定范围内，且设备噪声符合规范要求；</w:t>
            </w:r>
          </w:p>
          <w:p w14:paraId="54020C1E">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lang w:val="en-US"/>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一项不符合扣1分，一处不符扣0.5分。</w:t>
            </w:r>
          </w:p>
        </w:tc>
      </w:tr>
      <w:tr w14:paraId="5BE7C4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jc w:val="center"/>
        </w:trPr>
        <w:tc>
          <w:tcPr>
            <w:tcW w:w="733" w:type="dxa"/>
            <w:vMerge w:val="continue"/>
            <w:tcBorders>
              <w:right w:val="single" w:color="000000" w:sz="4" w:space="0"/>
            </w:tcBorders>
            <w:shd w:val="clear" w:color="auto" w:fill="auto"/>
            <w:vAlign w:val="center"/>
          </w:tcPr>
          <w:p w14:paraId="2840CCA2">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4" w:space="0"/>
              <w:left w:val="single" w:color="000000" w:sz="4" w:space="0"/>
              <w:bottom w:val="single" w:color="000000" w:sz="8" w:space="0"/>
              <w:right w:val="single" w:color="000000" w:sz="4" w:space="0"/>
            </w:tcBorders>
            <w:shd w:val="clear" w:color="auto" w:fill="auto"/>
            <w:vAlign w:val="center"/>
          </w:tcPr>
          <w:p w14:paraId="7938326C">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（四）电梯系统管理</w:t>
            </w:r>
          </w:p>
        </w:tc>
        <w:tc>
          <w:tcPr>
            <w:tcW w:w="88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74EF22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5</w:t>
            </w:r>
          </w:p>
        </w:tc>
        <w:tc>
          <w:tcPr>
            <w:tcW w:w="5150" w:type="dxa"/>
            <w:tcBorders>
              <w:top w:val="single" w:color="000000" w:sz="4" w:space="0"/>
              <w:left w:val="single" w:color="000000" w:sz="4" w:space="0"/>
              <w:bottom w:val="single" w:color="000000" w:sz="8" w:space="0"/>
            </w:tcBorders>
            <w:shd w:val="clear" w:color="auto" w:fill="auto"/>
            <w:vAlign w:val="top"/>
          </w:tcPr>
          <w:p w14:paraId="3F3285D1">
            <w:pPr>
              <w:keepNext w:val="0"/>
              <w:keepLines w:val="0"/>
              <w:pageBreakBefore w:val="0"/>
              <w:widowControl/>
              <w:numPr>
                <w:ilvl w:val="0"/>
                <w:numId w:val="10"/>
              </w:numPr>
              <w:suppressLineNumbers w:val="0"/>
              <w:kinsoku/>
              <w:wordWrap/>
              <w:overflowPunct/>
              <w:topLinePunct w:val="0"/>
              <w:autoSpaceDE/>
              <w:autoSpaceDN/>
              <w:bidi w:val="0"/>
              <w:adjustRightInd/>
              <w:snapToGrid/>
              <w:spacing w:line="360" w:lineRule="exact"/>
              <w:jc w:val="left"/>
              <w:textAlignment w:val="top"/>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b w:val="0"/>
                <w:bCs w:val="0"/>
                <w:color w:val="000000" w:themeColor="text1"/>
                <w:kern w:val="0"/>
                <w:sz w:val="28"/>
                <w:szCs w:val="28"/>
                <w:highlight w:val="none"/>
                <w14:textFill>
                  <w14:solidFill>
                    <w14:schemeClr w14:val="tx1"/>
                  </w14:solidFill>
                </w14:textFill>
              </w:rPr>
              <w:t>准用（合格）证、年检证明、紧急救援电话和乘客注意事项置于轿厢醒目位置；电梯五方对讲通话流畅；</w:t>
            </w:r>
          </w:p>
          <w:p w14:paraId="1E65710E">
            <w:pPr>
              <w:keepNext w:val="0"/>
              <w:keepLines w:val="0"/>
              <w:pageBreakBefore w:val="0"/>
              <w:widowControl/>
              <w:numPr>
                <w:ilvl w:val="0"/>
                <w:numId w:val="10"/>
              </w:numPr>
              <w:suppressLineNumbers w:val="0"/>
              <w:kinsoku/>
              <w:wordWrap/>
              <w:overflowPunct/>
              <w:topLinePunct w:val="0"/>
              <w:autoSpaceDE/>
              <w:autoSpaceDN/>
              <w:bidi w:val="0"/>
              <w:adjustRightInd/>
              <w:snapToGrid/>
              <w:spacing w:line="360" w:lineRule="exact"/>
              <w:jc w:val="left"/>
              <w:textAlignment w:val="top"/>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b w:val="0"/>
                <w:bCs w:val="0"/>
                <w:color w:val="000000" w:themeColor="text1"/>
                <w:kern w:val="0"/>
                <w:sz w:val="28"/>
                <w:szCs w:val="28"/>
                <w:highlight w:val="none"/>
                <w14:textFill>
                  <w14:solidFill>
                    <w14:schemeClr w14:val="tx1"/>
                  </w14:solidFill>
                </w14:textFill>
              </w:rPr>
              <w:t>电梯巡视检查记录完整</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w:t>
            </w:r>
          </w:p>
          <w:p w14:paraId="7F2DE7B3">
            <w:pPr>
              <w:keepNext w:val="0"/>
              <w:keepLines w:val="0"/>
              <w:pageBreakBefore w:val="0"/>
              <w:widowControl/>
              <w:numPr>
                <w:ilvl w:val="0"/>
                <w:numId w:val="10"/>
              </w:numPr>
              <w:suppressLineNumbers w:val="0"/>
              <w:kinsoku/>
              <w:wordWrap/>
              <w:overflowPunct/>
              <w:topLinePunct w:val="0"/>
              <w:autoSpaceDE/>
              <w:autoSpaceDN/>
              <w:bidi w:val="0"/>
              <w:adjustRightInd/>
              <w:snapToGrid/>
              <w:spacing w:line="360" w:lineRule="exact"/>
              <w:jc w:val="left"/>
              <w:textAlignment w:val="top"/>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b w:val="0"/>
                <w:bCs w:val="0"/>
                <w:color w:val="000000" w:themeColor="text1"/>
                <w:kern w:val="0"/>
                <w:sz w:val="28"/>
                <w:szCs w:val="28"/>
                <w:highlight w:val="none"/>
                <w14:textFill>
                  <w14:solidFill>
                    <w14:schemeClr w14:val="tx1"/>
                  </w14:solidFill>
                </w14:textFill>
              </w:rPr>
              <w:t>电梯轿厢、井道内清洁，轿厢广告设置有序，无乱贴、乱画</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w:t>
            </w:r>
          </w:p>
          <w:p w14:paraId="41952541">
            <w:pPr>
              <w:keepNext w:val="0"/>
              <w:keepLines w:val="0"/>
              <w:pageBreakBefore w:val="0"/>
              <w:widowControl/>
              <w:numPr>
                <w:ilvl w:val="0"/>
                <w:numId w:val="10"/>
              </w:numPr>
              <w:suppressLineNumbers w:val="0"/>
              <w:kinsoku/>
              <w:wordWrap/>
              <w:overflowPunct/>
              <w:topLinePunct w:val="0"/>
              <w:autoSpaceDE/>
              <w:autoSpaceDN/>
              <w:bidi w:val="0"/>
              <w:adjustRightInd/>
              <w:snapToGrid/>
              <w:spacing w:line="360" w:lineRule="exact"/>
              <w:jc w:val="left"/>
              <w:textAlignment w:val="top"/>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设备机房环境保持整洁，无杂物、灰尘、无虫、鼠害发生；</w:t>
            </w:r>
          </w:p>
          <w:p w14:paraId="492C33E6">
            <w:pPr>
              <w:keepNext w:val="0"/>
              <w:keepLines w:val="0"/>
              <w:pageBreakBefore w:val="0"/>
              <w:widowControl/>
              <w:numPr>
                <w:ilvl w:val="0"/>
                <w:numId w:val="10"/>
              </w:numPr>
              <w:suppressLineNumbers w:val="0"/>
              <w:kinsoku/>
              <w:wordWrap/>
              <w:overflowPunct/>
              <w:topLinePunct w:val="0"/>
              <w:autoSpaceDE/>
              <w:autoSpaceDN/>
              <w:bidi w:val="0"/>
              <w:adjustRightInd/>
              <w:snapToGrid/>
              <w:spacing w:line="360" w:lineRule="exact"/>
              <w:jc w:val="left"/>
              <w:textAlignment w:val="top"/>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监督电梯维保单位按合同要求进行推修保养，做好《电梯运行记录表〉《零部件更换及大修记录》。</w:t>
            </w:r>
          </w:p>
          <w:p w14:paraId="32B6CF73">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top"/>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一项不符合扣1分。一处不符扣0.5分</w:t>
            </w:r>
          </w:p>
        </w:tc>
      </w:tr>
      <w:tr w14:paraId="46A377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33" w:type="dxa"/>
            <w:vMerge w:val="continue"/>
            <w:tcBorders>
              <w:bottom w:val="single" w:color="000000" w:sz="8" w:space="0"/>
              <w:right w:val="single" w:color="000000" w:sz="4" w:space="0"/>
            </w:tcBorders>
            <w:shd w:val="clear" w:color="auto" w:fill="auto"/>
            <w:vAlign w:val="center"/>
          </w:tcPr>
          <w:p w14:paraId="398F0C1B">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4" w:space="0"/>
              <w:left w:val="single" w:color="000000" w:sz="4" w:space="0"/>
              <w:bottom w:val="single" w:color="000000" w:sz="8" w:space="0"/>
              <w:right w:val="single" w:color="000000" w:sz="4" w:space="0"/>
            </w:tcBorders>
            <w:shd w:val="clear" w:color="auto" w:fill="auto"/>
            <w:vAlign w:val="center"/>
          </w:tcPr>
          <w:p w14:paraId="25171929">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（五）</w:t>
            </w:r>
            <w:r>
              <w:rPr>
                <w:rFonts w:hint="eastAsia" w:ascii="宋体" w:hAnsi="宋体" w:eastAsia="宋体" w:cs="宋体"/>
                <w:b w:val="0"/>
                <w:bCs w:val="0"/>
                <w:color w:val="000000" w:themeColor="text1"/>
                <w:kern w:val="0"/>
                <w:sz w:val="28"/>
                <w:szCs w:val="28"/>
                <w:highlight w:val="none"/>
                <w14:textFill>
                  <w14:solidFill>
                    <w14:schemeClr w14:val="tx1"/>
                  </w14:solidFill>
                </w14:textFill>
              </w:rPr>
              <w:t>给排水系统管理</w:t>
            </w:r>
          </w:p>
        </w:tc>
        <w:tc>
          <w:tcPr>
            <w:tcW w:w="88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D40B7F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4</w:t>
            </w:r>
          </w:p>
        </w:tc>
        <w:tc>
          <w:tcPr>
            <w:tcW w:w="5150" w:type="dxa"/>
            <w:tcBorders>
              <w:top w:val="single" w:color="000000" w:sz="4" w:space="0"/>
              <w:left w:val="single" w:color="000000" w:sz="4" w:space="0"/>
              <w:bottom w:val="single" w:color="000000" w:sz="8" w:space="0"/>
            </w:tcBorders>
            <w:shd w:val="clear" w:color="auto" w:fill="auto"/>
            <w:vAlign w:val="top"/>
          </w:tcPr>
          <w:p w14:paraId="242BC423">
            <w:pPr>
              <w:keepNext w:val="0"/>
              <w:keepLines w:val="0"/>
              <w:pageBreakBefore w:val="0"/>
              <w:widowControl/>
              <w:numPr>
                <w:ilvl w:val="0"/>
                <w:numId w:val="11"/>
              </w:numPr>
              <w:suppressLineNumbers w:val="0"/>
              <w:kinsoku/>
              <w:wordWrap/>
              <w:overflowPunct/>
              <w:topLinePunct w:val="0"/>
              <w:autoSpaceDE/>
              <w:autoSpaceDN/>
              <w:bidi w:val="0"/>
              <w:adjustRightInd/>
              <w:snapToGrid/>
              <w:spacing w:line="360" w:lineRule="exact"/>
              <w:jc w:val="left"/>
              <w:textAlignment w:val="top"/>
              <w:rPr>
                <w:rFonts w:hint="eastAsia" w:ascii="宋体" w:hAnsi="宋体" w:eastAsia="宋体" w:cs="宋体"/>
                <w:b w:val="0"/>
                <w:bCs w:val="0"/>
                <w:color w:val="auto"/>
                <w:kern w:val="0"/>
                <w:sz w:val="28"/>
                <w:szCs w:val="28"/>
                <w:highlight w:val="none"/>
              </w:rPr>
            </w:pPr>
            <w:r>
              <w:rPr>
                <w:rFonts w:hint="eastAsia" w:ascii="宋体" w:hAnsi="宋体" w:eastAsia="宋体" w:cs="宋体"/>
                <w:b w:val="0"/>
                <w:bCs w:val="0"/>
                <w:color w:val="auto"/>
                <w:kern w:val="0"/>
                <w:sz w:val="28"/>
                <w:szCs w:val="28"/>
                <w:highlight w:val="none"/>
                <w:lang w:eastAsia="zh-CN"/>
              </w:rPr>
              <w:t>二次供水</w:t>
            </w:r>
            <w:r>
              <w:rPr>
                <w:rFonts w:hint="eastAsia" w:ascii="宋体" w:hAnsi="宋体" w:eastAsia="宋体" w:cs="宋体"/>
                <w:b w:val="0"/>
                <w:bCs w:val="0"/>
                <w:color w:val="auto"/>
                <w:kern w:val="0"/>
                <w:sz w:val="28"/>
                <w:szCs w:val="28"/>
                <w:highlight w:val="none"/>
              </w:rPr>
              <w:t>系统设备完好、运行正常，</w:t>
            </w:r>
            <w:r>
              <w:rPr>
                <w:rFonts w:hint="eastAsia" w:ascii="宋体" w:hAnsi="宋体" w:eastAsia="宋体" w:cs="宋体"/>
                <w:b w:val="0"/>
                <w:bCs w:val="0"/>
                <w:color w:val="auto"/>
                <w:kern w:val="0"/>
                <w:sz w:val="28"/>
                <w:szCs w:val="28"/>
                <w:highlight w:val="none"/>
                <w:lang w:eastAsia="zh-CN"/>
              </w:rPr>
              <w:t>定期</w:t>
            </w:r>
            <w:r>
              <w:rPr>
                <w:rFonts w:hint="eastAsia" w:ascii="宋体" w:hAnsi="宋体" w:eastAsia="宋体" w:cs="宋体"/>
                <w:b w:val="0"/>
                <w:bCs w:val="0"/>
                <w:color w:val="auto"/>
                <w:kern w:val="0"/>
                <w:sz w:val="28"/>
                <w:szCs w:val="28"/>
                <w:highlight w:val="none"/>
              </w:rPr>
              <w:t>检查、维修养护</w:t>
            </w:r>
            <w:r>
              <w:rPr>
                <w:rFonts w:hint="eastAsia" w:ascii="宋体" w:hAnsi="宋体" w:eastAsia="宋体" w:cs="宋体"/>
                <w:b w:val="0"/>
                <w:bCs w:val="0"/>
                <w:color w:val="auto"/>
                <w:kern w:val="0"/>
                <w:sz w:val="28"/>
                <w:szCs w:val="28"/>
                <w:highlight w:val="none"/>
                <w:lang w:eastAsia="zh-CN"/>
              </w:rPr>
              <w:t>并</w:t>
            </w:r>
            <w:r>
              <w:rPr>
                <w:rFonts w:hint="eastAsia" w:ascii="宋体" w:hAnsi="宋体" w:eastAsia="宋体" w:cs="宋体"/>
                <w:b w:val="0"/>
                <w:bCs w:val="0"/>
                <w:color w:val="auto"/>
                <w:kern w:val="0"/>
                <w:sz w:val="28"/>
                <w:szCs w:val="28"/>
                <w:highlight w:val="none"/>
              </w:rPr>
              <w:t>记录完整；</w:t>
            </w:r>
          </w:p>
          <w:p w14:paraId="7B87213C">
            <w:pPr>
              <w:keepNext w:val="0"/>
              <w:keepLines w:val="0"/>
              <w:pageBreakBefore w:val="0"/>
              <w:widowControl/>
              <w:numPr>
                <w:ilvl w:val="0"/>
                <w:numId w:val="11"/>
              </w:numPr>
              <w:suppressLineNumbers w:val="0"/>
              <w:kinsoku/>
              <w:wordWrap/>
              <w:overflowPunct/>
              <w:topLinePunct w:val="0"/>
              <w:autoSpaceDE/>
              <w:autoSpaceDN/>
              <w:bidi w:val="0"/>
              <w:adjustRightInd/>
              <w:snapToGrid/>
              <w:spacing w:line="360" w:lineRule="exact"/>
              <w:jc w:val="left"/>
              <w:textAlignment w:val="top"/>
              <w:rPr>
                <w:rFonts w:hint="eastAsia" w:ascii="宋体" w:hAnsi="宋体" w:eastAsia="宋体" w:cs="宋体"/>
                <w:b w:val="0"/>
                <w:bCs w:val="0"/>
                <w:color w:val="auto"/>
                <w:kern w:val="0"/>
                <w:sz w:val="28"/>
                <w:szCs w:val="28"/>
                <w:highlight w:val="none"/>
                <w:lang w:val="en-US" w:eastAsia="zh-CN"/>
              </w:rPr>
            </w:pPr>
            <w:r>
              <w:rPr>
                <w:rFonts w:hint="eastAsia" w:ascii="宋体" w:hAnsi="宋体" w:eastAsia="宋体" w:cs="宋体"/>
                <w:b w:val="0"/>
                <w:bCs w:val="0"/>
                <w:color w:val="auto"/>
                <w:kern w:val="0"/>
                <w:sz w:val="28"/>
                <w:szCs w:val="28"/>
                <w:highlight w:val="none"/>
              </w:rPr>
              <w:t>生活水箱加盖上锁，进入孔、透气孔和溢水孔加装防护网罩，周边无污染源；</w:t>
            </w:r>
          </w:p>
          <w:p w14:paraId="04F43E01">
            <w:pPr>
              <w:keepNext w:val="0"/>
              <w:keepLines w:val="0"/>
              <w:pageBreakBefore w:val="0"/>
              <w:widowControl/>
              <w:numPr>
                <w:ilvl w:val="0"/>
                <w:numId w:val="11"/>
              </w:numPr>
              <w:suppressLineNumbers w:val="0"/>
              <w:kinsoku/>
              <w:wordWrap/>
              <w:overflowPunct/>
              <w:topLinePunct w:val="0"/>
              <w:autoSpaceDE/>
              <w:autoSpaceDN/>
              <w:bidi w:val="0"/>
              <w:adjustRightInd/>
              <w:snapToGrid/>
              <w:spacing w:line="360" w:lineRule="exact"/>
              <w:jc w:val="left"/>
              <w:textAlignment w:val="top"/>
              <w:rPr>
                <w:rFonts w:hint="eastAsia" w:ascii="宋体" w:hAnsi="宋体" w:eastAsia="宋体" w:cs="宋体"/>
                <w:b w:val="0"/>
                <w:bCs w:val="0"/>
                <w:color w:val="auto"/>
                <w:kern w:val="0"/>
                <w:sz w:val="28"/>
                <w:szCs w:val="28"/>
                <w:highlight w:val="none"/>
                <w:lang w:val="en-US" w:eastAsia="zh-CN"/>
              </w:rPr>
            </w:pPr>
            <w:r>
              <w:rPr>
                <w:rFonts w:hint="eastAsia" w:ascii="宋体" w:hAnsi="宋体" w:eastAsia="宋体" w:cs="宋体"/>
                <w:b w:val="0"/>
                <w:bCs w:val="0"/>
                <w:color w:val="auto"/>
                <w:kern w:val="0"/>
                <w:sz w:val="28"/>
                <w:szCs w:val="28"/>
                <w:highlight w:val="none"/>
                <w:lang w:eastAsia="zh-CN"/>
              </w:rPr>
              <w:t>对各类储水设施</w:t>
            </w:r>
            <w:r>
              <w:rPr>
                <w:rFonts w:hint="eastAsia" w:ascii="宋体" w:hAnsi="宋体" w:eastAsia="宋体" w:cs="宋体"/>
                <w:b w:val="0"/>
                <w:bCs w:val="0"/>
                <w:color w:val="auto"/>
                <w:kern w:val="0"/>
                <w:sz w:val="28"/>
                <w:szCs w:val="28"/>
                <w:highlight w:val="none"/>
              </w:rPr>
              <w:t>定期清洗、消毒</w:t>
            </w:r>
            <w:r>
              <w:rPr>
                <w:rFonts w:hint="eastAsia" w:ascii="宋体" w:hAnsi="宋体" w:eastAsia="宋体" w:cs="宋体"/>
                <w:b w:val="0"/>
                <w:bCs w:val="0"/>
                <w:color w:val="auto"/>
                <w:kern w:val="0"/>
                <w:sz w:val="28"/>
                <w:szCs w:val="28"/>
                <w:highlight w:val="none"/>
                <w:lang w:eastAsia="zh-CN"/>
              </w:rPr>
              <w:t>、</w:t>
            </w:r>
            <w:r>
              <w:rPr>
                <w:rFonts w:hint="eastAsia" w:ascii="宋体" w:hAnsi="宋体" w:eastAsia="宋体" w:cs="宋体"/>
                <w:color w:val="auto"/>
                <w:sz w:val="28"/>
                <w:szCs w:val="28"/>
              </w:rPr>
              <w:t>委托有资质的检测机构定期对水质进行检测并公示检测报告</w:t>
            </w:r>
            <w:r>
              <w:rPr>
                <w:rFonts w:hint="eastAsia" w:ascii="宋体" w:hAnsi="宋体" w:eastAsia="宋体" w:cs="宋体"/>
                <w:b w:val="0"/>
                <w:bCs w:val="0"/>
                <w:color w:val="auto"/>
                <w:kern w:val="0"/>
                <w:sz w:val="28"/>
                <w:szCs w:val="28"/>
                <w:highlight w:val="none"/>
                <w:lang w:eastAsia="zh-CN"/>
              </w:rPr>
              <w:t>（至少半年一次）；</w:t>
            </w:r>
          </w:p>
          <w:p w14:paraId="3CAFF11F">
            <w:pPr>
              <w:keepNext w:val="0"/>
              <w:keepLines w:val="0"/>
              <w:pageBreakBefore w:val="0"/>
              <w:kinsoku/>
              <w:wordWrap/>
              <w:overflowPunct/>
              <w:topLinePunct w:val="0"/>
              <w:autoSpaceDE/>
              <w:autoSpaceDN/>
              <w:bidi w:val="0"/>
              <w:adjustRightInd/>
              <w:snapToGrid/>
              <w:spacing w:line="360" w:lineRule="exac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4、</w:t>
            </w:r>
            <w:r>
              <w:rPr>
                <w:rFonts w:hint="eastAsia" w:ascii="宋体" w:hAnsi="宋体" w:eastAsia="宋体" w:cs="宋体"/>
                <w:b w:val="0"/>
                <w:bCs w:val="0"/>
                <w:color w:val="auto"/>
                <w:sz w:val="28"/>
                <w:szCs w:val="28"/>
              </w:rPr>
              <w:t>排水系统日常维护工作</w:t>
            </w:r>
            <w:r>
              <w:rPr>
                <w:rFonts w:hint="eastAsia" w:ascii="宋体" w:hAnsi="宋体" w:eastAsia="宋体" w:cs="宋体"/>
                <w:b w:val="0"/>
                <w:bCs w:val="0"/>
                <w:color w:val="auto"/>
                <w:sz w:val="28"/>
                <w:szCs w:val="28"/>
                <w:lang w:eastAsia="zh-CN"/>
              </w:rPr>
              <w:t>计划，</w:t>
            </w:r>
            <w:r>
              <w:rPr>
                <w:rFonts w:hint="eastAsia" w:ascii="宋体" w:hAnsi="宋体" w:eastAsia="宋体" w:cs="宋体"/>
                <w:color w:val="auto"/>
                <w:sz w:val="28"/>
                <w:szCs w:val="28"/>
              </w:rPr>
              <w:t>汛前对雨、污水井和管道、屋面雨水口等排水设施进行检查</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清理、疏通</w:t>
            </w:r>
            <w:r>
              <w:rPr>
                <w:rFonts w:hint="eastAsia" w:ascii="宋体" w:hAnsi="宋体" w:eastAsia="宋体" w:cs="宋体"/>
                <w:i w:val="0"/>
                <w:iCs w:val="0"/>
                <w:color w:val="auto"/>
                <w:kern w:val="0"/>
                <w:sz w:val="28"/>
                <w:szCs w:val="28"/>
                <w:highlight w:val="none"/>
                <w:u w:val="none"/>
                <w:lang w:val="en-US" w:eastAsia="zh-CN" w:bidi="ar"/>
              </w:rPr>
              <w:t>并记录工作台账</w:t>
            </w:r>
            <w:r>
              <w:rPr>
                <w:rFonts w:hint="eastAsia" w:ascii="宋体" w:hAnsi="宋体" w:eastAsia="宋体" w:cs="宋体"/>
                <w:color w:val="auto"/>
                <w:sz w:val="28"/>
                <w:szCs w:val="28"/>
                <w:lang w:eastAsia="zh-CN"/>
              </w:rPr>
              <w:t>。</w:t>
            </w:r>
          </w:p>
          <w:p w14:paraId="23739EF0">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top"/>
              <w:rPr>
                <w:rFonts w:hint="eastAsia" w:ascii="宋体" w:hAnsi="宋体" w:eastAsia="宋体" w:cs="宋体"/>
                <w:b w:val="0"/>
                <w:bCs w:val="0"/>
                <w:color w:val="000000" w:themeColor="text1"/>
                <w:kern w:val="0"/>
                <w:sz w:val="28"/>
                <w:szCs w:val="28"/>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一项不符合扣1分。</w:t>
            </w:r>
          </w:p>
        </w:tc>
      </w:tr>
      <w:tr w14:paraId="3BA57EA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2" w:hRule="atLeast"/>
          <w:jc w:val="center"/>
        </w:trPr>
        <w:tc>
          <w:tcPr>
            <w:tcW w:w="733" w:type="dxa"/>
            <w:tcBorders>
              <w:top w:val="single" w:color="000000" w:sz="8" w:space="0"/>
              <w:bottom w:val="single" w:color="000000" w:sz="8" w:space="0"/>
              <w:right w:val="single" w:color="000000" w:sz="4" w:space="0"/>
            </w:tcBorders>
            <w:shd w:val="clear" w:color="auto" w:fill="auto"/>
            <w:vAlign w:val="center"/>
          </w:tcPr>
          <w:p w14:paraId="1E9C419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四</w:t>
            </w:r>
          </w:p>
        </w:tc>
        <w:tc>
          <w:tcPr>
            <w:tcW w:w="3186" w:type="dxa"/>
            <w:gridSpan w:val="2"/>
            <w:tcBorders>
              <w:top w:val="single" w:color="000000" w:sz="8" w:space="0"/>
              <w:left w:val="single" w:color="000000" w:sz="4" w:space="0"/>
              <w:bottom w:val="single" w:color="000000" w:sz="8" w:space="0"/>
              <w:right w:val="single" w:color="000000" w:sz="4" w:space="0"/>
            </w:tcBorders>
            <w:shd w:val="clear" w:color="auto" w:fill="auto"/>
            <w:vAlign w:val="center"/>
          </w:tcPr>
          <w:p w14:paraId="5F5E8166">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公共秩序消防管理</w:t>
            </w:r>
          </w:p>
        </w:tc>
        <w:tc>
          <w:tcPr>
            <w:tcW w:w="885" w:type="dxa"/>
            <w:tcBorders>
              <w:top w:val="single" w:color="000000" w:sz="8" w:space="0"/>
              <w:left w:val="single" w:color="000000" w:sz="4" w:space="0"/>
              <w:bottom w:val="single" w:color="000000" w:sz="8" w:space="0"/>
              <w:right w:val="single" w:color="000000" w:sz="4" w:space="0"/>
            </w:tcBorders>
            <w:shd w:val="clear" w:color="auto" w:fill="auto"/>
            <w:vAlign w:val="center"/>
          </w:tcPr>
          <w:p w14:paraId="60A445A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15分</w:t>
            </w:r>
          </w:p>
        </w:tc>
        <w:tc>
          <w:tcPr>
            <w:tcW w:w="5150" w:type="dxa"/>
            <w:tcBorders>
              <w:top w:val="single" w:color="000000" w:sz="8" w:space="0"/>
              <w:left w:val="single" w:color="000000" w:sz="4" w:space="0"/>
              <w:bottom w:val="single" w:color="000000" w:sz="8" w:space="0"/>
            </w:tcBorders>
            <w:shd w:val="clear" w:color="auto" w:fill="auto"/>
            <w:vAlign w:val="center"/>
          </w:tcPr>
          <w:p w14:paraId="7CE68C95">
            <w:pPr>
              <w:keepNext w:val="0"/>
              <w:keepLines w:val="0"/>
              <w:pageBreakBefore w:val="0"/>
              <w:kinsoku/>
              <w:wordWrap/>
              <w:overflowPunct/>
              <w:topLinePunct w:val="0"/>
              <w:autoSpaceDE/>
              <w:autoSpaceDN/>
              <w:bidi w:val="0"/>
              <w:adjustRightInd/>
              <w:snapToGrid/>
              <w:spacing w:line="360" w:lineRule="exact"/>
              <w:rPr>
                <w:rFonts w:hint="eastAsia" w:ascii="宋体" w:hAnsi="宋体" w:eastAsia="宋体" w:cs="宋体"/>
                <w:b/>
                <w:bCs/>
                <w:i w:val="0"/>
                <w:iCs w:val="0"/>
                <w:color w:val="000000" w:themeColor="text1"/>
                <w:sz w:val="28"/>
                <w:szCs w:val="28"/>
                <w:highlight w:val="none"/>
                <w:u w:val="none"/>
                <w14:textFill>
                  <w14:solidFill>
                    <w14:schemeClr w14:val="tx1"/>
                  </w14:solidFill>
                </w14:textFill>
              </w:rPr>
            </w:pPr>
          </w:p>
        </w:tc>
      </w:tr>
      <w:tr w14:paraId="1D08EC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51" w:hRule="atLeast"/>
          <w:jc w:val="center"/>
        </w:trPr>
        <w:tc>
          <w:tcPr>
            <w:tcW w:w="733" w:type="dxa"/>
            <w:vMerge w:val="restart"/>
            <w:tcBorders>
              <w:top w:val="single" w:color="000000" w:sz="8" w:space="0"/>
              <w:bottom w:val="single" w:color="000000" w:sz="8" w:space="0"/>
              <w:right w:val="single" w:color="000000" w:sz="4" w:space="0"/>
            </w:tcBorders>
            <w:shd w:val="clear" w:color="auto" w:fill="auto"/>
            <w:vAlign w:val="center"/>
          </w:tcPr>
          <w:p w14:paraId="08F10A13">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8" w:space="0"/>
              <w:left w:val="single" w:color="000000" w:sz="4" w:space="0"/>
              <w:bottom w:val="single" w:color="000000" w:sz="4" w:space="0"/>
              <w:right w:val="single" w:color="000000" w:sz="4" w:space="0"/>
            </w:tcBorders>
            <w:shd w:val="clear" w:color="auto" w:fill="auto"/>
            <w:vAlign w:val="center"/>
          </w:tcPr>
          <w:p w14:paraId="5CC0C92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（一）秩序维护管理</w:t>
            </w:r>
          </w:p>
        </w:tc>
        <w:tc>
          <w:tcPr>
            <w:tcW w:w="885" w:type="dxa"/>
            <w:tcBorders>
              <w:top w:val="single" w:color="000000" w:sz="8" w:space="0"/>
              <w:left w:val="single" w:color="000000" w:sz="4" w:space="0"/>
              <w:bottom w:val="single" w:color="000000" w:sz="4" w:space="0"/>
              <w:right w:val="single" w:color="000000" w:sz="4" w:space="0"/>
            </w:tcBorders>
            <w:shd w:val="clear" w:color="auto" w:fill="auto"/>
            <w:vAlign w:val="center"/>
          </w:tcPr>
          <w:p w14:paraId="461E6EC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6</w:t>
            </w:r>
          </w:p>
        </w:tc>
        <w:tc>
          <w:tcPr>
            <w:tcW w:w="5150" w:type="dxa"/>
            <w:tcBorders>
              <w:top w:val="single" w:color="000000" w:sz="8" w:space="0"/>
              <w:left w:val="single" w:color="000000" w:sz="4" w:space="0"/>
              <w:bottom w:val="single" w:color="000000" w:sz="4" w:space="0"/>
            </w:tcBorders>
            <w:shd w:val="clear" w:color="auto" w:fill="auto"/>
            <w:vAlign w:val="center"/>
          </w:tcPr>
          <w:p w14:paraId="6637929C">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1、建立保安服务管理制度、岗位职责制度和保安员管理制度；</w:t>
            </w:r>
          </w:p>
          <w:p w14:paraId="52FC3C8C">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2、主出入口实行24小时值班、对出入人员、车辆和物品实行管理；</w:t>
            </w:r>
          </w:p>
          <w:p w14:paraId="308FC30E">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3、岗亭卫生干净整洁，无乱堆乱放，设施设备无积尘、无异味；</w:t>
            </w:r>
          </w:p>
          <w:p w14:paraId="7114417F">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4、严格执行物品出入管理及来访管理制度，《来访登记表》，《物品出入放行条》等记录完整；</w:t>
            </w:r>
          </w:p>
          <w:p w14:paraId="17898309">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5、定时定点巡逻，并做好《保安交接班记录表〉、《巡逻签到表〉记录；</w:t>
            </w:r>
          </w:p>
          <w:p w14:paraId="4454883E">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6、</w:t>
            </w:r>
            <w:r>
              <w:rPr>
                <w:rFonts w:hint="eastAsia" w:ascii="宋体" w:hAnsi="宋体" w:eastAsia="宋体" w:cs="宋体"/>
                <w:b w:val="0"/>
                <w:bCs w:val="0"/>
                <w:color w:val="000000" w:themeColor="text1"/>
                <w:kern w:val="0"/>
                <w:sz w:val="28"/>
                <w:szCs w:val="28"/>
                <w:highlight w:val="none"/>
                <w14:textFill>
                  <w14:solidFill>
                    <w14:schemeClr w14:val="tx1"/>
                  </w14:solidFill>
                </w14:textFill>
              </w:rPr>
              <w:t>对可能危及人身安全的地点和设施设备，有明显警示标志和防范措施</w:t>
            </w: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w:t>
            </w:r>
          </w:p>
          <w:p w14:paraId="29515C00">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一项不符合扣1分。</w:t>
            </w:r>
          </w:p>
        </w:tc>
      </w:tr>
      <w:tr w14:paraId="48FBA9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81" w:hRule="atLeast"/>
          <w:jc w:val="center"/>
        </w:trPr>
        <w:tc>
          <w:tcPr>
            <w:tcW w:w="733" w:type="dxa"/>
            <w:vMerge w:val="continue"/>
            <w:tcBorders>
              <w:top w:val="single" w:color="000000" w:sz="8" w:space="0"/>
              <w:bottom w:val="single" w:color="000000" w:sz="8" w:space="0"/>
              <w:right w:val="single" w:color="000000" w:sz="4" w:space="0"/>
            </w:tcBorders>
            <w:shd w:val="clear" w:color="auto" w:fill="auto"/>
            <w:vAlign w:val="center"/>
          </w:tcPr>
          <w:p w14:paraId="272A67B9">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C0131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（二）交通秩序管理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E70D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5</w:t>
            </w:r>
          </w:p>
        </w:tc>
        <w:tc>
          <w:tcPr>
            <w:tcW w:w="5150" w:type="dxa"/>
            <w:tcBorders>
              <w:top w:val="single" w:color="000000" w:sz="4" w:space="0"/>
              <w:left w:val="single" w:color="000000" w:sz="4" w:space="0"/>
              <w:bottom w:val="single" w:color="000000" w:sz="4" w:space="0"/>
            </w:tcBorders>
            <w:shd w:val="clear" w:color="auto" w:fill="auto"/>
            <w:vAlign w:val="center"/>
          </w:tcPr>
          <w:p w14:paraId="4F9211D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1、车辆按规定位置停放，管理有序，无乱停乱放现象，</w:t>
            </w:r>
            <w:r>
              <w:rPr>
                <w:rFonts w:hint="eastAsia" w:ascii="宋体" w:hAnsi="宋体" w:eastAsia="宋体" w:cs="宋体"/>
                <w:color w:val="auto"/>
                <w:sz w:val="28"/>
                <w:szCs w:val="28"/>
              </w:rPr>
              <w:t>不占用疏散通道、消防车通道、安全出口、公共通道及其他公共场所，不影响其他车辆和行人的正常通行</w:t>
            </w: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w:t>
            </w:r>
          </w:p>
          <w:p w14:paraId="7132F0EF">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leftChars="0"/>
              <w:jc w:val="left"/>
              <w:textAlignment w:val="cente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电动车集中停放</w:t>
            </w:r>
            <w:r>
              <w:rPr>
                <w:rFonts w:hint="eastAsia" w:ascii="宋体" w:hAnsi="宋体" w:eastAsia="宋体" w:cs="宋体"/>
                <w:color w:val="auto"/>
                <w:sz w:val="28"/>
                <w:szCs w:val="28"/>
                <w:lang w:eastAsia="zh-CN"/>
              </w:rPr>
              <w:t>在统一规划</w:t>
            </w:r>
            <w:r>
              <w:rPr>
                <w:rFonts w:hint="eastAsia" w:ascii="宋体" w:hAnsi="宋体" w:eastAsia="宋体" w:cs="宋体"/>
                <w:color w:val="auto"/>
                <w:sz w:val="28"/>
                <w:szCs w:val="28"/>
              </w:rPr>
              <w:t>场</w:t>
            </w:r>
            <w:r>
              <w:rPr>
                <w:rFonts w:hint="eastAsia" w:ascii="宋体" w:hAnsi="宋体" w:eastAsia="宋体" w:cs="宋体"/>
                <w:color w:val="auto"/>
                <w:sz w:val="28"/>
                <w:szCs w:val="28"/>
                <w:lang w:eastAsia="zh-CN"/>
              </w:rPr>
              <w:t>地，</w:t>
            </w:r>
            <w:r>
              <w:rPr>
                <w:rFonts w:hint="eastAsia" w:ascii="宋体" w:hAnsi="宋体" w:eastAsia="宋体" w:cs="宋体"/>
                <w:color w:val="auto"/>
                <w:sz w:val="28"/>
                <w:szCs w:val="28"/>
              </w:rPr>
              <w:t>充电设施符合用电安全要求</w:t>
            </w:r>
            <w:r>
              <w:rPr>
                <w:rFonts w:hint="eastAsia" w:ascii="宋体" w:hAnsi="宋体" w:eastAsia="宋体" w:cs="宋体"/>
                <w:color w:val="auto"/>
                <w:sz w:val="28"/>
                <w:szCs w:val="28"/>
                <w:lang w:eastAsia="zh-CN"/>
              </w:rPr>
              <w:t>；</w:t>
            </w:r>
          </w:p>
          <w:p w14:paraId="59687EEF">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leftChars="0"/>
              <w:jc w:val="left"/>
              <w:textAlignment w:val="cente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pPr>
            <w:r>
              <w:rPr>
                <w:rFonts w:hint="eastAsia" w:ascii="宋体" w:hAnsi="宋体" w:eastAsia="宋体" w:cs="宋体"/>
                <w:b w:val="0"/>
                <w:bCs w:val="0"/>
                <w:color w:val="000000" w:themeColor="text1"/>
                <w:kern w:val="0"/>
                <w:sz w:val="28"/>
                <w:szCs w:val="28"/>
                <w:highlight w:val="none"/>
                <w:lang w:val="en-US" w:eastAsia="zh-CN"/>
                <w14:textFill>
                  <w14:solidFill>
                    <w14:schemeClr w14:val="tx1"/>
                  </w14:solidFill>
                </w14:textFill>
              </w:rPr>
              <w:t>3、</w:t>
            </w:r>
            <w:r>
              <w:rPr>
                <w:rFonts w:hint="eastAsia" w:ascii="宋体" w:hAnsi="宋体" w:eastAsia="宋体" w:cs="宋体"/>
                <w:b w:val="0"/>
                <w:bCs w:val="0"/>
                <w:color w:val="000000" w:themeColor="text1"/>
                <w:kern w:val="0"/>
                <w:sz w:val="28"/>
                <w:szCs w:val="28"/>
                <w:highlight w:val="none"/>
                <w14:textFill>
                  <w14:solidFill>
                    <w14:schemeClr w14:val="tx1"/>
                  </w14:solidFill>
                </w14:textFill>
              </w:rPr>
              <w:t>公示停车场（库）管理规定、停车收费标准</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w:t>
            </w:r>
          </w:p>
          <w:p w14:paraId="43700922">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leftChars="0"/>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b w:val="0"/>
                <w:bCs w:val="0"/>
                <w:color w:val="000000" w:themeColor="text1"/>
                <w:kern w:val="0"/>
                <w:sz w:val="28"/>
                <w:szCs w:val="28"/>
                <w:highlight w:val="none"/>
                <w:lang w:val="en-US" w:eastAsia="zh-CN"/>
                <w14:textFill>
                  <w14:solidFill>
                    <w14:schemeClr w14:val="tx1"/>
                  </w14:solidFill>
                </w14:textFill>
              </w:rPr>
              <w:t>4、</w:t>
            </w:r>
            <w:r>
              <w:rPr>
                <w:rFonts w:hint="eastAsia" w:ascii="宋体" w:hAnsi="宋体" w:eastAsia="宋体" w:cs="宋体"/>
                <w:b w:val="0"/>
                <w:bCs w:val="0"/>
                <w:color w:val="000000" w:themeColor="text1"/>
                <w:kern w:val="0"/>
                <w:sz w:val="28"/>
                <w:szCs w:val="28"/>
                <w:highlight w:val="none"/>
                <w14:textFill>
                  <w14:solidFill>
                    <w14:schemeClr w14:val="tx1"/>
                  </w14:solidFill>
                </w14:textFill>
              </w:rPr>
              <w:t>停车场（库）定期巡视检查，记录完整</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w:t>
            </w:r>
          </w:p>
          <w:p w14:paraId="78040FE5">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leftChars="0"/>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5、车辆进出道闸、立体停车设施等运行正常，并按规定定期检查，维修养护并记录完整。</w:t>
            </w:r>
          </w:p>
          <w:p w14:paraId="3BB7BAAA">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leftChars="0"/>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一项不符合扣1分。</w:t>
            </w:r>
          </w:p>
        </w:tc>
      </w:tr>
      <w:tr w14:paraId="5076A5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71" w:hRule="atLeast"/>
          <w:jc w:val="center"/>
        </w:trPr>
        <w:tc>
          <w:tcPr>
            <w:tcW w:w="733" w:type="dxa"/>
            <w:vMerge w:val="continue"/>
            <w:tcBorders>
              <w:top w:val="single" w:color="000000" w:sz="8" w:space="0"/>
              <w:bottom w:val="single" w:color="000000" w:sz="8" w:space="0"/>
              <w:right w:val="single" w:color="000000" w:sz="4" w:space="0"/>
            </w:tcBorders>
            <w:shd w:val="clear" w:color="auto" w:fill="auto"/>
            <w:vAlign w:val="center"/>
          </w:tcPr>
          <w:p w14:paraId="4C91FFA7">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4" w:space="0"/>
              <w:left w:val="single" w:color="000000" w:sz="4" w:space="0"/>
              <w:bottom w:val="single" w:color="000000" w:sz="8" w:space="0"/>
              <w:right w:val="single" w:color="000000" w:sz="4" w:space="0"/>
            </w:tcBorders>
            <w:shd w:val="clear" w:color="auto" w:fill="auto"/>
            <w:vAlign w:val="center"/>
          </w:tcPr>
          <w:p w14:paraId="5B7F0BD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（三）消防安全管理</w:t>
            </w:r>
          </w:p>
        </w:tc>
        <w:tc>
          <w:tcPr>
            <w:tcW w:w="88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CEB43C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4</w:t>
            </w:r>
          </w:p>
        </w:tc>
        <w:tc>
          <w:tcPr>
            <w:tcW w:w="5150" w:type="dxa"/>
            <w:tcBorders>
              <w:top w:val="single" w:color="000000" w:sz="4" w:space="0"/>
              <w:left w:val="single" w:color="000000" w:sz="4" w:space="0"/>
              <w:bottom w:val="single" w:color="000000" w:sz="8" w:space="0"/>
            </w:tcBorders>
            <w:shd w:val="clear" w:color="auto" w:fill="auto"/>
            <w:vAlign w:val="center"/>
          </w:tcPr>
          <w:p w14:paraId="512A57C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1、保障疏散通道、安全出口、消防车道畅通，无埋压侵占遮挡消火栓等消防设施现象；</w:t>
            </w:r>
          </w:p>
          <w:p w14:paraId="5A62C7D0">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val="0"/>
                <w:bCs w:val="0"/>
                <w:color w:val="000000" w:themeColor="text1"/>
                <w:kern w:val="0"/>
                <w:sz w:val="28"/>
                <w:szCs w:val="28"/>
                <w:highlight w:val="none"/>
                <w14:textFill>
                  <w14:solidFill>
                    <w14:schemeClr w14:val="tx1"/>
                  </w14:solidFill>
                </w14:textFill>
              </w:rPr>
            </w:pPr>
            <w:r>
              <w:rPr>
                <w:rFonts w:hint="eastAsia" w:ascii="宋体" w:hAnsi="宋体" w:eastAsia="宋体" w:cs="宋体"/>
                <w:b w:val="0"/>
                <w:bCs w:val="0"/>
                <w:color w:val="000000" w:themeColor="text1"/>
                <w:kern w:val="0"/>
                <w:sz w:val="28"/>
                <w:szCs w:val="28"/>
                <w:highlight w:val="none"/>
                <w:lang w:val="en-US" w:eastAsia="zh-CN"/>
                <w14:textFill>
                  <w14:solidFill>
                    <w14:schemeClr w14:val="tx1"/>
                  </w14:solidFill>
                </w14:textFill>
              </w:rPr>
              <w:t>2、</w:t>
            </w:r>
            <w:r>
              <w:rPr>
                <w:rFonts w:hint="eastAsia" w:ascii="宋体" w:hAnsi="宋体" w:eastAsia="宋体" w:cs="宋体"/>
                <w:b w:val="0"/>
                <w:bCs w:val="0"/>
                <w:color w:val="000000" w:themeColor="text1"/>
                <w:kern w:val="0"/>
                <w:sz w:val="28"/>
                <w:szCs w:val="28"/>
                <w:highlight w:val="none"/>
                <w14:textFill>
                  <w14:solidFill>
                    <w14:schemeClr w14:val="tx1"/>
                  </w14:solidFill>
                </w14:textFill>
              </w:rPr>
              <w:t>消防设施</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w:t>
            </w:r>
            <w:r>
              <w:rPr>
                <w:rFonts w:hint="eastAsia" w:ascii="宋体" w:hAnsi="宋体" w:eastAsia="宋体" w:cs="宋体"/>
                <w:b w:val="0"/>
                <w:bCs w:val="0"/>
                <w:color w:val="000000" w:themeColor="text1"/>
                <w:kern w:val="0"/>
                <w:sz w:val="28"/>
                <w:szCs w:val="28"/>
                <w:highlight w:val="none"/>
                <w14:textFill>
                  <w14:solidFill>
                    <w14:schemeClr w14:val="tx1"/>
                  </w14:solidFill>
                </w14:textFill>
              </w:rPr>
              <w:t>器材</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及消防安全标志完好有效，</w:t>
            </w:r>
            <w:r>
              <w:rPr>
                <w:rFonts w:hint="eastAsia" w:ascii="宋体" w:hAnsi="宋体" w:eastAsia="宋体" w:cs="宋体"/>
                <w:b w:val="0"/>
                <w:bCs w:val="0"/>
                <w:color w:val="000000" w:themeColor="text1"/>
                <w:kern w:val="0"/>
                <w:sz w:val="28"/>
                <w:szCs w:val="28"/>
                <w:highlight w:val="none"/>
                <w14:textFill>
                  <w14:solidFill>
                    <w14:schemeClr w14:val="tx1"/>
                  </w14:solidFill>
                </w14:textFill>
              </w:rPr>
              <w:t>有定期</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巡查</w:t>
            </w:r>
            <w:r>
              <w:rPr>
                <w:rFonts w:hint="eastAsia" w:ascii="宋体" w:hAnsi="宋体" w:eastAsia="宋体" w:cs="宋体"/>
                <w:b w:val="0"/>
                <w:bCs w:val="0"/>
                <w:color w:val="000000" w:themeColor="text1"/>
                <w:kern w:val="0"/>
                <w:sz w:val="28"/>
                <w:szCs w:val="28"/>
                <w:highlight w:val="none"/>
                <w14:textFill>
                  <w14:solidFill>
                    <w14:schemeClr w14:val="tx1"/>
                  </w14:solidFill>
                </w14:textFill>
              </w:rPr>
              <w:t>、维修养护、检测并记录；</w:t>
            </w:r>
          </w:p>
          <w:p w14:paraId="26510C52">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3、消防安全隐患及时整改并有记录；</w:t>
            </w:r>
          </w:p>
          <w:p w14:paraId="6B47E624">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4、定期开展消防安全宣传，进行消防知识培训，每年组织消防演练并记录完整。</w:t>
            </w:r>
          </w:p>
          <w:p w14:paraId="0627DAB3">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一项不符合扣1分。</w:t>
            </w:r>
          </w:p>
        </w:tc>
      </w:tr>
      <w:tr w14:paraId="02255C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733" w:type="dxa"/>
            <w:tcBorders>
              <w:top w:val="single" w:color="000000" w:sz="8" w:space="0"/>
              <w:bottom w:val="single" w:color="000000" w:sz="8" w:space="0"/>
              <w:right w:val="single" w:color="000000" w:sz="4" w:space="0"/>
            </w:tcBorders>
            <w:shd w:val="clear" w:color="auto" w:fill="auto"/>
            <w:vAlign w:val="center"/>
          </w:tcPr>
          <w:p w14:paraId="54BAF72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五</w:t>
            </w:r>
          </w:p>
        </w:tc>
        <w:tc>
          <w:tcPr>
            <w:tcW w:w="3186" w:type="dxa"/>
            <w:gridSpan w:val="2"/>
            <w:tcBorders>
              <w:top w:val="single" w:color="000000" w:sz="8" w:space="0"/>
              <w:left w:val="single" w:color="000000" w:sz="4" w:space="0"/>
              <w:bottom w:val="single" w:color="000000" w:sz="8" w:space="0"/>
              <w:right w:val="single" w:color="000000" w:sz="4" w:space="0"/>
            </w:tcBorders>
            <w:shd w:val="clear" w:color="auto" w:fill="auto"/>
            <w:vAlign w:val="center"/>
          </w:tcPr>
          <w:p w14:paraId="0BD4A3D7">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环境、绿化管理</w:t>
            </w:r>
          </w:p>
        </w:tc>
        <w:tc>
          <w:tcPr>
            <w:tcW w:w="885" w:type="dxa"/>
            <w:tcBorders>
              <w:top w:val="single" w:color="000000" w:sz="8" w:space="0"/>
              <w:left w:val="single" w:color="000000" w:sz="4" w:space="0"/>
              <w:bottom w:val="single" w:color="000000" w:sz="8" w:space="0"/>
              <w:right w:val="single" w:color="000000" w:sz="4" w:space="0"/>
            </w:tcBorders>
            <w:shd w:val="clear" w:color="auto" w:fill="auto"/>
            <w:vAlign w:val="center"/>
          </w:tcPr>
          <w:p w14:paraId="5CEFBA2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20分</w:t>
            </w:r>
          </w:p>
        </w:tc>
        <w:tc>
          <w:tcPr>
            <w:tcW w:w="5150" w:type="dxa"/>
            <w:tcBorders>
              <w:top w:val="single" w:color="000000" w:sz="8" w:space="0"/>
              <w:left w:val="single" w:color="000000" w:sz="4" w:space="0"/>
              <w:bottom w:val="single" w:color="000000" w:sz="8" w:space="0"/>
            </w:tcBorders>
            <w:shd w:val="clear" w:color="auto" w:fill="auto"/>
            <w:vAlign w:val="center"/>
          </w:tcPr>
          <w:p w14:paraId="68624DD6">
            <w:pPr>
              <w:keepNext w:val="0"/>
              <w:keepLines w:val="0"/>
              <w:pageBreakBefore w:val="0"/>
              <w:kinsoku/>
              <w:wordWrap/>
              <w:overflowPunct/>
              <w:topLinePunct w:val="0"/>
              <w:autoSpaceDE/>
              <w:autoSpaceDN/>
              <w:bidi w:val="0"/>
              <w:adjustRightInd/>
              <w:snapToGrid/>
              <w:spacing w:line="360" w:lineRule="exact"/>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r>
      <w:tr w14:paraId="2D0DB3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06" w:hRule="atLeast"/>
          <w:jc w:val="center"/>
        </w:trPr>
        <w:tc>
          <w:tcPr>
            <w:tcW w:w="733" w:type="dxa"/>
            <w:vMerge w:val="restart"/>
            <w:tcBorders>
              <w:top w:val="single" w:color="000000" w:sz="8" w:space="0"/>
              <w:bottom w:val="single" w:color="000000" w:sz="8" w:space="0"/>
              <w:right w:val="single" w:color="000000" w:sz="4" w:space="0"/>
            </w:tcBorders>
            <w:shd w:val="clear" w:color="auto" w:fill="auto"/>
            <w:vAlign w:val="center"/>
          </w:tcPr>
          <w:p w14:paraId="76F629E5">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8" w:space="0"/>
              <w:left w:val="single" w:color="000000" w:sz="4" w:space="0"/>
              <w:bottom w:val="single" w:color="000000" w:sz="4" w:space="0"/>
              <w:right w:val="single" w:color="000000" w:sz="4" w:space="0"/>
            </w:tcBorders>
            <w:shd w:val="clear" w:color="auto" w:fill="auto"/>
            <w:vAlign w:val="center"/>
          </w:tcPr>
          <w:p w14:paraId="4908B470">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（一）公共区域清洁管理</w:t>
            </w:r>
          </w:p>
        </w:tc>
        <w:tc>
          <w:tcPr>
            <w:tcW w:w="885" w:type="dxa"/>
            <w:tcBorders>
              <w:top w:val="single" w:color="000000" w:sz="8" w:space="0"/>
              <w:left w:val="single" w:color="000000" w:sz="4" w:space="0"/>
              <w:bottom w:val="single" w:color="000000" w:sz="4" w:space="0"/>
              <w:right w:val="single" w:color="000000" w:sz="4" w:space="0"/>
            </w:tcBorders>
            <w:shd w:val="clear" w:color="auto" w:fill="auto"/>
            <w:vAlign w:val="center"/>
          </w:tcPr>
          <w:p w14:paraId="56800EC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lang w:val="en-US"/>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10</w:t>
            </w:r>
          </w:p>
        </w:tc>
        <w:tc>
          <w:tcPr>
            <w:tcW w:w="5150" w:type="dxa"/>
            <w:tcBorders>
              <w:top w:val="single" w:color="000000" w:sz="8" w:space="0"/>
              <w:left w:val="single" w:color="000000" w:sz="4" w:space="0"/>
              <w:bottom w:val="single" w:color="000000" w:sz="4" w:space="0"/>
            </w:tcBorders>
            <w:shd w:val="clear" w:color="auto" w:fill="auto"/>
            <w:vAlign w:val="center"/>
          </w:tcPr>
          <w:p w14:paraId="568F2104">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val="0"/>
                <w:bCs w:val="0"/>
                <w:color w:val="000000" w:themeColor="text1"/>
                <w:kern w:val="0"/>
                <w:sz w:val="28"/>
                <w:szCs w:val="28"/>
                <w:highlight w:val="none"/>
                <w14:textFill>
                  <w14:solidFill>
                    <w14:schemeClr w14:val="tx1"/>
                  </w14:solidFill>
                </w14:textFill>
              </w:rPr>
            </w:pPr>
            <w:r>
              <w:rPr>
                <w:rFonts w:hint="eastAsia" w:ascii="宋体" w:hAnsi="宋体" w:eastAsia="宋体" w:cs="宋体"/>
                <w:b w:val="0"/>
                <w:bCs w:val="0"/>
                <w:color w:val="000000" w:themeColor="text1"/>
                <w:kern w:val="0"/>
                <w:sz w:val="28"/>
                <w:szCs w:val="28"/>
                <w:highlight w:val="none"/>
                <w:lang w:val="en-US" w:eastAsia="zh-CN"/>
                <w14:textFill>
                  <w14:solidFill>
                    <w14:schemeClr w14:val="tx1"/>
                  </w14:solidFill>
                </w14:textFill>
              </w:rPr>
              <w:t>1</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w:t>
            </w:r>
            <w:r>
              <w:rPr>
                <w:rFonts w:hint="eastAsia" w:ascii="宋体" w:hAnsi="宋体" w:eastAsia="宋体" w:cs="宋体"/>
                <w:b w:val="0"/>
                <w:bCs w:val="0"/>
                <w:color w:val="000000" w:themeColor="text1"/>
                <w:kern w:val="0"/>
                <w:sz w:val="28"/>
                <w:szCs w:val="28"/>
                <w:highlight w:val="none"/>
                <w14:textFill>
                  <w14:solidFill>
                    <w14:schemeClr w14:val="tx1"/>
                  </w14:solidFill>
                </w14:textFill>
              </w:rPr>
              <w:t>保洁人员配置合理，责任区域明确</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w:t>
            </w:r>
          </w:p>
          <w:p w14:paraId="3982D6C8">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val="0"/>
                <w:bCs w:val="0"/>
                <w:color w:val="000000" w:themeColor="text1"/>
                <w:kern w:val="0"/>
                <w:sz w:val="28"/>
                <w:szCs w:val="28"/>
                <w:highlight w:val="none"/>
                <w14:textFill>
                  <w14:solidFill>
                    <w14:schemeClr w14:val="tx1"/>
                  </w14:solidFill>
                </w14:textFill>
              </w:rPr>
            </w:pPr>
            <w:r>
              <w:rPr>
                <w:rFonts w:hint="eastAsia" w:ascii="宋体" w:hAnsi="宋体" w:eastAsia="宋体" w:cs="宋体"/>
                <w:b w:val="0"/>
                <w:bCs w:val="0"/>
                <w:color w:val="000000" w:themeColor="text1"/>
                <w:kern w:val="0"/>
                <w:sz w:val="28"/>
                <w:szCs w:val="28"/>
                <w:highlight w:val="none"/>
                <w:lang w:val="en-US" w:eastAsia="zh-CN"/>
                <w14:textFill>
                  <w14:solidFill>
                    <w14:schemeClr w14:val="tx1"/>
                  </w14:solidFill>
                </w14:textFill>
              </w:rPr>
              <w:t>2、</w:t>
            </w:r>
            <w:r>
              <w:rPr>
                <w:rFonts w:hint="eastAsia" w:ascii="宋体" w:hAnsi="宋体" w:eastAsia="宋体" w:cs="宋体"/>
                <w:b w:val="0"/>
                <w:bCs w:val="0"/>
                <w:color w:val="000000" w:themeColor="text1"/>
                <w:kern w:val="0"/>
                <w:sz w:val="28"/>
                <w:szCs w:val="28"/>
                <w:highlight w:val="none"/>
                <w14:textFill>
                  <w14:solidFill>
                    <w14:schemeClr w14:val="tx1"/>
                  </w14:solidFill>
                </w14:textFill>
              </w:rPr>
              <w:t>管理区域内道路、停车场、文体活动区域等共用场地</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清洁，</w:t>
            </w:r>
            <w:r>
              <w:rPr>
                <w:rFonts w:hint="eastAsia" w:ascii="宋体" w:hAnsi="宋体" w:eastAsia="宋体" w:cs="宋体"/>
                <w:b w:val="0"/>
                <w:bCs w:val="0"/>
                <w:color w:val="000000" w:themeColor="text1"/>
                <w:kern w:val="0"/>
                <w:sz w:val="28"/>
                <w:szCs w:val="28"/>
                <w:highlight w:val="none"/>
                <w14:textFill>
                  <w14:solidFill>
                    <w14:schemeClr w14:val="tx1"/>
                  </w14:solidFill>
                </w14:textFill>
              </w:rPr>
              <w:t>无</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明显垃圾、</w:t>
            </w:r>
            <w:r>
              <w:rPr>
                <w:rFonts w:hint="eastAsia" w:ascii="宋体" w:hAnsi="宋体" w:eastAsia="宋体" w:cs="宋体"/>
                <w:b w:val="0"/>
                <w:bCs w:val="0"/>
                <w:color w:val="000000" w:themeColor="text1"/>
                <w:kern w:val="0"/>
                <w:sz w:val="28"/>
                <w:szCs w:val="28"/>
                <w:highlight w:val="none"/>
                <w14:textFill>
                  <w14:solidFill>
                    <w14:schemeClr w14:val="tx1"/>
                  </w14:solidFill>
                </w14:textFill>
              </w:rPr>
              <w:t>纸屑、塑料袋</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、饮料瓶</w:t>
            </w:r>
            <w:r>
              <w:rPr>
                <w:rFonts w:hint="eastAsia" w:ascii="宋体" w:hAnsi="宋体" w:eastAsia="宋体" w:cs="宋体"/>
                <w:b w:val="0"/>
                <w:bCs w:val="0"/>
                <w:color w:val="000000" w:themeColor="text1"/>
                <w:kern w:val="0"/>
                <w:sz w:val="28"/>
                <w:szCs w:val="28"/>
                <w:highlight w:val="none"/>
                <w14:textFill>
                  <w14:solidFill>
                    <w14:schemeClr w14:val="tx1"/>
                  </w14:solidFill>
                </w14:textFill>
              </w:rPr>
              <w:t>等废弃物</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w:t>
            </w:r>
          </w:p>
          <w:p w14:paraId="0103FBC4">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val="0"/>
                <w:bCs w:val="0"/>
                <w:color w:val="000000" w:themeColor="text1"/>
                <w:kern w:val="0"/>
                <w:sz w:val="28"/>
                <w:szCs w:val="28"/>
                <w:highlight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3、管理区域内天花板及墙面无污迹、无乱张贴、无蜘蛛网；</w:t>
            </w:r>
          </w:p>
          <w:p w14:paraId="5CDCF3A1">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val="0"/>
                <w:bCs w:val="0"/>
                <w:color w:val="000000" w:themeColor="text1"/>
                <w:kern w:val="0"/>
                <w:sz w:val="28"/>
                <w:szCs w:val="28"/>
                <w:highlight w:val="none"/>
                <w14:textFill>
                  <w14:solidFill>
                    <w14:schemeClr w14:val="tx1"/>
                  </w14:solidFill>
                </w14:textFill>
              </w:rPr>
            </w:pPr>
            <w:r>
              <w:rPr>
                <w:rFonts w:hint="eastAsia" w:ascii="宋体" w:hAnsi="宋体" w:eastAsia="宋体" w:cs="宋体"/>
                <w:i w:val="0"/>
                <w:color w:val="000000" w:themeColor="text1"/>
                <w:kern w:val="0"/>
                <w:sz w:val="28"/>
                <w:szCs w:val="28"/>
                <w:highlight w:val="none"/>
                <w:u w:val="none"/>
                <w:lang w:val="en-US" w:eastAsia="zh-CN" w:bidi="ar"/>
                <w14:textFill>
                  <w14:solidFill>
                    <w14:schemeClr w14:val="tx1"/>
                  </w14:solidFill>
                </w14:textFill>
              </w:rPr>
              <w:t>4、玻璃、电梯</w:t>
            </w: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轿箱等无</w:t>
            </w:r>
            <w:r>
              <w:rPr>
                <w:rFonts w:hint="eastAsia" w:ascii="宋体" w:hAnsi="宋体" w:eastAsia="宋体" w:cs="宋体"/>
                <w:i w:val="0"/>
                <w:color w:val="000000" w:themeColor="text1"/>
                <w:kern w:val="0"/>
                <w:sz w:val="28"/>
                <w:szCs w:val="28"/>
                <w:highlight w:val="none"/>
                <w:u w:val="none"/>
                <w:lang w:val="en-US" w:eastAsia="zh-CN" w:bidi="ar"/>
                <w14:textFill>
                  <w14:solidFill>
                    <w14:schemeClr w14:val="tx1"/>
                  </w14:solidFill>
                </w14:textFill>
              </w:rPr>
              <w:t>明显污渍、手印等；</w:t>
            </w:r>
          </w:p>
          <w:p w14:paraId="4A087748">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5、窗台、楼梯扶手无污迹、积尘、蜘蛛网等；</w:t>
            </w:r>
          </w:p>
          <w:p w14:paraId="2852C070">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6、楼道梯间、走廊地面、楼顶无杂物堆积、无积水等；</w:t>
            </w:r>
          </w:p>
          <w:p w14:paraId="3712408F">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b w:val="0"/>
                <w:bCs w:val="0"/>
                <w:color w:val="000000" w:themeColor="text1"/>
                <w:kern w:val="0"/>
                <w:sz w:val="28"/>
                <w:szCs w:val="28"/>
                <w:highlight w:val="none"/>
                <w:lang w:val="en-US" w:eastAsia="zh-CN"/>
                <w14:textFill>
                  <w14:solidFill>
                    <w14:schemeClr w14:val="tx1"/>
                  </w14:solidFill>
                </w14:textFill>
              </w:rPr>
              <w:t>7、</w:t>
            </w:r>
            <w:r>
              <w:rPr>
                <w:rFonts w:hint="eastAsia" w:ascii="宋体" w:hAnsi="宋体" w:eastAsia="宋体" w:cs="宋体"/>
                <w:b w:val="0"/>
                <w:bCs w:val="0"/>
                <w:color w:val="000000" w:themeColor="text1"/>
                <w:kern w:val="0"/>
                <w:sz w:val="28"/>
                <w:szCs w:val="28"/>
                <w:highlight w:val="none"/>
                <w14:textFill>
                  <w14:solidFill>
                    <w14:schemeClr w14:val="tx1"/>
                  </w14:solidFill>
                </w14:textFill>
              </w:rPr>
              <w:t>防治鼠害、</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蚊</w:t>
            </w:r>
            <w:r>
              <w:rPr>
                <w:rFonts w:hint="eastAsia" w:ascii="宋体" w:hAnsi="宋体" w:eastAsia="宋体" w:cs="宋体"/>
                <w:b w:val="0"/>
                <w:bCs w:val="0"/>
                <w:color w:val="000000" w:themeColor="text1"/>
                <w:kern w:val="0"/>
                <w:sz w:val="28"/>
                <w:szCs w:val="28"/>
                <w:highlight w:val="none"/>
                <w14:textFill>
                  <w14:solidFill>
                    <w14:schemeClr w14:val="tx1"/>
                  </w14:solidFill>
                </w14:textFill>
              </w:rPr>
              <w:t>虫害等有计划，有措施，有</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消杀</w:t>
            </w:r>
            <w:r>
              <w:rPr>
                <w:rFonts w:hint="eastAsia" w:ascii="宋体" w:hAnsi="宋体" w:eastAsia="宋体" w:cs="宋体"/>
                <w:b w:val="0"/>
                <w:bCs w:val="0"/>
                <w:color w:val="000000" w:themeColor="text1"/>
                <w:kern w:val="0"/>
                <w:sz w:val="28"/>
                <w:szCs w:val="28"/>
                <w:highlight w:val="none"/>
                <w14:textFill>
                  <w14:solidFill>
                    <w14:schemeClr w14:val="tx1"/>
                  </w14:solidFill>
                </w14:textFill>
              </w:rPr>
              <w:t>记录</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w:t>
            </w:r>
          </w:p>
          <w:p w14:paraId="70F2CA6B">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b w:val="0"/>
                <w:bCs w:val="0"/>
                <w:color w:val="000000" w:themeColor="text1"/>
                <w:kern w:val="0"/>
                <w:sz w:val="28"/>
                <w:szCs w:val="28"/>
                <w:highlight w:val="none"/>
                <w:lang w:val="en-US" w:eastAsia="zh-CN"/>
                <w14:textFill>
                  <w14:solidFill>
                    <w14:schemeClr w14:val="tx1"/>
                  </w14:solidFill>
                </w14:textFill>
              </w:rPr>
              <w:t>8、</w:t>
            </w:r>
            <w:r>
              <w:rPr>
                <w:rFonts w:hint="eastAsia" w:ascii="宋体" w:hAnsi="宋体" w:eastAsia="宋体" w:cs="宋体"/>
                <w:b w:val="0"/>
                <w:bCs w:val="0"/>
                <w:color w:val="000000" w:themeColor="text1"/>
                <w:kern w:val="0"/>
                <w:sz w:val="28"/>
                <w:szCs w:val="28"/>
                <w:highlight w:val="none"/>
                <w14:textFill>
                  <w14:solidFill>
                    <w14:schemeClr w14:val="tx1"/>
                  </w14:solidFill>
                </w14:textFill>
              </w:rPr>
              <w:t>垃圾分类管理，日产日清，垃圾中转站管理有</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序；</w:t>
            </w:r>
          </w:p>
          <w:p w14:paraId="2DE6D7BF">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b w:val="0"/>
                <w:bCs w:val="0"/>
                <w:color w:val="000000" w:themeColor="text1"/>
                <w:kern w:val="0"/>
                <w:sz w:val="28"/>
                <w:szCs w:val="28"/>
                <w:highlight w:val="none"/>
                <w:lang w:val="en-US" w:eastAsia="zh-CN"/>
                <w14:textFill>
                  <w14:solidFill>
                    <w14:schemeClr w14:val="tx1"/>
                  </w14:solidFill>
                </w14:textFill>
              </w:rPr>
              <w:t>9、</w:t>
            </w:r>
            <w:r>
              <w:rPr>
                <w:rFonts w:hint="eastAsia" w:ascii="宋体" w:hAnsi="宋体" w:eastAsia="宋体" w:cs="宋体"/>
                <w:b w:val="0"/>
                <w:bCs w:val="0"/>
                <w:color w:val="000000" w:themeColor="text1"/>
                <w:kern w:val="0"/>
                <w:sz w:val="28"/>
                <w:szCs w:val="28"/>
                <w:highlight w:val="none"/>
                <w14:textFill>
                  <w14:solidFill>
                    <w14:schemeClr w14:val="tx1"/>
                  </w14:solidFill>
                </w14:textFill>
              </w:rPr>
              <w:t>保洁工具、设施设备</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设有</w:t>
            </w:r>
            <w:r>
              <w:rPr>
                <w:rFonts w:hint="eastAsia" w:ascii="宋体" w:hAnsi="宋体" w:eastAsia="宋体" w:cs="宋体"/>
                <w:b w:val="0"/>
                <w:bCs w:val="0"/>
                <w:color w:val="000000" w:themeColor="text1"/>
                <w:kern w:val="0"/>
                <w:sz w:val="28"/>
                <w:szCs w:val="28"/>
                <w:highlight w:val="none"/>
                <w14:textFill>
                  <w14:solidFill>
                    <w14:schemeClr w14:val="tx1"/>
                  </w14:solidFill>
                </w14:textFill>
              </w:rPr>
              <w:t>台账</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，存放定点有序；</w:t>
            </w:r>
          </w:p>
          <w:p w14:paraId="55E481E0">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b w:val="0"/>
                <w:bCs w:val="0"/>
                <w:color w:val="000000" w:themeColor="text1"/>
                <w:kern w:val="0"/>
                <w:sz w:val="28"/>
                <w:szCs w:val="28"/>
                <w:highlight w:val="none"/>
                <w:lang w:val="en-US" w:eastAsia="zh-CN"/>
                <w14:textFill>
                  <w14:solidFill>
                    <w14:schemeClr w14:val="tx1"/>
                  </w14:solidFill>
                </w14:textFill>
              </w:rPr>
              <w:t>10、</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垃圾容器定期清洗消杀。</w:t>
            </w:r>
          </w:p>
          <w:p w14:paraId="7526FE9F">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一项不符合扣1分，一处不符扣0.5分。</w:t>
            </w:r>
          </w:p>
        </w:tc>
      </w:tr>
      <w:tr w14:paraId="686D0C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37" w:hRule="atLeast"/>
          <w:jc w:val="center"/>
        </w:trPr>
        <w:tc>
          <w:tcPr>
            <w:tcW w:w="733" w:type="dxa"/>
            <w:vMerge w:val="continue"/>
            <w:tcBorders>
              <w:top w:val="single" w:color="000000" w:sz="8" w:space="0"/>
              <w:bottom w:val="single" w:color="000000" w:sz="8" w:space="0"/>
              <w:right w:val="single" w:color="000000" w:sz="4" w:space="0"/>
            </w:tcBorders>
            <w:shd w:val="clear" w:color="auto" w:fill="auto"/>
            <w:vAlign w:val="center"/>
          </w:tcPr>
          <w:p w14:paraId="4B4D19B6">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p>
        </w:tc>
        <w:tc>
          <w:tcPr>
            <w:tcW w:w="31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339F82">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（二）公共区域绿化管理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37E1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10</w:t>
            </w:r>
          </w:p>
        </w:tc>
        <w:tc>
          <w:tcPr>
            <w:tcW w:w="5150" w:type="dxa"/>
            <w:tcBorders>
              <w:top w:val="single" w:color="000000" w:sz="4" w:space="0"/>
              <w:left w:val="single" w:color="000000" w:sz="4" w:space="0"/>
              <w:bottom w:val="single" w:color="000000" w:sz="4" w:space="0"/>
            </w:tcBorders>
            <w:shd w:val="clear" w:color="auto" w:fill="auto"/>
            <w:vAlign w:val="center"/>
          </w:tcPr>
          <w:p w14:paraId="16AB62A7">
            <w:pPr>
              <w:keepNext w:val="0"/>
              <w:keepLines w:val="0"/>
              <w:pageBreakBefore w:val="0"/>
              <w:widowControl/>
              <w:numPr>
                <w:ilvl w:val="0"/>
                <w:numId w:val="12"/>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8"/>
                <w:szCs w:val="28"/>
                <w:highlight w:val="none"/>
                <w:u w:val="none"/>
                <w:lang w:val="en-US" w:eastAsia="zh-CN" w:bidi="ar"/>
                <w14:textFill>
                  <w14:solidFill>
                    <w14:schemeClr w14:val="tx1"/>
                  </w14:solidFill>
                </w14:textFill>
              </w:rPr>
              <w:t>适时适量对花草树木浇水、施肥</w:t>
            </w: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植物长势良好</w:t>
            </w:r>
            <w:r>
              <w:rPr>
                <w:rFonts w:hint="eastAsia" w:ascii="宋体" w:hAnsi="宋体" w:eastAsia="宋体" w:cs="宋体"/>
                <w:i w:val="0"/>
                <w:color w:val="000000" w:themeColor="text1"/>
                <w:kern w:val="0"/>
                <w:sz w:val="28"/>
                <w:szCs w:val="28"/>
                <w:highlight w:val="none"/>
                <w:u w:val="none"/>
                <w:lang w:val="en-US" w:eastAsia="zh-CN" w:bidi="ar"/>
                <w14:textFill>
                  <w14:solidFill>
                    <w14:schemeClr w14:val="tx1"/>
                  </w14:solidFill>
                </w14:textFill>
              </w:rPr>
              <w:t>；</w:t>
            </w:r>
          </w:p>
          <w:p w14:paraId="3F247A76">
            <w:pPr>
              <w:keepNext w:val="0"/>
              <w:keepLines w:val="0"/>
              <w:pageBreakBefore w:val="0"/>
              <w:widowControl/>
              <w:numPr>
                <w:ilvl w:val="0"/>
                <w:numId w:val="12"/>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color w:val="000000" w:themeColor="text1"/>
                <w:kern w:val="0"/>
                <w:sz w:val="28"/>
                <w:szCs w:val="28"/>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8"/>
                <w:szCs w:val="28"/>
                <w:highlight w:val="none"/>
                <w:u w:val="none"/>
                <w:lang w:val="en-US" w:eastAsia="zh-CN" w:bidi="ar"/>
                <w14:textFill>
                  <w14:solidFill>
                    <w14:schemeClr w14:val="tx1"/>
                  </w14:solidFill>
                </w14:textFill>
              </w:rPr>
              <w:t>定期对花草树木进行修剪、整形，无枯枝挂枝等，目视</w:t>
            </w: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整齐美观</w:t>
            </w:r>
            <w:r>
              <w:rPr>
                <w:rFonts w:hint="eastAsia" w:ascii="宋体" w:hAnsi="宋体" w:eastAsia="宋体" w:cs="宋体"/>
                <w:i w:val="0"/>
                <w:color w:val="000000" w:themeColor="text1"/>
                <w:kern w:val="0"/>
                <w:sz w:val="28"/>
                <w:szCs w:val="28"/>
                <w:highlight w:val="none"/>
                <w:u w:val="none"/>
                <w:lang w:val="en-US" w:eastAsia="zh-CN" w:bidi="ar"/>
                <w14:textFill>
                  <w14:solidFill>
                    <w14:schemeClr w14:val="tx1"/>
                  </w14:solidFill>
                </w14:textFill>
              </w:rPr>
              <w:t>；</w:t>
            </w:r>
          </w:p>
          <w:p w14:paraId="14B4CC1C">
            <w:pPr>
              <w:keepNext w:val="0"/>
              <w:keepLines w:val="0"/>
              <w:pageBreakBefore w:val="0"/>
              <w:widowControl/>
              <w:numPr>
                <w:ilvl w:val="0"/>
                <w:numId w:val="12"/>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color w:val="000000" w:themeColor="text1"/>
                <w:kern w:val="0"/>
                <w:sz w:val="28"/>
                <w:szCs w:val="28"/>
                <w:highlight w:val="none"/>
                <w:u w:val="none"/>
                <w:lang w:val="en-US" w:eastAsia="zh-CN" w:bidi="ar"/>
                <w14:textFill>
                  <w14:solidFill>
                    <w14:schemeClr w14:val="tx1"/>
                  </w14:solidFill>
                </w14:textFill>
              </w:rPr>
              <w:t>定期对花草树木进行喷药，无</w:t>
            </w: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斑秃现象，无病虫害</w:t>
            </w:r>
            <w:r>
              <w:rPr>
                <w:rFonts w:hint="eastAsia" w:ascii="宋体" w:hAnsi="宋体" w:eastAsia="宋体" w:cs="宋体"/>
                <w:i w:val="0"/>
                <w:color w:val="000000" w:themeColor="text1"/>
                <w:kern w:val="0"/>
                <w:sz w:val="28"/>
                <w:szCs w:val="28"/>
                <w:highlight w:val="none"/>
                <w:u w:val="none"/>
                <w:lang w:val="en-US" w:eastAsia="zh-CN" w:bidi="ar"/>
                <w14:textFill>
                  <w14:solidFill>
                    <w14:schemeClr w14:val="tx1"/>
                  </w14:solidFill>
                </w14:textFill>
              </w:rPr>
              <w:t>；</w:t>
            </w:r>
          </w:p>
          <w:p w14:paraId="10CDAF1E">
            <w:pPr>
              <w:keepNext w:val="0"/>
              <w:keepLines w:val="0"/>
              <w:pageBreakBefore w:val="0"/>
              <w:widowControl/>
              <w:numPr>
                <w:ilvl w:val="0"/>
                <w:numId w:val="12"/>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color w:val="000000" w:themeColor="text1"/>
                <w:kern w:val="0"/>
                <w:sz w:val="28"/>
                <w:szCs w:val="28"/>
                <w:highlight w:val="none"/>
                <w:u w:val="none"/>
                <w:lang w:val="en-US" w:eastAsia="zh-CN" w:bidi="ar"/>
                <w14:textFill>
                  <w14:solidFill>
                    <w14:schemeClr w14:val="tx1"/>
                  </w14:solidFill>
                </w14:textFill>
              </w:rPr>
              <w:t>定期对花木进行培土、修补、扶持及补苗，</w:t>
            </w:r>
            <w:r>
              <w:rPr>
                <w:rFonts w:hint="eastAsia" w:ascii="宋体" w:hAnsi="宋体" w:eastAsia="宋体" w:cs="宋体"/>
                <w:b w:val="0"/>
                <w:bCs w:val="0"/>
                <w:color w:val="000000" w:themeColor="text1"/>
                <w:kern w:val="0"/>
                <w:sz w:val="28"/>
                <w:szCs w:val="28"/>
                <w:highlight w:val="none"/>
                <w14:textFill>
                  <w14:solidFill>
                    <w14:schemeClr w14:val="tx1"/>
                  </w14:solidFill>
                </w14:textFill>
              </w:rPr>
              <w:t>无</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明显</w:t>
            </w:r>
            <w:r>
              <w:rPr>
                <w:rFonts w:hint="eastAsia" w:ascii="宋体" w:hAnsi="宋体" w:eastAsia="宋体" w:cs="宋体"/>
                <w:b w:val="0"/>
                <w:bCs w:val="0"/>
                <w:color w:val="000000" w:themeColor="text1"/>
                <w:kern w:val="0"/>
                <w:sz w:val="28"/>
                <w:szCs w:val="28"/>
                <w:highlight w:val="none"/>
                <w14:textFill>
                  <w14:solidFill>
                    <w14:schemeClr w14:val="tx1"/>
                  </w14:solidFill>
                </w14:textFill>
              </w:rPr>
              <w:t>土壤裸露</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现象</w:t>
            </w:r>
            <w:r>
              <w:rPr>
                <w:rFonts w:hint="eastAsia" w:ascii="宋体" w:hAnsi="宋体" w:eastAsia="宋体" w:cs="宋体"/>
                <w:i w:val="0"/>
                <w:color w:val="000000" w:themeColor="text1"/>
                <w:kern w:val="0"/>
                <w:sz w:val="28"/>
                <w:szCs w:val="28"/>
                <w:highlight w:val="none"/>
                <w:u w:val="none"/>
                <w:lang w:val="en-US" w:eastAsia="zh-CN" w:bidi="ar"/>
                <w14:textFill>
                  <w14:solidFill>
                    <w14:schemeClr w14:val="tx1"/>
                  </w14:solidFill>
                </w14:textFill>
              </w:rPr>
              <w:t>；</w:t>
            </w:r>
          </w:p>
          <w:p w14:paraId="7878BD93">
            <w:pPr>
              <w:keepNext w:val="0"/>
              <w:keepLines w:val="0"/>
              <w:pageBreakBefore w:val="0"/>
              <w:widowControl/>
              <w:numPr>
                <w:ilvl w:val="0"/>
                <w:numId w:val="12"/>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sz w:val="28"/>
                <w:szCs w:val="28"/>
                <w:highlight w:val="none"/>
                <w:u w:val="none"/>
                <w:lang w:eastAsia="zh-CN"/>
                <w14:textFill>
                  <w14:solidFill>
                    <w14:schemeClr w14:val="tx1"/>
                  </w14:solidFill>
                </w14:textFill>
              </w:rPr>
              <w:t>绿化带无明显杂草；</w:t>
            </w:r>
          </w:p>
          <w:p w14:paraId="61A9DEC1">
            <w:pPr>
              <w:keepNext w:val="0"/>
              <w:keepLines w:val="0"/>
              <w:pageBreakBefore w:val="0"/>
              <w:widowControl/>
              <w:numPr>
                <w:ilvl w:val="0"/>
                <w:numId w:val="12"/>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sz w:val="28"/>
                <w:szCs w:val="28"/>
                <w:highlight w:val="none"/>
                <w:u w:val="none"/>
                <w:lang w:eastAsia="zh-CN"/>
                <w14:textFill>
                  <w14:solidFill>
                    <w14:schemeClr w14:val="tx1"/>
                  </w14:solidFill>
                </w14:textFill>
              </w:rPr>
              <w:t>绿化带无明显树叶堆积、白色垃圾等；</w:t>
            </w:r>
          </w:p>
          <w:p w14:paraId="1112AE2D">
            <w:pPr>
              <w:keepNext w:val="0"/>
              <w:keepLines w:val="0"/>
              <w:pageBreakBefore w:val="0"/>
              <w:widowControl/>
              <w:numPr>
                <w:ilvl w:val="0"/>
                <w:numId w:val="12"/>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b w:val="0"/>
                <w:bCs w:val="0"/>
                <w:color w:val="000000" w:themeColor="text1"/>
                <w:kern w:val="0"/>
                <w:sz w:val="28"/>
                <w:szCs w:val="28"/>
                <w:highlight w:val="none"/>
                <w14:textFill>
                  <w14:solidFill>
                    <w14:schemeClr w14:val="tx1"/>
                  </w14:solidFill>
                </w14:textFill>
              </w:rPr>
              <w:t>设置有爱护绿化提示标志温馨清晰</w:t>
            </w: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w:t>
            </w:r>
          </w:p>
          <w:p w14:paraId="50179FB2">
            <w:pPr>
              <w:keepNext w:val="0"/>
              <w:keepLines w:val="0"/>
              <w:pageBreakBefore w:val="0"/>
              <w:widowControl/>
              <w:numPr>
                <w:ilvl w:val="0"/>
                <w:numId w:val="12"/>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绿地无改变用途和破坏、践踏、占用现象；</w:t>
            </w:r>
          </w:p>
          <w:p w14:paraId="3293A2B5">
            <w:pPr>
              <w:keepNext w:val="0"/>
              <w:keepLines w:val="0"/>
              <w:pageBreakBefore w:val="0"/>
              <w:widowControl/>
              <w:numPr>
                <w:ilvl w:val="0"/>
                <w:numId w:val="12"/>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树木无悬挂物及晾晒物品；</w:t>
            </w:r>
          </w:p>
          <w:p w14:paraId="4D6BB569">
            <w:pPr>
              <w:keepNext w:val="0"/>
              <w:keepLines w:val="0"/>
              <w:pageBreakBefore w:val="0"/>
              <w:widowControl/>
              <w:numPr>
                <w:ilvl w:val="0"/>
                <w:numId w:val="12"/>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绿化工具有台账，保养及相关记录表。</w:t>
            </w:r>
          </w:p>
          <w:p w14:paraId="3428AE5E">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themeColor="text1"/>
                <w:sz w:val="28"/>
                <w:szCs w:val="28"/>
                <w:highlight w:val="none"/>
                <w:u w:val="none"/>
                <w14:textFill>
                  <w14:solidFill>
                    <w14:schemeClr w14:val="tx1"/>
                  </w14:solidFill>
                </w14:textFill>
              </w:rPr>
            </w:pPr>
            <w:r>
              <w:rPr>
                <w:rFonts w:hint="eastAsia" w:ascii="宋体" w:hAnsi="宋体" w:eastAsia="宋体" w:cs="宋体"/>
                <w:i w:val="0"/>
                <w:iCs w:val="0"/>
                <w:color w:val="000000" w:themeColor="text1"/>
                <w:kern w:val="0"/>
                <w:sz w:val="28"/>
                <w:szCs w:val="28"/>
                <w:highlight w:val="none"/>
                <w:u w:val="none"/>
                <w:lang w:val="en-US" w:eastAsia="zh-CN" w:bidi="ar"/>
                <w14:textFill>
                  <w14:solidFill>
                    <w14:schemeClr w14:val="tx1"/>
                  </w14:solidFill>
                </w14:textFill>
              </w:rPr>
              <w:t>一项不符合扣1分，一处不符扣0.5分。</w:t>
            </w:r>
          </w:p>
        </w:tc>
      </w:tr>
      <w:tr w14:paraId="655793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2" w:hRule="atLeast"/>
          <w:jc w:val="center"/>
        </w:trPr>
        <w:tc>
          <w:tcPr>
            <w:tcW w:w="3919" w:type="dxa"/>
            <w:gridSpan w:val="3"/>
            <w:tcBorders>
              <w:top w:val="single" w:color="000000" w:sz="8" w:space="0"/>
              <w:bottom w:val="single" w:color="000000" w:sz="8" w:space="0"/>
              <w:right w:val="single" w:color="000000" w:sz="4" w:space="0"/>
            </w:tcBorders>
            <w:shd w:val="clear" w:color="auto" w:fill="auto"/>
            <w:vAlign w:val="center"/>
          </w:tcPr>
          <w:p w14:paraId="4299DE9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8"/>
                <w:szCs w:val="28"/>
                <w:u w:val="none"/>
                <w:lang w:val="en-US" w:eastAsia="zh-CN" w:bidi="ar"/>
              </w:rPr>
            </w:pPr>
            <w:r>
              <w:rPr>
                <w:rFonts w:hint="eastAsia" w:ascii="宋体" w:hAnsi="宋体" w:eastAsia="宋体" w:cs="宋体"/>
                <w:i w:val="0"/>
                <w:iCs w:val="0"/>
                <w:color w:val="auto"/>
                <w:kern w:val="0"/>
                <w:sz w:val="28"/>
                <w:szCs w:val="28"/>
                <w:u w:val="none"/>
                <w:lang w:val="en-US" w:eastAsia="zh-CN" w:bidi="ar"/>
              </w:rPr>
              <w:t>合计分值</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945A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8"/>
                <w:szCs w:val="28"/>
                <w:u w:val="none"/>
                <w:lang w:val="en-US" w:eastAsia="zh-CN" w:bidi="ar"/>
              </w:rPr>
            </w:pPr>
            <w:r>
              <w:rPr>
                <w:rFonts w:hint="eastAsia" w:ascii="宋体" w:hAnsi="宋体" w:eastAsia="宋体" w:cs="宋体"/>
                <w:i w:val="0"/>
                <w:iCs w:val="0"/>
                <w:color w:val="auto"/>
                <w:kern w:val="0"/>
                <w:sz w:val="28"/>
                <w:szCs w:val="28"/>
                <w:u w:val="none"/>
                <w:lang w:val="en-US" w:eastAsia="zh-CN" w:bidi="ar"/>
              </w:rPr>
              <w:t>100</w:t>
            </w:r>
          </w:p>
        </w:tc>
        <w:tc>
          <w:tcPr>
            <w:tcW w:w="5150" w:type="dxa"/>
            <w:tcBorders>
              <w:top w:val="single" w:color="000000" w:sz="4" w:space="0"/>
              <w:left w:val="single" w:color="000000" w:sz="4" w:space="0"/>
              <w:bottom w:val="single" w:color="000000" w:sz="4" w:space="0"/>
            </w:tcBorders>
            <w:shd w:val="clear" w:color="auto" w:fill="auto"/>
            <w:vAlign w:val="center"/>
          </w:tcPr>
          <w:p w14:paraId="7EF285BF">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auto"/>
                <w:kern w:val="0"/>
                <w:sz w:val="28"/>
                <w:szCs w:val="28"/>
                <w:u w:val="none"/>
                <w:lang w:val="en-US" w:eastAsia="zh-CN" w:bidi="ar"/>
              </w:rPr>
            </w:pPr>
          </w:p>
        </w:tc>
      </w:tr>
      <w:tr w14:paraId="247AD5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jc w:val="center"/>
        </w:trPr>
        <w:tc>
          <w:tcPr>
            <w:tcW w:w="9954" w:type="dxa"/>
            <w:gridSpan w:val="5"/>
            <w:tcBorders>
              <w:top w:val="single" w:color="000000" w:sz="8" w:space="0"/>
              <w:bottom w:val="single" w:color="000000" w:sz="8" w:space="0"/>
            </w:tcBorders>
            <w:shd w:val="clear" w:color="auto" w:fill="auto"/>
            <w:vAlign w:val="center"/>
          </w:tcPr>
          <w:p w14:paraId="7415E121">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加分项</w:t>
            </w:r>
          </w:p>
        </w:tc>
      </w:tr>
      <w:tr w14:paraId="010597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jc w:val="center"/>
        </w:trPr>
        <w:tc>
          <w:tcPr>
            <w:tcW w:w="737" w:type="dxa"/>
            <w:gridSpan w:val="2"/>
            <w:tcBorders>
              <w:top w:val="single" w:color="000000" w:sz="8" w:space="0"/>
              <w:right w:val="single" w:color="000000" w:sz="4" w:space="0"/>
            </w:tcBorders>
            <w:shd w:val="clear" w:color="auto" w:fill="auto"/>
            <w:vAlign w:val="center"/>
          </w:tcPr>
          <w:p w14:paraId="3AC7427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8"/>
                <w:szCs w:val="28"/>
                <w:u w:val="none"/>
                <w:lang w:val="en-US" w:eastAsia="zh-CN" w:bidi="ar"/>
              </w:rPr>
            </w:pPr>
          </w:p>
        </w:tc>
        <w:tc>
          <w:tcPr>
            <w:tcW w:w="3182" w:type="dxa"/>
            <w:tcBorders>
              <w:top w:val="single" w:color="000000" w:sz="8" w:space="0"/>
              <w:left w:val="single" w:color="000000" w:sz="8" w:space="0"/>
              <w:right w:val="single" w:color="000000" w:sz="4" w:space="0"/>
            </w:tcBorders>
            <w:shd w:val="clear" w:color="auto" w:fill="auto"/>
            <w:vAlign w:val="center"/>
          </w:tcPr>
          <w:p w14:paraId="7F1DBA2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8"/>
                <w:szCs w:val="28"/>
                <w:u w:val="none"/>
                <w:lang w:val="en-US" w:eastAsia="zh-CN" w:bidi="ar"/>
              </w:rPr>
            </w:pPr>
            <w:r>
              <w:rPr>
                <w:rFonts w:hint="eastAsia" w:ascii="宋体" w:hAnsi="宋体" w:eastAsia="宋体" w:cs="宋体"/>
                <w:i w:val="0"/>
                <w:iCs w:val="0"/>
                <w:color w:val="auto"/>
                <w:kern w:val="0"/>
                <w:sz w:val="28"/>
                <w:szCs w:val="28"/>
                <w:u w:val="none"/>
                <w:lang w:val="en-US" w:eastAsia="zh-CN" w:bidi="ar"/>
              </w:rPr>
              <w:t>日常奖励</w:t>
            </w:r>
          </w:p>
        </w:tc>
        <w:tc>
          <w:tcPr>
            <w:tcW w:w="885" w:type="dxa"/>
            <w:tcBorders>
              <w:top w:val="single" w:color="000000" w:sz="4" w:space="0"/>
              <w:left w:val="single" w:color="000000" w:sz="4" w:space="0"/>
              <w:right w:val="single" w:color="000000" w:sz="4" w:space="0"/>
            </w:tcBorders>
            <w:shd w:val="clear" w:color="auto" w:fill="auto"/>
            <w:vAlign w:val="center"/>
          </w:tcPr>
          <w:p w14:paraId="4A64B6A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8"/>
                <w:szCs w:val="28"/>
                <w:u w:val="none"/>
                <w:lang w:val="en-US" w:eastAsia="zh-CN" w:bidi="ar"/>
              </w:rPr>
            </w:pPr>
            <w:r>
              <w:rPr>
                <w:rFonts w:hint="eastAsia" w:ascii="宋体" w:hAnsi="宋体" w:eastAsia="宋体" w:cs="宋体"/>
                <w:i w:val="0"/>
                <w:iCs w:val="0"/>
                <w:color w:val="auto"/>
                <w:kern w:val="0"/>
                <w:sz w:val="28"/>
                <w:szCs w:val="28"/>
                <w:u w:val="none"/>
                <w:lang w:val="en-US" w:eastAsia="zh-CN" w:bidi="ar"/>
              </w:rPr>
              <w:t>5</w:t>
            </w:r>
          </w:p>
        </w:tc>
        <w:tc>
          <w:tcPr>
            <w:tcW w:w="5150" w:type="dxa"/>
            <w:tcBorders>
              <w:top w:val="single" w:color="000000" w:sz="4" w:space="0"/>
              <w:left w:val="single" w:color="000000" w:sz="4" w:space="0"/>
            </w:tcBorders>
            <w:shd w:val="clear" w:color="auto" w:fill="auto"/>
            <w:vAlign w:val="center"/>
          </w:tcPr>
          <w:p w14:paraId="648EF262">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日常工作中项目获得奖励。</w:t>
            </w:r>
          </w:p>
          <w:p w14:paraId="7464514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获得一项奖励加0.5分</w:t>
            </w:r>
          </w:p>
        </w:tc>
      </w:tr>
    </w:tbl>
    <w:p w14:paraId="6DB5525D">
      <w:pPr>
        <w:snapToGrid/>
        <w:spacing w:line="360" w:lineRule="auto"/>
        <w:ind w:firstLine="560" w:firstLineChars="200"/>
        <w:rPr>
          <w:rFonts w:hint="eastAsia" w:ascii="仿宋" w:hAnsi="仿宋" w:eastAsia="仿宋" w:cs="宋体"/>
          <w:sz w:val="28"/>
          <w:szCs w:val="28"/>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6E15AE">
    <w:pPr>
      <w:pStyle w:val="5"/>
      <w:spacing w:line="225" w:lineRule="auto"/>
      <w:ind w:left="4043"/>
      <w:rPr>
        <w:sz w:val="13"/>
        <w:szCs w:val="13"/>
      </w:rPr>
    </w:pPr>
    <w:r>
      <w:rPr>
        <w:spacing w:val="-2"/>
        <w:sz w:val="13"/>
        <w:szCs w:val="13"/>
      </w:rPr>
      <w:t>—9—</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F30CC9"/>
    <w:multiLevelType w:val="singleLevel"/>
    <w:tmpl w:val="80F30CC9"/>
    <w:lvl w:ilvl="0" w:tentative="0">
      <w:start w:val="10"/>
      <w:numFmt w:val="chineseCounting"/>
      <w:suff w:val="nothing"/>
      <w:lvlText w:val="%1、"/>
      <w:lvlJc w:val="left"/>
      <w:rPr>
        <w:rFonts w:hint="eastAsia"/>
      </w:rPr>
    </w:lvl>
  </w:abstractNum>
  <w:abstractNum w:abstractNumId="1">
    <w:nsid w:val="93E85374"/>
    <w:multiLevelType w:val="singleLevel"/>
    <w:tmpl w:val="93E85374"/>
    <w:lvl w:ilvl="0" w:tentative="0">
      <w:start w:val="1"/>
      <w:numFmt w:val="decimal"/>
      <w:suff w:val="nothing"/>
      <w:lvlText w:val="（%1）"/>
      <w:lvlJc w:val="left"/>
      <w:pPr>
        <w:ind w:left="70"/>
      </w:pPr>
    </w:lvl>
  </w:abstractNum>
  <w:abstractNum w:abstractNumId="2">
    <w:nsid w:val="A0073E14"/>
    <w:multiLevelType w:val="singleLevel"/>
    <w:tmpl w:val="A0073E14"/>
    <w:lvl w:ilvl="0" w:tentative="0">
      <w:start w:val="1"/>
      <w:numFmt w:val="decimal"/>
      <w:suff w:val="nothing"/>
      <w:lvlText w:val="%1、"/>
      <w:lvlJc w:val="left"/>
    </w:lvl>
  </w:abstractNum>
  <w:abstractNum w:abstractNumId="3">
    <w:nsid w:val="CB234719"/>
    <w:multiLevelType w:val="singleLevel"/>
    <w:tmpl w:val="CB234719"/>
    <w:lvl w:ilvl="0" w:tentative="0">
      <w:start w:val="1"/>
      <w:numFmt w:val="decimal"/>
      <w:suff w:val="nothing"/>
      <w:lvlText w:val="%1、"/>
      <w:lvlJc w:val="left"/>
    </w:lvl>
  </w:abstractNum>
  <w:abstractNum w:abstractNumId="4">
    <w:nsid w:val="E49F7EA1"/>
    <w:multiLevelType w:val="singleLevel"/>
    <w:tmpl w:val="E49F7EA1"/>
    <w:lvl w:ilvl="0" w:tentative="0">
      <w:start w:val="1"/>
      <w:numFmt w:val="decimal"/>
      <w:suff w:val="nothing"/>
      <w:lvlText w:val="%1、"/>
      <w:lvlJc w:val="left"/>
    </w:lvl>
  </w:abstractNum>
  <w:abstractNum w:abstractNumId="5">
    <w:nsid w:val="EDDE73CB"/>
    <w:multiLevelType w:val="singleLevel"/>
    <w:tmpl w:val="EDDE73CB"/>
    <w:lvl w:ilvl="0" w:tentative="0">
      <w:start w:val="1"/>
      <w:numFmt w:val="decimal"/>
      <w:lvlText w:val="%1."/>
      <w:lvlJc w:val="left"/>
      <w:pPr>
        <w:tabs>
          <w:tab w:val="left" w:pos="312"/>
        </w:tabs>
      </w:pPr>
    </w:lvl>
  </w:abstractNum>
  <w:abstractNum w:abstractNumId="6">
    <w:nsid w:val="F53CBAAA"/>
    <w:multiLevelType w:val="singleLevel"/>
    <w:tmpl w:val="F53CBAAA"/>
    <w:lvl w:ilvl="0" w:tentative="0">
      <w:start w:val="1"/>
      <w:numFmt w:val="decimal"/>
      <w:suff w:val="nothing"/>
      <w:lvlText w:val="%1、"/>
      <w:lvlJc w:val="left"/>
    </w:lvl>
  </w:abstractNum>
  <w:abstractNum w:abstractNumId="7">
    <w:nsid w:val="14A5F74D"/>
    <w:multiLevelType w:val="singleLevel"/>
    <w:tmpl w:val="14A5F74D"/>
    <w:lvl w:ilvl="0" w:tentative="0">
      <w:start w:val="5"/>
      <w:numFmt w:val="chineseCounting"/>
      <w:suff w:val="nothing"/>
      <w:lvlText w:val="%1、"/>
      <w:lvlJc w:val="left"/>
      <w:rPr>
        <w:rFonts w:hint="eastAsia"/>
      </w:rPr>
    </w:lvl>
  </w:abstractNum>
  <w:abstractNum w:abstractNumId="8">
    <w:nsid w:val="4171EAF5"/>
    <w:multiLevelType w:val="singleLevel"/>
    <w:tmpl w:val="4171EAF5"/>
    <w:lvl w:ilvl="0" w:tentative="0">
      <w:start w:val="1"/>
      <w:numFmt w:val="decimal"/>
      <w:lvlText w:val="%1."/>
      <w:lvlJc w:val="left"/>
      <w:pPr>
        <w:tabs>
          <w:tab w:val="left" w:pos="312"/>
        </w:tabs>
      </w:pPr>
    </w:lvl>
  </w:abstractNum>
  <w:abstractNum w:abstractNumId="9">
    <w:nsid w:val="4C3E316E"/>
    <w:multiLevelType w:val="singleLevel"/>
    <w:tmpl w:val="4C3E316E"/>
    <w:lvl w:ilvl="0" w:tentative="0">
      <w:start w:val="1"/>
      <w:numFmt w:val="decimal"/>
      <w:lvlText w:val="%1."/>
      <w:lvlJc w:val="left"/>
      <w:pPr>
        <w:tabs>
          <w:tab w:val="left" w:pos="312"/>
        </w:tabs>
      </w:pPr>
    </w:lvl>
  </w:abstractNum>
  <w:abstractNum w:abstractNumId="10">
    <w:nsid w:val="61EB3E20"/>
    <w:multiLevelType w:val="singleLevel"/>
    <w:tmpl w:val="61EB3E20"/>
    <w:lvl w:ilvl="0" w:tentative="0">
      <w:start w:val="1"/>
      <w:numFmt w:val="decimal"/>
      <w:suff w:val="nothing"/>
      <w:lvlText w:val="%1、"/>
      <w:lvlJc w:val="left"/>
    </w:lvl>
  </w:abstractNum>
  <w:abstractNum w:abstractNumId="11">
    <w:nsid w:val="7451C211"/>
    <w:multiLevelType w:val="singleLevel"/>
    <w:tmpl w:val="7451C211"/>
    <w:lvl w:ilvl="0" w:tentative="0">
      <w:start w:val="1"/>
      <w:numFmt w:val="decimal"/>
      <w:lvlText w:val="%1."/>
      <w:lvlJc w:val="left"/>
      <w:pPr>
        <w:tabs>
          <w:tab w:val="left" w:pos="312"/>
        </w:tabs>
      </w:pPr>
    </w:lvl>
  </w:abstractNum>
  <w:num w:numId="1">
    <w:abstractNumId w:val="7"/>
  </w:num>
  <w:num w:numId="2">
    <w:abstractNumId w:val="1"/>
  </w:num>
  <w:num w:numId="3">
    <w:abstractNumId w:val="0"/>
  </w:num>
  <w:num w:numId="4">
    <w:abstractNumId w:val="2"/>
  </w:num>
  <w:num w:numId="5">
    <w:abstractNumId w:val="6"/>
  </w:num>
  <w:num w:numId="6">
    <w:abstractNumId w:val="3"/>
  </w:num>
  <w:num w:numId="7">
    <w:abstractNumId w:val="10"/>
  </w:num>
  <w:num w:numId="8">
    <w:abstractNumId w:val="4"/>
  </w:num>
  <w:num w:numId="9">
    <w:abstractNumId w:val="9"/>
  </w:num>
  <w:num w:numId="10">
    <w:abstractNumId w:val="5"/>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D827C8"/>
    <w:rsid w:val="27CC74BE"/>
    <w:rsid w:val="2F85470F"/>
    <w:rsid w:val="2FC24573"/>
    <w:rsid w:val="489B6F01"/>
    <w:rsid w:val="4F607BCD"/>
    <w:rsid w:val="512A31E9"/>
    <w:rsid w:val="530F7BB0"/>
    <w:rsid w:val="56E66C70"/>
    <w:rsid w:val="57DA1EA6"/>
    <w:rsid w:val="65225B62"/>
    <w:rsid w:val="67CB0642"/>
    <w:rsid w:val="67D82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2">
    <w:name w:val="heading 2"/>
    <w:basedOn w:val="1"/>
    <w:next w:val="1"/>
    <w:qFormat/>
    <w:uiPriority w:val="9"/>
    <w:pPr>
      <w:spacing w:before="100" w:beforeAutospacing="1" w:after="100" w:afterAutospacing="1"/>
      <w:jc w:val="left"/>
      <w:outlineLvl w:val="1"/>
    </w:pPr>
    <w:rPr>
      <w:rFonts w:ascii="宋体" w:hAnsi="宋体"/>
      <w:b/>
      <w:kern w:val="0"/>
      <w:sz w:val="36"/>
      <w:szCs w:val="36"/>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spacing w:before="60" w:beforeLines="0"/>
      <w:ind w:firstLine="420" w:firstLineChars="200"/>
    </w:pPr>
  </w:style>
  <w:style w:type="paragraph" w:styleId="5">
    <w:name w:val="Body Text"/>
    <w:basedOn w:val="1"/>
    <w:semiHidden/>
    <w:qFormat/>
    <w:uiPriority w:val="0"/>
    <w:rPr>
      <w:rFonts w:ascii="宋体" w:hAnsi="宋体" w:eastAsia="宋体" w:cs="宋体"/>
      <w:sz w:val="31"/>
      <w:szCs w:val="31"/>
      <w:lang w:val="en-US" w:eastAsia="en-US" w:bidi="ar-SA"/>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paragraph" w:styleId="7">
    <w:name w:val="Body Text 2"/>
    <w:basedOn w:val="1"/>
    <w:unhideWhenUsed/>
    <w:qFormat/>
    <w:uiPriority w:val="0"/>
    <w:pPr>
      <w:spacing w:before="100" w:beforeAutospacing="1" w:after="120" w:line="480" w:lineRule="auto"/>
    </w:pPr>
  </w:style>
  <w:style w:type="paragraph" w:styleId="8">
    <w:name w:val="Title"/>
    <w:basedOn w:val="1"/>
    <w:next w:val="1"/>
    <w:qFormat/>
    <w:uiPriority w:val="0"/>
    <w:pPr>
      <w:spacing w:before="240" w:after="60"/>
      <w:jc w:val="center"/>
      <w:outlineLvl w:val="0"/>
    </w:pPr>
    <w:rPr>
      <w:rFonts w:ascii="Arial" w:hAnsi="Arial" w:cs="Arial"/>
      <w:b/>
      <w:bCs/>
      <w:sz w:val="32"/>
      <w:szCs w:val="32"/>
    </w:rPr>
  </w:style>
  <w:style w:type="paragraph" w:styleId="11">
    <w:name w:val="List Paragraph"/>
    <w:basedOn w:val="1"/>
    <w:qFormat/>
    <w:uiPriority w:val="99"/>
    <w:pPr>
      <w:ind w:firstLine="420" w:firstLineChars="200"/>
    </w:pPr>
  </w:style>
  <w:style w:type="character" w:customStyle="1" w:styleId="12">
    <w:name w:val="font21"/>
    <w:basedOn w:val="10"/>
    <w:qFormat/>
    <w:uiPriority w:val="0"/>
    <w:rPr>
      <w:rFonts w:hint="eastAsia" w:ascii="宋体" w:hAnsi="宋体" w:eastAsia="宋体" w:cs="宋体"/>
      <w:color w:val="000000"/>
      <w:sz w:val="16"/>
      <w:szCs w:val="16"/>
      <w:u w:val="none"/>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正文缩进_0"/>
    <w:basedOn w:val="15"/>
    <w:qFormat/>
    <w:uiPriority w:val="0"/>
    <w:pPr>
      <w:ind w:firstLine="420"/>
    </w:pPr>
    <w:rPr>
      <w:rFonts w:ascii="Calibri" w:hAnsi="Calibri" w:eastAsia="宋体" w:cs="Times New Roman"/>
      <w:sz w:val="20"/>
      <w:lang w:val="zh-CN"/>
    </w:rPr>
  </w:style>
  <w:style w:type="paragraph" w:customStyle="1" w:styleId="15">
    <w:name w:val="正文_0_0"/>
    <w:qFormat/>
    <w:uiPriority w:val="0"/>
    <w:pPr>
      <w:spacing w:after="200" w:line="276" w:lineRule="auto"/>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4173</Words>
  <Characters>4222</Characters>
  <Lines>0</Lines>
  <Paragraphs>0</Paragraphs>
  <TotalTime>5</TotalTime>
  <ScaleCrop>false</ScaleCrop>
  <LinksUpToDate>false</LinksUpToDate>
  <CharactersWithSpaces>4772</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2025-02-12T03:18:00Z</dcterms:created>
  <dc:creator>AOC</dc:creator>
  <cp:lastModifiedBy>采购科</cp:lastModifiedBy>
  <dcterms:modified xsi:type="dcterms:W3CDTF">2025-09-04T09:53:03Z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2B08181DFCB6441FBE36E1A688A6BA28_13</vt:lpwstr>
  </property>
  <property fmtid="{D5CDD505-2E9C-101B-9397-08002B2CF9AE}" pid="4" name="KSOTemplateDocerSaveRecord">
    <vt:lpwstr>eyJoZGlkIjoiYTFjMDBkYjY1ODIyNGZjNDIxZGU2YjgwYWRiODQzYWMiLCJ1c2VySWQiOiIyNjU3ODk1NTAifQ==</vt:lpwstr>
  </property>
</Properties>
</file>