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临高县道路交通安全基础设施更新提升项目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JXJX-2025-002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临高县公安局交通管理大队</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江西嘉勋工程管理有限公司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临高县公安局交通管理大队</w:t>
      </w:r>
      <w:r>
        <w:rPr>
          <w:rFonts w:ascii="仿宋_GB2312" w:hAnsi="仿宋_GB2312" w:cs="仿宋_GB2312" w:eastAsia="仿宋_GB2312"/>
        </w:rPr>
        <w:t xml:space="preserve"> 委托， </w:t>
      </w:r>
      <w:r>
        <w:rPr>
          <w:rFonts w:ascii="仿宋_GB2312" w:hAnsi="仿宋_GB2312" w:cs="仿宋_GB2312" w:eastAsia="仿宋_GB2312"/>
        </w:rPr>
        <w:t>江西嘉勋工程管理有限公司</w:t>
      </w:r>
      <w:r>
        <w:rPr>
          <w:rFonts w:ascii="仿宋_GB2312" w:hAnsi="仿宋_GB2312" w:cs="仿宋_GB2312" w:eastAsia="仿宋_GB2312"/>
        </w:rPr>
        <w:t xml:space="preserve"> 对 </w:t>
      </w:r>
      <w:r>
        <w:rPr>
          <w:rFonts w:ascii="仿宋_GB2312" w:hAnsi="仿宋_GB2312" w:cs="仿宋_GB2312" w:eastAsia="仿宋_GB2312"/>
        </w:rPr>
        <w:t>临高县道路交通安全基础设施更新提升项目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JXJX-2025-002</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临高县道路交通安全基础设施更新提升项目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9,045,073.83元</w:t>
      </w:r>
      <w:r>
        <w:rPr>
          <w:rFonts w:ascii="仿宋_GB2312" w:hAnsi="仿宋_GB2312" w:cs="仿宋_GB2312" w:eastAsia="仿宋_GB2312"/>
        </w:rPr>
        <w:t>玖佰零肆万伍仟零柒拾叁元捌角叁分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详见“第三章 采购需求 ”。</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1、特定资格要求：3.1必须为未被列入中国执行信息公开网（httpzxgk.court.gov.cnshixin）的“失信被执行人”、信用中国网站 (www.creditchina.gov.cn)的“重大税收违法失信主体 ”及“政府采购严重违法失信行为记录名单”、中国政府采购网(www.ccgp.gov.cn) 的“政府采购严重违法失信行为记录名单”的投标人。（提供网页截图或承诺函，格式自拟并加盖公章。未提供齐全的以采购代理机构现场查询结果为准。）；3.2参加政府采购活动前三年内，没有环保类行政处罚记录（提供声明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临高县公安局交通管理大队</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海南省临高县临城镇临新路8号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黄冠桦</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18889684826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江西嘉勋工程管理有限公司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海南省海口市美兰区蓝天路35号名门广场北区B1座（1-5）23层2302室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0898-65351005</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采购包1：9,045,073.83元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60日历天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代理服务费收费标准：按照招标代理遴选中标金额陆万零陆佰元整（￥60600.00元）向中标人收取。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1、供应商如对采购文件中“供应商资格要求”、“采购需求” 及“详细评审标准”部分有质疑的，应直接向采购人提出. 2.本项目评审过程中如有价格修正、澄清、谈判/磋商/协商(二次报价)等环节，供应商需要按照海南省政府采购智慧云平台操作要求进行线 上响应，不存在人为通知供应商上述所需响应的环节. 根据《电子交易操作手册(供应商)》第四章评审中“供应商应当在项目评审过程中，在评审等候大厅关注评审委员会 工作动态，及时做好响应评审有关准备”之规定，如供应商未在评审委员会设置的响 应时间内进行线上响应，产生的一切后果由供应商自行承担。</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联系人：黄冠桦</w:t>
      </w:r>
    </w:p>
    <w:p>
      <w:pPr>
        <w:pStyle w:val="null3"/>
        <w:jc w:val="left"/>
      </w:pPr>
      <w:r>
        <w:rPr>
          <w:rFonts w:ascii="仿宋_GB2312" w:hAnsi="仿宋_GB2312" w:cs="仿宋_GB2312" w:eastAsia="仿宋_GB2312"/>
        </w:rPr>
        <w:t>联系电话：18889684826</w:t>
      </w:r>
    </w:p>
    <w:p>
      <w:pPr>
        <w:pStyle w:val="null3"/>
        <w:jc w:val="left"/>
      </w:pPr>
      <w:r>
        <w:rPr>
          <w:rFonts w:ascii="仿宋_GB2312" w:hAnsi="仿宋_GB2312" w:cs="仿宋_GB2312" w:eastAsia="仿宋_GB2312"/>
        </w:rPr>
        <w:t>地址：海南省临高县临城镇临新路8号</w:t>
      </w:r>
    </w:p>
    <w:p>
      <w:pPr>
        <w:pStyle w:val="null3"/>
        <w:jc w:val="left"/>
      </w:pPr>
      <w:r>
        <w:rPr>
          <w:rFonts w:ascii="仿宋_GB2312" w:hAnsi="仿宋_GB2312" w:cs="仿宋_GB2312" w:eastAsia="仿宋_GB2312"/>
        </w:rPr>
        <w:t>邮编：571800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联系人：张工</w:t>
      </w:r>
    </w:p>
    <w:p>
      <w:pPr>
        <w:pStyle w:val="null3"/>
        <w:jc w:val="left"/>
      </w:pPr>
      <w:r>
        <w:rPr>
          <w:rFonts w:ascii="仿宋_GB2312" w:hAnsi="仿宋_GB2312" w:cs="仿宋_GB2312" w:eastAsia="仿宋_GB2312"/>
        </w:rPr>
        <w:t>联系电话：0898-65351005</w:t>
      </w:r>
    </w:p>
    <w:p>
      <w:pPr>
        <w:pStyle w:val="null3"/>
        <w:jc w:val="left"/>
      </w:pPr>
      <w:r>
        <w:rPr>
          <w:rFonts w:ascii="仿宋_GB2312" w:hAnsi="仿宋_GB2312" w:cs="仿宋_GB2312" w:eastAsia="仿宋_GB2312"/>
        </w:rPr>
        <w:t>地址：海南省海口市美兰区蓝天路35号名门广场 北区B1座（1-5）23层2302室</w:t>
      </w:r>
    </w:p>
    <w:p>
      <w:pPr>
        <w:pStyle w:val="null3"/>
        <w:jc w:val="left"/>
      </w:pPr>
      <w:r>
        <w:rPr>
          <w:rFonts w:ascii="仿宋_GB2312" w:hAnsi="仿宋_GB2312" w:cs="仿宋_GB2312" w:eastAsia="仿宋_GB2312"/>
        </w:rPr>
        <w:t>邮编：570000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32"/>
        </w:rPr>
        <w:t>目前，临高县城区部分道路存在交通流量与配套设施不匹配的显著问题。一方面，随着经济的快速发展和居民生活水平的提高，机动车保有量持续增加，导致道路拥堵现象频繁发生，尤其在高峰时段，交通压力尤为突出；另一方面，部分路段的交通配套设施建设相对滞后，未能跟上交通需求的增长，具体表现为测速点位不足、护栏开口设置不合理、标线老化或不合理等问题。这些问题不仅严重影响了道路的通行效率，使得车辆行驶速度缓慢，还显著增加了交通事故的风险，威胁到行人和驾驶员的安全。</w:t>
      </w:r>
    </w:p>
    <w:p>
      <w:pPr>
        <w:pStyle w:val="null3"/>
        <w:ind w:firstLine="640"/>
        <w:jc w:val="left"/>
      </w:pPr>
      <w:r>
        <w:rPr>
          <w:rFonts w:ascii="仿宋_GB2312" w:hAnsi="仿宋_GB2312" w:cs="仿宋_GB2312" w:eastAsia="仿宋_GB2312"/>
          <w:sz w:val="32"/>
        </w:rPr>
        <w:t>临高县城区交通配套设施现状具体如下：</w:t>
      </w:r>
    </w:p>
    <w:p>
      <w:pPr>
        <w:pStyle w:val="null3"/>
        <w:ind w:firstLine="640"/>
        <w:jc w:val="left"/>
      </w:pPr>
      <w:r>
        <w:rPr>
          <w:rFonts w:ascii="仿宋_GB2312" w:hAnsi="仿宋_GB2312" w:cs="仿宋_GB2312" w:eastAsia="仿宋_GB2312"/>
          <w:sz w:val="32"/>
        </w:rPr>
        <w:t>一、测速设备不足：目前，临高县城区部分主要道路的测速设备数量极为有限，无法实现对事故多发路段和交通流量较大区域的全面覆盖。这种情况下，部分驾驶员因缺乏有效的速度监控，超速行驶现象较为普遍，极大地增加了交通事故发生的概率，给道路交通安全带来隐患。</w:t>
      </w:r>
    </w:p>
    <w:p>
      <w:pPr>
        <w:pStyle w:val="null3"/>
        <w:ind w:firstLine="640"/>
        <w:jc w:val="left"/>
      </w:pPr>
      <w:r>
        <w:rPr>
          <w:rFonts w:ascii="仿宋_GB2312" w:hAnsi="仿宋_GB2312" w:cs="仿宋_GB2312" w:eastAsia="仿宋_GB2312"/>
          <w:sz w:val="32"/>
        </w:rPr>
        <w:t>存在多点事故高发：在当前的交通网络或工作环境中，已经明确识别出多个频繁发生事故的特定地点。这些事故高发点由于各种原因，如道路设计缺陷、交通流量过大、视线遮挡或其他安全隐患，导致事故反复出现，对人们的生命财产安全构成严重威胁。为了有效减少事故的发生率，保障人民群众的安全，相关部门已经决定对这些事故频发点进行全面的治理和整改。治理工作将包括但不限于改善道路基础设施、优化交通信号设置、增加安全警示标志、加强交通执法力度等一系列综合措施，以期从根本上消除事故隐患，提升整体安全水平。</w:t>
      </w:r>
    </w:p>
    <w:p>
      <w:pPr>
        <w:pStyle w:val="null3"/>
        <w:ind w:firstLine="640"/>
        <w:jc w:val="left"/>
      </w:pPr>
      <w:r>
        <w:rPr>
          <w:rFonts w:ascii="仿宋_GB2312" w:hAnsi="仿宋_GB2312" w:cs="仿宋_GB2312" w:eastAsia="仿宋_GB2312"/>
          <w:sz w:val="32"/>
        </w:rPr>
        <w:t>护栏开口设置不合理：城区部分路段的护栏开口过多且位置设置不合理，导致车辆频繁变道、穿插，不仅严重扰乱了交通秩序，还容易引发追尾、刮擦等交通事故。此外，部分护栏开口处的交通标志和标线设置不清晰，缺乏明确的指示，给驾驶员的行车判断带来了困扰，进一步加剧了交通混乱。</w:t>
      </w:r>
    </w:p>
    <w:p>
      <w:pPr>
        <w:pStyle w:val="null3"/>
        <w:ind w:firstLine="640"/>
        <w:jc w:val="left"/>
      </w:pPr>
      <w:r>
        <w:rPr>
          <w:rFonts w:ascii="仿宋_GB2312" w:hAnsi="仿宋_GB2312" w:cs="仿宋_GB2312" w:eastAsia="仿宋_GB2312"/>
          <w:sz w:val="32"/>
        </w:rPr>
        <w:t>标线老化与不合理：部分道路的标线由于长时间未更新，已经老化、模糊不清，难以起到有效的引导交通作用。同时，一些路段的标线设计存在不合理之处，如车道划分不明确、停车标线与行车道标线冲突等问题，容易引发驾驶员的误判，增加了交通事故的风险，影响了道路通行的顺畅性。</w:t>
      </w:r>
    </w:p>
    <w:p>
      <w:pPr>
        <w:pStyle w:val="null3"/>
        <w:ind w:firstLine="640"/>
        <w:jc w:val="left"/>
      </w:pPr>
      <w:r>
        <w:rPr>
          <w:rFonts w:ascii="仿宋_GB2312" w:hAnsi="仿宋_GB2312" w:cs="仿宋_GB2312" w:eastAsia="仿宋_GB2312"/>
          <w:sz w:val="32"/>
        </w:rPr>
        <w:t>停车位管理混乱：城区部分路段存在不合理停车位标线，一些车辆随意停放，占用道路资源，导致道路通行能力大幅下降，交通拥堵现象加剧。此外，部分停车位的设置未充分考虑行人和非机动车的通行需求，使得行人和非机动车在通行时面临不便和安全隐患，影响了整体交通秩序的和谐。</w:t>
      </w:r>
    </w:p>
    <w:p>
      <w:pPr>
        <w:pStyle w:val="null3"/>
        <w:ind w:firstLine="640"/>
        <w:jc w:val="left"/>
      </w:pPr>
      <w:r>
        <w:rPr>
          <w:rFonts w:ascii="仿宋_GB2312" w:hAnsi="仿宋_GB2312" w:cs="仿宋_GB2312" w:eastAsia="仿宋_GB2312"/>
          <w:sz w:val="32"/>
        </w:rPr>
        <w:t>信号控制系统建设不足：目前，文澜江学校、第三小学、实验小学等部分学校路段可能缺乏有效的信号控制系统，导致学生上下学期间交通拥堵现象严重，存在较大的安全隐患；在加来镇、福马大道与金澜大道丁字路口、滨海大道美夏十字路口等重要的十字路口，也未安装信号灯，无法有效保障车辆出行的安全，满足交通流量的动态调控需求，使得这些路口成为交通事故的潜在高发区。</w:t>
      </w:r>
    </w:p>
    <w:p>
      <w:pPr>
        <w:pStyle w:val="null3"/>
        <w:jc w:val="both"/>
      </w:pPr>
      <w:r>
        <w:rPr>
          <w:rFonts w:ascii="仿宋_GB2312" w:hAnsi="仿宋_GB2312" w:cs="仿宋_GB2312" w:eastAsia="仿宋_GB2312"/>
          <w:sz w:val="32"/>
        </w:rPr>
        <w:t xml:space="preserve">      针对上述问题，临高县公安局交通管理大队已经采取了一系列措施进行改善，其中包括智能交通综合管控平台和临高县公安局视频管理平台的建设和应用。这些措施在一定程度上提高了交通管理的效率和水平，但仍需进一步完善和优化，以适应不断增长的交通需求。</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9,045,073.83</w:t>
      </w:r>
    </w:p>
    <w:p>
      <w:pPr>
        <w:pStyle w:val="null3"/>
        <w:jc w:val="left"/>
      </w:pPr>
      <w:r>
        <w:rPr>
          <w:rFonts w:ascii="仿宋_GB2312" w:hAnsi="仿宋_GB2312" w:cs="仿宋_GB2312" w:eastAsia="仿宋_GB2312"/>
        </w:rPr>
        <w:t>采购包最高限价（元）: 9,045,073.83</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A02370200-交通管理设备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9,045,073.83</w:t>
            </w:r>
          </w:p>
        </w:tc>
        <w:tc>
          <w:tcPr>
            <w:tcW w:type="dxa" w:w="831"/>
          </w:tcPr>
          <w:p>
            <w:pPr>
              <w:pStyle w:val="null3"/>
              <w:jc w:val="left"/>
            </w:pPr>
            <w:r>
              <w:rPr>
                <w:rFonts w:ascii="仿宋_GB2312" w:hAnsi="仿宋_GB2312" w:cs="仿宋_GB2312" w:eastAsia="仿宋_GB2312"/>
              </w:rPr>
              <w:t>批</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A02370200-交通管理设备</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9,045,073.83</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标的名称：A02370200-交通管理设备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19"/>
              <w:gridCol w:w="405"/>
              <w:gridCol w:w="1359"/>
              <w:gridCol w:w="174"/>
              <w:gridCol w:w="182"/>
              <w:gridCol w:w="198"/>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w:t>
                  </w:r>
                  <w:r>
                    <w:rPr>
                      <w:rFonts w:ascii="仿宋_GB2312" w:hAnsi="仿宋_GB2312" w:cs="仿宋_GB2312" w:eastAsia="仿宋_GB2312"/>
                      <w:sz w:val="32"/>
                    </w:rPr>
                    <w:t xml:space="preserve">  </w:t>
                  </w:r>
                  <w:r>
                    <w:rPr>
                      <w:rFonts w:ascii="仿宋_GB2312" w:hAnsi="仿宋_GB2312" w:cs="仿宋_GB2312" w:eastAsia="仿宋_GB2312"/>
                      <w:sz w:val="20"/>
                      <w:b/>
                      <w:color w:val="000000"/>
                    </w:rPr>
                    <w:t>称</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w:t>
                  </w:r>
                </w:p>
              </w:tc>
              <w:tc>
                <w:tcPr>
                  <w:tcW w:type="dxa" w:w="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视频监控系统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900万环保雷达测速卡口系统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硬件</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900万一体化环保卡口抓拍单元</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包含高清一体化嵌入式摄像机、室外防护罩、电源适配器镜头和支架等；</w:t>
                  </w:r>
                  <w:r>
                    <w:br/>
                  </w:r>
                  <w:r>
                    <w:rPr>
                      <w:rFonts w:ascii="仿宋_GB2312" w:hAnsi="仿宋_GB2312" w:cs="仿宋_GB2312" w:eastAsia="仿宋_GB2312"/>
                      <w:sz w:val="20"/>
                      <w:color w:val="000000"/>
                    </w:rPr>
                    <w:t>2) 采用多光谱融合技术，可以在晚间使用内置LED灯结合红外爆闪灯的情况下，仍得到全彩的图片；</w:t>
                  </w:r>
                  <w:r>
                    <w:br/>
                  </w:r>
                  <w:r>
                    <w:rPr>
                      <w:rFonts w:ascii="仿宋_GB2312" w:hAnsi="仿宋_GB2312" w:cs="仿宋_GB2312" w:eastAsia="仿宋_GB2312"/>
                      <w:sz w:val="20"/>
                      <w:color w:val="000000"/>
                    </w:rPr>
                    <w:t xml:space="preserve">3) 支持白天用白光爆闪，晚上用内置灯加红外爆闪同步补光。； </w:t>
                  </w:r>
                  <w:r>
                    <w:br/>
                  </w:r>
                  <w:r>
                    <w:rPr>
                      <w:rFonts w:ascii="仿宋_GB2312" w:hAnsi="仿宋_GB2312" w:cs="仿宋_GB2312" w:eastAsia="仿宋_GB2312"/>
                      <w:sz w:val="20"/>
                      <w:color w:val="000000"/>
                    </w:rPr>
                    <w:t>4) 抓拍图片可看清前排司乘人员人脸，并可用于后端人脸比对；</w:t>
                  </w:r>
                  <w:r>
                    <w:br/>
                  </w:r>
                  <w:r>
                    <w:rPr>
                      <w:rFonts w:ascii="仿宋_GB2312" w:hAnsi="仿宋_GB2312" w:cs="仿宋_GB2312" w:eastAsia="仿宋_GB2312"/>
                      <w:sz w:val="20"/>
                      <w:color w:val="000000"/>
                    </w:rPr>
                    <w:t>5) 支持视频检测、雷达、线圈三种触发方式，支持通过视频触发进行车辆抓拍，支持车牌识别、车身颜色识别、车型识别，通行车辆信息捕获和违章检测功能；</w:t>
                  </w:r>
                  <w:r>
                    <w:br/>
                  </w:r>
                  <w:r>
                    <w:rPr>
                      <w:rFonts w:ascii="仿宋_GB2312" w:hAnsi="仿宋_GB2312" w:cs="仿宋_GB2312" w:eastAsia="仿宋_GB2312"/>
                      <w:sz w:val="20"/>
                      <w:color w:val="000000"/>
                    </w:rPr>
                    <w:t>6) 像素：≥900W；</w:t>
                  </w:r>
                  <w:r>
                    <w:br/>
                  </w:r>
                  <w:r>
                    <w:rPr>
                      <w:rFonts w:ascii="仿宋_GB2312" w:hAnsi="仿宋_GB2312" w:cs="仿宋_GB2312" w:eastAsia="仿宋_GB2312"/>
                      <w:sz w:val="20"/>
                      <w:color w:val="000000"/>
                    </w:rPr>
                    <w:t>9) 图像传感器 ：≥1.1英寸传感器；</w:t>
                  </w:r>
                  <w:r>
                    <w:br/>
                  </w:r>
                  <w:r>
                    <w:rPr>
                      <w:rFonts w:ascii="仿宋_GB2312" w:hAnsi="仿宋_GB2312" w:cs="仿宋_GB2312" w:eastAsia="仿宋_GB2312"/>
                      <w:sz w:val="20"/>
                      <w:color w:val="000000"/>
                    </w:rPr>
                    <w:t xml:space="preserve">10) 违章检测功能：超速、压线、逆行、禁止大货车等违法行为； </w:t>
                  </w:r>
                  <w:r>
                    <w:br/>
                  </w:r>
                  <w:r>
                    <w:rPr>
                      <w:rFonts w:ascii="仿宋_GB2312" w:hAnsi="仿宋_GB2312" w:cs="仿宋_GB2312" w:eastAsia="仿宋_GB2312"/>
                      <w:sz w:val="20"/>
                      <w:color w:val="000000"/>
                    </w:rPr>
                    <w:t>11) 车辆特征检测功能：车牌识别、车型识别、车身颜色识别、违章检测、车辆品牌等特征检测；</w:t>
                  </w:r>
                  <w:r>
                    <w:br/>
                  </w:r>
                  <w:r>
                    <w:rPr>
                      <w:rFonts w:ascii="仿宋_GB2312" w:hAnsi="仿宋_GB2312" w:cs="仿宋_GB2312" w:eastAsia="仿宋_GB2312"/>
                      <w:sz w:val="20"/>
                      <w:color w:val="000000"/>
                    </w:rPr>
                    <w:t>12) 宽动态：≥120dB；</w:t>
                  </w:r>
                  <w:r>
                    <w:br/>
                  </w:r>
                  <w:r>
                    <w:rPr>
                      <w:rFonts w:ascii="仿宋_GB2312" w:hAnsi="仿宋_GB2312" w:cs="仿宋_GB2312" w:eastAsia="仿宋_GB2312"/>
                      <w:sz w:val="20"/>
                      <w:color w:val="000000"/>
                    </w:rPr>
                    <w:t xml:space="preserve">▲13) 透雾模式功能检查：支持透雾模式的开启和关闭，可分别设置早晨/傍晚/白天/夜晚等不同场景下的透雾模式状态（提供公安部检测机构或其他经国家认可的第三方检测机构出具的检测报告复印件并加盖投标人公章）； </w:t>
                  </w:r>
                  <w:r>
                    <w:br/>
                  </w:r>
                  <w:r>
                    <w:rPr>
                      <w:rFonts w:ascii="仿宋_GB2312" w:hAnsi="仿宋_GB2312" w:cs="仿宋_GB2312" w:eastAsia="仿宋_GB2312"/>
                      <w:sz w:val="20"/>
                      <w:color w:val="000000"/>
                    </w:rPr>
                    <w:t xml:space="preserve">14) 支持设置视频3D降噪功能，包括视频空域3D降噪及视频时域3D降噪，降噪等级0~100可分别设置，可通过菜单启用或关闭； </w:t>
                  </w:r>
                  <w:r>
                    <w:br/>
                  </w:r>
                  <w:r>
                    <w:rPr>
                      <w:rFonts w:ascii="仿宋_GB2312" w:hAnsi="仿宋_GB2312" w:cs="仿宋_GB2312" w:eastAsia="仿宋_GB2312"/>
                      <w:sz w:val="20"/>
                      <w:color w:val="000000"/>
                    </w:rPr>
                    <w:t>15) 支持自动采集车道、车流量、平均速度、车辆类型、占有率、平均车头时距、平均排队长度、时间段等交通信息数据并进行统计，支持自动上传采集的交通信息数据，上传时间间隔可设置；</w:t>
                  </w:r>
                  <w:r>
                    <w:br/>
                  </w:r>
                  <w:r>
                    <w:rPr>
                      <w:rFonts w:ascii="仿宋_GB2312" w:hAnsi="仿宋_GB2312" w:cs="仿宋_GB2312" w:eastAsia="仿宋_GB2312"/>
                      <w:sz w:val="20"/>
                      <w:color w:val="000000"/>
                    </w:rPr>
                    <w:t>▲16）电动镜头自动识别检查：支持对不同焦段的电动聚焦/变焦镜头进行自动识别，在更换镜头时可自动实现聚焦清晰（提供公安部检测机构或其他经国家认可的第三方检测机构出具的检测报告复印件并加盖投标人公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核心产品</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高清镜头</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1200万像素1.1英寸50mm镜头</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支架</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支架数</w:t>
                  </w:r>
                  <w:r>
                    <w:rPr>
                      <w:rFonts w:ascii="仿宋_GB2312" w:hAnsi="仿宋_GB2312" w:cs="仿宋_GB2312" w:eastAsia="仿宋_GB2312"/>
                      <w:sz w:val="20"/>
                      <w:color w:val="000000"/>
                    </w:rPr>
                    <w:t>=LED灯+抓拍单元</w:t>
                  </w:r>
                  <w:r>
                    <w:br/>
                  </w:r>
                  <w:r>
                    <w:rPr>
                      <w:rFonts w:ascii="仿宋_GB2312" w:hAnsi="仿宋_GB2312" w:cs="仿宋_GB2312" w:eastAsia="仿宋_GB2312"/>
                      <w:sz w:val="20"/>
                      <w:color w:val="000000"/>
                    </w:rPr>
                    <w:t>压铸铝材质</w:t>
                  </w:r>
                  <w:r>
                    <w:br/>
                  </w:r>
                  <w:r>
                    <w:rPr>
                      <w:rFonts w:ascii="仿宋_GB2312" w:hAnsi="仿宋_GB2312" w:cs="仿宋_GB2312" w:eastAsia="仿宋_GB2312"/>
                      <w:sz w:val="20"/>
                      <w:color w:val="000000"/>
                    </w:rPr>
                    <w:t>支持支架安装方式</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终端管理设备</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内置≥8个10M/100M自适应以太网口，支持≥4路高清视频和≥4路高清图片同时接入，最大码流不超过100Mbps；</w:t>
                  </w:r>
                  <w:r>
                    <w:br/>
                  </w:r>
                  <w:r>
                    <w:rPr>
                      <w:rFonts w:ascii="仿宋_GB2312" w:hAnsi="仿宋_GB2312" w:cs="仿宋_GB2312" w:eastAsia="仿宋_GB2312"/>
                      <w:sz w:val="20"/>
                      <w:color w:val="000000"/>
                    </w:rPr>
                    <w:t>2) 支持1/2/3/4张图片合成，合成顺序和特写图片序号可自定义；</w:t>
                  </w:r>
                  <w:r>
                    <w:br/>
                  </w:r>
                  <w:r>
                    <w:rPr>
                      <w:rFonts w:ascii="仿宋_GB2312" w:hAnsi="仿宋_GB2312" w:cs="仿宋_GB2312" w:eastAsia="仿宋_GB2312"/>
                      <w:sz w:val="20"/>
                      <w:color w:val="000000"/>
                    </w:rPr>
                    <w:t>3) 支持双网卡路由设置，支持表格形式展示已添加的路由；</w:t>
                  </w:r>
                  <w:r>
                    <w:br/>
                  </w:r>
                  <w:r>
                    <w:rPr>
                      <w:rFonts w:ascii="仿宋_GB2312" w:hAnsi="仿宋_GB2312" w:cs="仿宋_GB2312" w:eastAsia="仿宋_GB2312"/>
                      <w:sz w:val="20"/>
                      <w:color w:val="000000"/>
                    </w:rPr>
                    <w:t>4) 支持按时间、通道、违法类型、车牌、车速、车道、对象类型、车牌颜色、车身颜色、主/副驾驶安全带状态、主/副驾驶遮阳板状态查询图片功能，支持csv或excel格式导出查询结果；</w:t>
                  </w:r>
                  <w:r>
                    <w:br/>
                  </w:r>
                  <w:r>
                    <w:rPr>
                      <w:rFonts w:ascii="仿宋_GB2312" w:hAnsi="仿宋_GB2312" w:cs="仿宋_GB2312" w:eastAsia="仿宋_GB2312"/>
                      <w:sz w:val="20"/>
                      <w:color w:val="000000"/>
                    </w:rPr>
                    <w:t>5) 支持按时间或文件下载图片及关联录像，关联录像时长可自定义设置1-100秒，支持将图片附带的特写图、车牌图片、主驾驶图片、副驾驶图片、非机动车人脸、行人人脸抠图分离并下载，图片及关联录像下载命名格式可分卡口和违法自定义设置；</w:t>
                  </w:r>
                  <w:r>
                    <w:br/>
                  </w:r>
                  <w:r>
                    <w:rPr>
                      <w:rFonts w:ascii="仿宋_GB2312" w:hAnsi="仿宋_GB2312" w:cs="仿宋_GB2312" w:eastAsia="仿宋_GB2312"/>
                      <w:sz w:val="20"/>
                      <w:color w:val="000000"/>
                    </w:rPr>
                    <w:t>6) 支持接入视图库GA/T1400、国标GB/T28181-2016、国标GB35114A-2017；</w:t>
                  </w:r>
                  <w:r>
                    <w:br/>
                  </w:r>
                  <w:r>
                    <w:rPr>
                      <w:rFonts w:ascii="仿宋_GB2312" w:hAnsi="仿宋_GB2312" w:cs="仿宋_GB2312" w:eastAsia="仿宋_GB2312"/>
                      <w:sz w:val="20"/>
                      <w:color w:val="000000"/>
                    </w:rPr>
                    <w:t>7) 标配≥2T硬盘，最大支持1个SATA接口3.5" 4T硬盘；</w:t>
                  </w:r>
                  <w:r>
                    <w:br/>
                  </w:r>
                  <w:r>
                    <w:rPr>
                      <w:rFonts w:ascii="仿宋_GB2312" w:hAnsi="仿宋_GB2312" w:cs="仿宋_GB2312" w:eastAsia="仿宋_GB2312"/>
                      <w:sz w:val="20"/>
                      <w:color w:val="000000"/>
                    </w:rPr>
                    <w:t>8) 支持手动上传图片至平台和FTP服务器，通道、时间、图片类型可自定义设置；</w:t>
                  </w:r>
                  <w:r>
                    <w:br/>
                  </w:r>
                  <w:r>
                    <w:rPr>
                      <w:rFonts w:ascii="仿宋_GB2312" w:hAnsi="仿宋_GB2312" w:cs="仿宋_GB2312" w:eastAsia="仿宋_GB2312"/>
                      <w:sz w:val="20"/>
                      <w:color w:val="000000"/>
                    </w:rPr>
                    <w:t>9) 支持上传状态可视化，可展示对接2个平台的图片上传结果及上传成功或失败的时间节点记录；</w:t>
                  </w:r>
                  <w:r>
                    <w:br/>
                  </w:r>
                  <w:r>
                    <w:rPr>
                      <w:rFonts w:ascii="仿宋_GB2312" w:hAnsi="仿宋_GB2312" w:cs="仿宋_GB2312" w:eastAsia="仿宋_GB2312"/>
                      <w:sz w:val="20"/>
                      <w:color w:val="000000"/>
                    </w:rPr>
                    <w:t>10) 支持≥3个FTP同时传输，原始图片、合成图片、车身图片、车牌图片、关联录像、主驾驶图片、副驾驶图片、行人人脸图片、非机动车人脸图片上传类型可选，FTP连接模式长连接或短连接可选；</w:t>
                  </w:r>
                  <w:r>
                    <w:br/>
                  </w:r>
                  <w:r>
                    <w:rPr>
                      <w:rFonts w:ascii="仿宋_GB2312" w:hAnsi="仿宋_GB2312" w:cs="仿宋_GB2312" w:eastAsia="仿宋_GB2312"/>
                      <w:sz w:val="20"/>
                      <w:color w:val="000000"/>
                    </w:rPr>
                    <w:t>11) 支持集成我司协议的第三方相机接入，可进行视频预览、存储，图片接收、合成、存储及转发；</w:t>
                  </w:r>
                  <w:r>
                    <w:br/>
                  </w:r>
                  <w:r>
                    <w:rPr>
                      <w:rFonts w:ascii="仿宋_GB2312" w:hAnsi="仿宋_GB2312" w:cs="仿宋_GB2312" w:eastAsia="仿宋_GB2312"/>
                      <w:sz w:val="20"/>
                      <w:color w:val="000000"/>
                    </w:rPr>
                    <w:t>12) 支持跨网段远程升级、配置前端摄像机；</w:t>
                  </w:r>
                  <w:r>
                    <w:br/>
                  </w:r>
                  <w:r>
                    <w:rPr>
                      <w:rFonts w:ascii="仿宋_GB2312" w:hAnsi="仿宋_GB2312" w:cs="仿宋_GB2312" w:eastAsia="仿宋_GB2312"/>
                      <w:sz w:val="20"/>
                      <w:color w:val="000000"/>
                    </w:rPr>
                    <w:t>13) 断网续传、自动注册、黑白名单导入导出、数据防删改功能；</w:t>
                  </w:r>
                  <w:r>
                    <w:br/>
                  </w:r>
                  <w:r>
                    <w:rPr>
                      <w:rFonts w:ascii="仿宋_GB2312" w:hAnsi="仿宋_GB2312" w:cs="仿宋_GB2312" w:eastAsia="仿宋_GB2312"/>
                      <w:sz w:val="20"/>
                      <w:color w:val="000000"/>
                    </w:rPr>
                    <w:t xml:space="preserve">▲14) 违法图片支持类型：交通抛洒物；行人事件；左转不礼让直行；大弯小转；车辆排队加塞；右转不礼让横向直行；右转不礼让直行行人；不按规定使用远光灯；禁货；行人卡口；非机动车占道； B类违法停车； C类违法停车； D类违法停车；非机动车超载；未戴安全头盔；出店经营；机动车违停；非机动车违停；流动摊贩；禁止通行；未按规定依次通行；交通滞留；非机动车装载伞具；违法倒车（提供公安部检测机构或其他经国家认可的第三方检测机构出具的检测报告复印件并加盖投标人公章）； </w:t>
                  </w:r>
                  <w:r>
                    <w:br/>
                  </w:r>
                  <w:r>
                    <w:rPr>
                      <w:rFonts w:ascii="仿宋_GB2312" w:hAnsi="仿宋_GB2312" w:cs="仿宋_GB2312" w:eastAsia="仿宋_GB2312"/>
                      <w:sz w:val="20"/>
                      <w:color w:val="000000"/>
                    </w:rPr>
                    <w:t>▲15) 硬盘接口：≥1个，3.5英寸；一键复位按钮：≥1个，长按复位键可恢复系统到出厂默认配置；SIM卡槽：1个，天线接口：1个3G/4G模块天线接口、1个GPS模块天线接口；RS232串口：≥1个；RS485接口：≥2个；报警输入接口：3个；报警输出接口：≥3个；音频输入接口：≥1个；音频输出接口：≥1个；状态指示灯: ≥2个；USB3.0接口：≥1个（提供公安部检测机构或其他经国家认可的第三方检测机构出具的检测报告复印件并加盖投标人公章） 。</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多合一环保补光灯</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灯型：多功能一体型：支持暖光LED频闪、暖光LED爆闪、白光氙气爆闪、红外氙气爆闪四种模式；</w:t>
                  </w:r>
                  <w:r>
                    <w:br/>
                  </w:r>
                  <w:r>
                    <w:rPr>
                      <w:rFonts w:ascii="仿宋_GB2312" w:hAnsi="仿宋_GB2312" w:cs="仿宋_GB2312" w:eastAsia="仿宋_GB2312"/>
                      <w:sz w:val="20"/>
                      <w:color w:val="000000"/>
                    </w:rPr>
                    <w:t>2) 光源：可见光（波长350nm～780nm）；</w:t>
                  </w:r>
                  <w:r>
                    <w:br/>
                  </w:r>
                  <w:r>
                    <w:rPr>
                      <w:rFonts w:ascii="仿宋_GB2312" w:hAnsi="仿宋_GB2312" w:cs="仿宋_GB2312" w:eastAsia="仿宋_GB2312"/>
                      <w:sz w:val="20"/>
                      <w:color w:val="000000"/>
                    </w:rPr>
                    <w:t>3) 色温：氙气：5800K±200K，LED：3500K；</w:t>
                  </w:r>
                  <w:r>
                    <w:br/>
                  </w:r>
                  <w:r>
                    <w:rPr>
                      <w:rFonts w:ascii="仿宋_GB2312" w:hAnsi="仿宋_GB2312" w:cs="仿宋_GB2312" w:eastAsia="仿宋_GB2312"/>
                      <w:sz w:val="20"/>
                      <w:color w:val="000000"/>
                    </w:rPr>
                    <w:t>4) 中心光照度：LED：≤5lx（20m平均光照度），≤20lx（20m有效光照度），≤80lx（20m频爆光照度）；氙气：≤4000lx；</w:t>
                  </w:r>
                  <w:r>
                    <w:br/>
                  </w:r>
                  <w:r>
                    <w:rPr>
                      <w:rFonts w:ascii="仿宋_GB2312" w:hAnsi="仿宋_GB2312" w:cs="仿宋_GB2312" w:eastAsia="仿宋_GB2312"/>
                      <w:sz w:val="20"/>
                      <w:color w:val="000000"/>
                    </w:rPr>
                    <w:t>5) 补光距离：16m～26m；</w:t>
                  </w:r>
                  <w:r>
                    <w:br/>
                  </w:r>
                  <w:r>
                    <w:rPr>
                      <w:rFonts w:ascii="仿宋_GB2312" w:hAnsi="仿宋_GB2312" w:cs="仿宋_GB2312" w:eastAsia="仿宋_GB2312"/>
                      <w:sz w:val="20"/>
                      <w:color w:val="000000"/>
                    </w:rPr>
                    <w:t>6) 闪光灯寿命：≥1000万次；</w:t>
                  </w:r>
                  <w:r>
                    <w:br/>
                  </w:r>
                  <w:r>
                    <w:rPr>
                      <w:rFonts w:ascii="仿宋_GB2312" w:hAnsi="仿宋_GB2312" w:cs="仿宋_GB2312" w:eastAsia="仿宋_GB2312"/>
                      <w:sz w:val="20"/>
                      <w:color w:val="000000"/>
                    </w:rPr>
                    <w:t>7) 灯珠数量：≥24颗（高亮LED）；</w:t>
                  </w:r>
                  <w:r>
                    <w:br/>
                  </w:r>
                  <w:r>
                    <w:rPr>
                      <w:rFonts w:ascii="仿宋_GB2312" w:hAnsi="仿宋_GB2312" w:cs="仿宋_GB2312" w:eastAsia="仿宋_GB2312"/>
                      <w:sz w:val="20"/>
                      <w:color w:val="000000"/>
                    </w:rPr>
                    <w:t>8) 频闪时间统计：支持统计频闪持续时间；</w:t>
                  </w:r>
                  <w:r>
                    <w:br/>
                  </w:r>
                  <w:r>
                    <w:rPr>
                      <w:rFonts w:ascii="仿宋_GB2312" w:hAnsi="仿宋_GB2312" w:cs="仿宋_GB2312" w:eastAsia="仿宋_GB2312"/>
                      <w:sz w:val="20"/>
                      <w:color w:val="000000"/>
                    </w:rPr>
                    <w:t>9) 红外白光切换：支持；</w:t>
                  </w:r>
                  <w:r>
                    <w:br/>
                  </w:r>
                  <w:r>
                    <w:rPr>
                      <w:rFonts w:ascii="仿宋_GB2312" w:hAnsi="仿宋_GB2312" w:cs="仿宋_GB2312" w:eastAsia="仿宋_GB2312"/>
                      <w:sz w:val="20"/>
                      <w:color w:val="000000"/>
                    </w:rPr>
                    <w:t>10) 远程故障显示：支持在摄像机WEB上远程显示补光灯故障、正常状态；</w:t>
                  </w:r>
                  <w:r>
                    <w:br/>
                  </w:r>
                  <w:r>
                    <w:rPr>
                      <w:rFonts w:ascii="仿宋_GB2312" w:hAnsi="仿宋_GB2312" w:cs="仿宋_GB2312" w:eastAsia="仿宋_GB2312"/>
                      <w:sz w:val="20"/>
                      <w:color w:val="000000"/>
                    </w:rPr>
                    <w:t>11) 亮度调节：氙气：1～16级亮度可调；LED：1～20级亮度可调；</w:t>
                  </w:r>
                  <w:r>
                    <w:br/>
                  </w:r>
                  <w:r>
                    <w:rPr>
                      <w:rFonts w:ascii="仿宋_GB2312" w:hAnsi="仿宋_GB2312" w:cs="仿宋_GB2312" w:eastAsia="仿宋_GB2312"/>
                      <w:sz w:val="20"/>
                      <w:color w:val="000000"/>
                    </w:rPr>
                    <w:t xml:space="preserve">▲12) 抖动：设备在输入频率50Hz、占空比3%的信号时，LED频闪灯肉眼观察无明显抖动（提供公安部检测机构或其他经国家认可的第三方检测机构出具的检测报告复印件并加盖投标人公章）； </w:t>
                  </w:r>
                  <w:r>
                    <w:br/>
                  </w:r>
                  <w:r>
                    <w:rPr>
                      <w:rFonts w:ascii="仿宋_GB2312" w:hAnsi="仿宋_GB2312" w:cs="仿宋_GB2312" w:eastAsia="仿宋_GB2312"/>
                      <w:sz w:val="20"/>
                      <w:color w:val="000000"/>
                    </w:rPr>
                    <w:t>13) 要求具备符合GA/T1202-2022《交通技术监控成像补光装置通用技术条件》的检测报告（LED频闪1级，氙气/红外爆闪1级）；</w:t>
                  </w:r>
                  <w:r>
                    <w:br/>
                  </w:r>
                  <w:r>
                    <w:rPr>
                      <w:rFonts w:ascii="仿宋_GB2312" w:hAnsi="仿宋_GB2312" w:cs="仿宋_GB2312" w:eastAsia="仿宋_GB2312"/>
                      <w:sz w:val="20"/>
                      <w:color w:val="000000"/>
                    </w:rPr>
                    <w:t>▲14）眩光阈值增量(TI)试验：TI≤2%。(1.05%(LED频闪)（提供公安部检测机构或其他经国家认可的第三方检测机构出具的检测报告复印件并加盖投标人公章）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窄波平板雷达测速仪</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每车道配一台，</w:t>
                  </w:r>
                  <w:r>
                    <w:rPr>
                      <w:rFonts w:ascii="仿宋_GB2312" w:hAnsi="仿宋_GB2312" w:cs="仿宋_GB2312" w:eastAsia="仿宋_GB2312"/>
                      <w:sz w:val="20"/>
                      <w:color w:val="000000"/>
                    </w:rPr>
                    <w:t>24G平板窄波雷达；</w:t>
                  </w:r>
                  <w:r>
                    <w:br/>
                  </w:r>
                  <w:r>
                    <w:rPr>
                      <w:rFonts w:ascii="仿宋_GB2312" w:hAnsi="仿宋_GB2312" w:cs="仿宋_GB2312" w:eastAsia="仿宋_GB2312"/>
                      <w:sz w:val="20"/>
                      <w:color w:val="000000"/>
                    </w:rPr>
                    <w:t>车道数目：单车道</w:t>
                  </w:r>
                  <w:r>
                    <w:br/>
                  </w:r>
                  <w:r>
                    <w:rPr>
                      <w:rFonts w:ascii="仿宋_GB2312" w:hAnsi="仿宋_GB2312" w:cs="仿宋_GB2312" w:eastAsia="仿宋_GB2312"/>
                      <w:sz w:val="20"/>
                      <w:color w:val="000000"/>
                    </w:rPr>
                    <w:t>捕获率：</w:t>
                  </w:r>
                  <w:r>
                    <w:rPr>
                      <w:rFonts w:ascii="仿宋_GB2312" w:hAnsi="仿宋_GB2312" w:cs="仿宋_GB2312" w:eastAsia="仿宋_GB2312"/>
                      <w:sz w:val="20"/>
                      <w:color w:val="000000"/>
                    </w:rPr>
                    <w:t>≥95%</w:t>
                  </w:r>
                  <w:r>
                    <w:br/>
                  </w:r>
                  <w:r>
                    <w:rPr>
                      <w:rFonts w:ascii="仿宋_GB2312" w:hAnsi="仿宋_GB2312" w:cs="仿宋_GB2312" w:eastAsia="仿宋_GB2312"/>
                      <w:sz w:val="20"/>
                      <w:color w:val="000000"/>
                    </w:rPr>
                    <w:t>车速检测范围：</w:t>
                  </w:r>
                  <w:r>
                    <w:rPr>
                      <w:rFonts w:ascii="仿宋_GB2312" w:hAnsi="仿宋_GB2312" w:cs="仿宋_GB2312" w:eastAsia="仿宋_GB2312"/>
                      <w:sz w:val="20"/>
                      <w:color w:val="000000"/>
                    </w:rPr>
                    <w:t>10Km/h ～250Km/h</w:t>
                  </w:r>
                  <w:r>
                    <w:br/>
                  </w:r>
                  <w:r>
                    <w:rPr>
                      <w:rFonts w:ascii="仿宋_GB2312" w:hAnsi="仿宋_GB2312" w:cs="仿宋_GB2312" w:eastAsia="仿宋_GB2312"/>
                      <w:sz w:val="20"/>
                      <w:color w:val="000000"/>
                    </w:rPr>
                    <w:t>抓拍距离：</w:t>
                  </w:r>
                  <w:r>
                    <w:rPr>
                      <w:rFonts w:ascii="仿宋_GB2312" w:hAnsi="仿宋_GB2312" w:cs="仿宋_GB2312" w:eastAsia="仿宋_GB2312"/>
                      <w:sz w:val="20"/>
                      <w:color w:val="000000"/>
                    </w:rPr>
                    <w:t>18m～38m（安装高度约6m）</w:t>
                  </w:r>
                  <w:r>
                    <w:br/>
                  </w:r>
                  <w:r>
                    <w:rPr>
                      <w:rFonts w:ascii="仿宋_GB2312" w:hAnsi="仿宋_GB2312" w:cs="仿宋_GB2312" w:eastAsia="仿宋_GB2312"/>
                      <w:sz w:val="20"/>
                      <w:color w:val="000000"/>
                    </w:rPr>
                    <w:t>通信接口：标准</w:t>
                  </w:r>
                  <w:r>
                    <w:rPr>
                      <w:rFonts w:ascii="仿宋_GB2312" w:hAnsi="仿宋_GB2312" w:cs="仿宋_GB2312" w:eastAsia="仿宋_GB2312"/>
                      <w:sz w:val="20"/>
                      <w:color w:val="000000"/>
                    </w:rPr>
                    <w:t>RS-232</w:t>
                  </w:r>
                  <w:r>
                    <w:br/>
                  </w:r>
                  <w:r>
                    <w:rPr>
                      <w:rFonts w:ascii="仿宋_GB2312" w:hAnsi="仿宋_GB2312" w:cs="仿宋_GB2312" w:eastAsia="仿宋_GB2312"/>
                      <w:sz w:val="20"/>
                      <w:color w:val="000000"/>
                    </w:rPr>
                    <w:t>包含电源等配件</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雷达电源适配器</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AC100V~240V-40W-12V3.33A-V级</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汇聚交换机</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交换容量</w:t>
                  </w:r>
                  <w:r>
                    <w:rPr>
                      <w:rFonts w:ascii="仿宋_GB2312" w:hAnsi="仿宋_GB2312" w:cs="仿宋_GB2312" w:eastAsia="仿宋_GB2312"/>
                      <w:sz w:val="20"/>
                      <w:color w:val="000000"/>
                    </w:rPr>
                    <w:t>≥500Gbps，包转发率≥250Mpps；应具备线性转发能力</w:t>
                  </w:r>
                  <w:r>
                    <w:br/>
                  </w:r>
                  <w:r>
                    <w:rPr>
                      <w:rFonts w:ascii="仿宋_GB2312" w:hAnsi="仿宋_GB2312" w:cs="仿宋_GB2312" w:eastAsia="仿宋_GB2312"/>
                      <w:sz w:val="20"/>
                      <w:color w:val="000000"/>
                    </w:rPr>
                    <w:t>单台设备</w:t>
                  </w:r>
                  <w:r>
                    <w:rPr>
                      <w:rFonts w:ascii="仿宋_GB2312" w:hAnsi="仿宋_GB2312" w:cs="仿宋_GB2312" w:eastAsia="仿宋_GB2312"/>
                      <w:sz w:val="20"/>
                      <w:color w:val="000000"/>
                    </w:rPr>
                    <w:t>≥48个10/100/1000Mbps以太网光端口，≥4个万兆光端口；≥48个10/100/1000Mbps以太网光模块，接口类型均为LC/PC接口，单个10/100/1000Mbps以太网光模块为单芯双向光模块，光模块连接单模光纤，传输距离≥40km；≥4个万兆SFP+单模光模块（双芯双向），光模块接口类型为LC/PC接口，单个光模块为双芯双向光模块，光模块连接单模光纤，传输距离≥40k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接入交换机</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8口百兆</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防雷器</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数据、电源防雷器</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稳压器</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单相输入电压</w:t>
                  </w:r>
                  <w:r>
                    <w:rPr>
                      <w:rFonts w:ascii="仿宋_GB2312" w:hAnsi="仿宋_GB2312" w:cs="仿宋_GB2312" w:eastAsia="仿宋_GB2312"/>
                      <w:sz w:val="20"/>
                      <w:color w:val="000000"/>
                    </w:rPr>
                    <w:t>至少满足</w:t>
                  </w:r>
                  <w:r>
                    <w:rPr>
                      <w:rFonts w:ascii="仿宋_GB2312" w:hAnsi="仿宋_GB2312" w:cs="仿宋_GB2312" w:eastAsia="仿宋_GB2312"/>
                      <w:sz w:val="20"/>
                      <w:color w:val="000000"/>
                    </w:rPr>
                    <w:t>150V-250V；</w:t>
                  </w:r>
                  <w:r>
                    <w:br/>
                  </w:r>
                  <w:r>
                    <w:rPr>
                      <w:rFonts w:ascii="仿宋_GB2312" w:hAnsi="仿宋_GB2312" w:cs="仿宋_GB2312" w:eastAsia="仿宋_GB2312"/>
                      <w:sz w:val="20"/>
                      <w:color w:val="000000"/>
                    </w:rPr>
                    <w:t>单相输出电压</w:t>
                  </w:r>
                  <w:r>
                    <w:rPr>
                      <w:rFonts w:ascii="仿宋_GB2312" w:hAnsi="仿宋_GB2312" w:cs="仿宋_GB2312" w:eastAsia="仿宋_GB2312"/>
                      <w:sz w:val="20"/>
                      <w:color w:val="000000"/>
                    </w:rPr>
                    <w:t>≥3KVA，220V；</w:t>
                  </w:r>
                  <w:r>
                    <w:br/>
                  </w:r>
                  <w:r>
                    <w:rPr>
                      <w:rFonts w:ascii="仿宋_GB2312" w:hAnsi="仿宋_GB2312" w:cs="仿宋_GB2312" w:eastAsia="仿宋_GB2312"/>
                      <w:sz w:val="20"/>
                      <w:color w:val="000000"/>
                    </w:rPr>
                    <w:t>稳压精度</w:t>
                  </w:r>
                  <w:r>
                    <w:rPr>
                      <w:rFonts w:ascii="仿宋_GB2312" w:hAnsi="仿宋_GB2312" w:cs="仿宋_GB2312" w:eastAsia="仿宋_GB2312"/>
                      <w:sz w:val="20"/>
                      <w:color w:val="000000"/>
                    </w:rPr>
                    <w:t xml:space="preserve"> 220V±2.5℅;</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光纤收发器</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传输速率：1Gbps。</w:t>
                  </w:r>
                  <w:r>
                    <w:br/>
                  </w:r>
                  <w:r>
                    <w:rPr>
                      <w:rFonts w:ascii="仿宋_GB2312" w:hAnsi="仿宋_GB2312" w:cs="仿宋_GB2312" w:eastAsia="仿宋_GB2312"/>
                      <w:sz w:val="20"/>
                      <w:color w:val="000000"/>
                    </w:rPr>
                    <w:t>2. 波长：1310nm或1550nm、单模光纤。</w:t>
                  </w:r>
                  <w:r>
                    <w:br/>
                  </w:r>
                  <w:r>
                    <w:rPr>
                      <w:rFonts w:ascii="仿宋_GB2312" w:hAnsi="仿宋_GB2312" w:cs="仿宋_GB2312" w:eastAsia="仿宋_GB2312"/>
                      <w:sz w:val="20"/>
                      <w:color w:val="000000"/>
                    </w:rPr>
                    <w:t>3. 光功率和接收灵敏度：-23到-37dB。</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网络视频存储服务器</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1）设备规格：≤6U，≥48盘位；</w:t>
                  </w:r>
                  <w:r>
                    <w:br/>
                  </w:r>
                  <w:r>
                    <w:rPr>
                      <w:rFonts w:ascii="仿宋_GB2312" w:hAnsi="仿宋_GB2312" w:cs="仿宋_GB2312" w:eastAsia="仿宋_GB2312"/>
                      <w:sz w:val="20"/>
                      <w:color w:val="000000"/>
                    </w:rPr>
                    <w:t>2）具有1个控制单元，1个64位六核处理器，标配8GB内存，可扩展至128GB。具有128GB SSD固态硬盘，可扩展至2个512GB SSD固态硬盘，可扩展1个2.5英寸SATA硬盘。</w:t>
                  </w:r>
                  <w:r>
                    <w:br/>
                  </w:r>
                  <w:r>
                    <w:rPr>
                      <w:rFonts w:ascii="仿宋_GB2312" w:hAnsi="仿宋_GB2312" w:cs="仿宋_GB2312" w:eastAsia="仿宋_GB2312"/>
                      <w:sz w:val="20"/>
                      <w:color w:val="000000"/>
                    </w:rPr>
                    <w:t>3）支持RAID0、1、5、6、10、50、60、JBOD、Hot-Spare（热备）多种RAID模式；电源、风扇、接口、数据通道冗余。</w:t>
                  </w:r>
                  <w:r>
                    <w:br/>
                  </w:r>
                  <w:r>
                    <w:rPr>
                      <w:rFonts w:ascii="仿宋_GB2312" w:hAnsi="仿宋_GB2312" w:cs="仿宋_GB2312" w:eastAsia="仿宋_GB2312"/>
                      <w:sz w:val="20"/>
                      <w:color w:val="000000"/>
                    </w:rPr>
                    <w:t>4）支持视频流直存功能，支持图片直存，支持标准iSCSI协议存储，支持IPSAN，支持NAS服务，支持N+M集群；支持不少于320路私有、onvif、国标等前端1:1:1接入、存储和转发。</w:t>
                  </w:r>
                  <w:r>
                    <w:br/>
                  </w:r>
                  <w:r>
                    <w:rPr>
                      <w:rFonts w:ascii="仿宋_GB2312" w:hAnsi="仿宋_GB2312" w:cs="仿宋_GB2312" w:eastAsia="仿宋_GB2312"/>
                      <w:sz w:val="20"/>
                      <w:color w:val="000000"/>
                    </w:rPr>
                    <w:t>5）支持同时接入不少于512路的人脸、人体检测、车辆检测等摄像机，支持当侦测到人脸、人体、车辆等时，可进行抠图和抓拍，并触发报警联动录像、抓拍图片、弹出报警画面、发送语音提示、上传中心、蜂鸣报警以及日志记录；支持按照人脸、人体、车辆的各属性进行查询检索。</w:t>
                  </w:r>
                  <w:r>
                    <w:br/>
                  </w:r>
                  <w:r>
                    <w:rPr>
                      <w:rFonts w:ascii="仿宋_GB2312" w:hAnsi="仿宋_GB2312" w:cs="仿宋_GB2312" w:eastAsia="仿宋_GB2312"/>
                      <w:sz w:val="20"/>
                      <w:color w:val="000000"/>
                    </w:rPr>
                    <w:t>6）支持对用户操作设备过程中涉及到的敏感数据采用数字信封技术加密后在网络中传输；支持采用AES加密算法加密视频码流并在网络中传输；支持码流采用TLS通道加密技术加密后在网络中传输。</w:t>
                  </w:r>
                  <w:r>
                    <w:br/>
                  </w:r>
                  <w:r>
                    <w:rPr>
                      <w:rFonts w:ascii="仿宋_GB2312" w:hAnsi="仿宋_GB2312" w:cs="仿宋_GB2312" w:eastAsia="仿宋_GB2312"/>
                      <w:sz w:val="20"/>
                      <w:color w:val="000000"/>
                    </w:rPr>
                    <w:t>7）支持配置文件和数据导出功能，且支持配置文件和数据加密导出；支持后台配置数据、账户数据和密钥数据均采用AES加密算法进行存储。</w:t>
                  </w:r>
                  <w:r>
                    <w:br/>
                  </w:r>
                  <w:r>
                    <w:rPr>
                      <w:rFonts w:ascii="仿宋_GB2312" w:hAnsi="仿宋_GB2312" w:cs="仿宋_GB2312" w:eastAsia="仿宋_GB2312"/>
                      <w:sz w:val="20"/>
                      <w:color w:val="000000"/>
                    </w:rPr>
                    <w:t>8）支持前端设备优先直接连接存储设备进行录像，当直接访问存储设备不通时，系统将通过媒体转发服务器进行录像存储；支持用户访问存储设备的录像时，系统优先选择用户直接连接存储设备，当用户和存储设备之间链路不通时，系统将通过媒体转发服务器进行自动路由，存储录像。</w:t>
                  </w:r>
                  <w:r>
                    <w:br/>
                  </w:r>
                  <w:r>
                    <w:rPr>
                      <w:rFonts w:ascii="仿宋_GB2312" w:hAnsi="仿宋_GB2312" w:cs="仿宋_GB2312" w:eastAsia="仿宋_GB2312"/>
                      <w:sz w:val="20"/>
                      <w:color w:val="000000"/>
                    </w:rPr>
                    <w:t>支持系统存储资源自动统一配置，当分配的空间不足时，系统可自动分配更多的空间给用户。</w:t>
                  </w:r>
                  <w:r>
                    <w:br/>
                  </w:r>
                  <w:r>
                    <w:rPr>
                      <w:rFonts w:ascii="仿宋_GB2312" w:hAnsi="仿宋_GB2312" w:cs="仿宋_GB2312" w:eastAsia="仿宋_GB2312"/>
                      <w:sz w:val="20"/>
                      <w:color w:val="000000"/>
                    </w:rPr>
                    <w:t>9）支持可将数据随机分散存储至各个硬盘;可全盘参与某一种业务（读写盘、只读盘、冗余盘、抽帧盘、AI回放盘）。</w:t>
                  </w:r>
                  <w:r>
                    <w:br/>
                  </w:r>
                  <w:r>
                    <w:rPr>
                      <w:rFonts w:ascii="仿宋_GB2312" w:hAnsi="仿宋_GB2312" w:cs="仿宋_GB2312" w:eastAsia="仿宋_GB2312"/>
                      <w:sz w:val="20"/>
                      <w:color w:val="000000"/>
                    </w:rPr>
                    <w:t>10）支持同时损坏8块硬盘时所属RAID存储数据不应丢失，应能正常读写。</w:t>
                  </w:r>
                  <w:r>
                    <w:br/>
                  </w:r>
                  <w:r>
                    <w:rPr>
                      <w:rFonts w:ascii="仿宋_GB2312" w:hAnsi="仿宋_GB2312" w:cs="仿宋_GB2312" w:eastAsia="仿宋_GB2312"/>
                      <w:sz w:val="20"/>
                      <w:color w:val="000000"/>
                    </w:rPr>
                    <w:t>11）支持1/16、1/8、1/4、1/2、2、4、8、16、32、64、128、256倍速回放录像。</w:t>
                  </w:r>
                  <w:r>
                    <w:br/>
                  </w:r>
                  <w:r>
                    <w:rPr>
                      <w:rFonts w:ascii="仿宋_GB2312" w:hAnsi="仿宋_GB2312" w:cs="仿宋_GB2312" w:eastAsia="仿宋_GB2312"/>
                      <w:sz w:val="20"/>
                      <w:color w:val="000000"/>
                    </w:rPr>
                    <w:t>▲12）需兼容临高交警已有的云存储管理系统</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10T企业级硬盘</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10T企业级硬盘</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存储管理服务器</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管理功能：</w:t>
                  </w:r>
                  <w:r>
                    <w:rPr>
                      <w:rFonts w:ascii="仿宋_GB2312" w:hAnsi="仿宋_GB2312" w:cs="仿宋_GB2312" w:eastAsia="仿宋_GB2312"/>
                      <w:sz w:val="20"/>
                      <w:color w:val="000000"/>
                    </w:rPr>
                    <w:t>S-Manager服务</w:t>
                  </w:r>
                  <w:r>
                    <w:br/>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≥1*1TB 3.5寸硬盘</w:t>
                  </w:r>
                  <w:r>
                    <w:br/>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≥16GB *1</w:t>
                  </w:r>
                  <w:r>
                    <w:br/>
                  </w:r>
                  <w:r>
                    <w:rPr>
                      <w:rFonts w:ascii="仿宋_GB2312" w:hAnsi="仿宋_GB2312" w:cs="仿宋_GB2312" w:eastAsia="仿宋_GB2312"/>
                      <w:sz w:val="20"/>
                      <w:color w:val="000000"/>
                    </w:rPr>
                    <w:t>处理器：国产处理器</w:t>
                  </w:r>
                  <w:r>
                    <w:br/>
                  </w:r>
                  <w:r>
                    <w:rPr>
                      <w:rFonts w:ascii="仿宋_GB2312" w:hAnsi="仿宋_GB2312" w:cs="仿宋_GB2312" w:eastAsia="仿宋_GB2312"/>
                      <w:sz w:val="20"/>
                      <w:color w:val="000000"/>
                    </w:rPr>
                    <w:t>配套存储：存储挂载容量</w:t>
                  </w:r>
                  <w:r>
                    <w:rPr>
                      <w:rFonts w:ascii="仿宋_GB2312" w:hAnsi="仿宋_GB2312" w:cs="仿宋_GB2312" w:eastAsia="仿宋_GB2312"/>
                      <w:sz w:val="20"/>
                      <w:color w:val="000000"/>
                    </w:rPr>
                    <w:t>600T；支持最大挂载2台IPSAN设备</w:t>
                  </w:r>
                  <w:r>
                    <w:br/>
                  </w:r>
                  <w:r>
                    <w:rPr>
                      <w:rFonts w:ascii="仿宋_GB2312" w:hAnsi="仿宋_GB2312" w:cs="仿宋_GB2312" w:eastAsia="仿宋_GB2312"/>
                      <w:sz w:val="20"/>
                      <w:color w:val="000000"/>
                    </w:rPr>
                    <w:t>转发参数：支持单节点</w:t>
                  </w:r>
                  <w:r>
                    <w:rPr>
                      <w:rFonts w:ascii="仿宋_GB2312" w:hAnsi="仿宋_GB2312" w:cs="仿宋_GB2312" w:eastAsia="仿宋_GB2312"/>
                      <w:sz w:val="20"/>
                      <w:color w:val="000000"/>
                    </w:rPr>
                    <w:t>256路转发（4M码流、四网口绑定）</w:t>
                  </w:r>
                  <w:r>
                    <w:br/>
                  </w:r>
                  <w:r>
                    <w:rPr>
                      <w:rFonts w:ascii="仿宋_GB2312" w:hAnsi="仿宋_GB2312" w:cs="仿宋_GB2312" w:eastAsia="仿宋_GB2312"/>
                      <w:sz w:val="20"/>
                      <w:color w:val="000000"/>
                    </w:rPr>
                    <w:t>存储参数：或支持单节点</w:t>
                  </w:r>
                  <w:r>
                    <w:rPr>
                      <w:rFonts w:ascii="仿宋_GB2312" w:hAnsi="仿宋_GB2312" w:cs="仿宋_GB2312" w:eastAsia="仿宋_GB2312"/>
                      <w:sz w:val="20"/>
                      <w:color w:val="000000"/>
                    </w:rPr>
                    <w:t>256路存储（4M码流、四网口绑定）；或 支持单节点400路车辆卡口存储（四网口绑定）</w:t>
                  </w:r>
                  <w:r>
                    <w:br/>
                  </w:r>
                  <w:r>
                    <w:rPr>
                      <w:rFonts w:ascii="仿宋_GB2312" w:hAnsi="仿宋_GB2312" w:cs="仿宋_GB2312" w:eastAsia="仿宋_GB2312"/>
                      <w:sz w:val="20"/>
                      <w:color w:val="000000"/>
                    </w:rPr>
                    <w:t>接入参数</w:t>
                  </w:r>
                  <w:r>
                    <w:rPr>
                      <w:rFonts w:ascii="仿宋_GB2312" w:hAnsi="仿宋_GB2312" w:cs="仿宋_GB2312" w:eastAsia="仿宋_GB2312"/>
                      <w:sz w:val="20"/>
                      <w:color w:val="000000"/>
                    </w:rPr>
                    <w:t>≥2500国标接入</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材料</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设备机箱</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工业级</w:t>
                  </w:r>
                  <w:r>
                    <w:rPr>
                      <w:rFonts w:ascii="仿宋_GB2312" w:hAnsi="仿宋_GB2312" w:cs="仿宋_GB2312" w:eastAsia="仿宋_GB2312"/>
                      <w:sz w:val="20"/>
                      <w:color w:val="000000"/>
                    </w:rPr>
                    <w:t>IP65、隔热防潮、防水、防尘、防腐；喷塑，独立漏电保护,含线架、线槽、线排、空开、电源维护插座等</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杆件</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L杆,规格6*6.5m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杆件</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L杆,规格6*7m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杆件</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T杆,规格6*12m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基础</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1.5*1.5*1.8米（长*宽*深）；含防雷接地制作、接地极≦10</w:t>
                  </w:r>
                  <w:r>
                    <w:rPr>
                      <w:rFonts w:ascii="仿宋_GB2312" w:hAnsi="仿宋_GB2312" w:cs="仿宋_GB2312" w:eastAsia="仿宋_GB2312"/>
                      <w:sz w:val="20"/>
                      <w:color w:val="000000"/>
                    </w:rPr>
                    <w:t xml:space="preserve">Ω </w:t>
                  </w:r>
                  <w:r>
                    <w:rPr>
                      <w:rFonts w:ascii="仿宋_GB2312" w:hAnsi="仿宋_GB2312" w:cs="仿宋_GB2312" w:eastAsia="仿宋_GB2312"/>
                      <w:sz w:val="20"/>
                      <w:color w:val="000000"/>
                    </w:rPr>
                    <w:t>；预埋件</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电源管道开挖及修复</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含水泥路面、滤清路面、彩砖、大理石、绿化带区域等开挖及修复；开挖深度</w:t>
                  </w:r>
                  <w:r>
                    <w:rPr>
                      <w:rFonts w:ascii="仿宋_GB2312" w:hAnsi="仿宋_GB2312" w:cs="仿宋_GB2312" w:eastAsia="仿宋_GB2312"/>
                      <w:sz w:val="20"/>
                      <w:color w:val="000000"/>
                    </w:rPr>
                    <w:t>50CM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窨井</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小窨井：</w:t>
                  </w:r>
                  <w:r>
                    <w:rPr>
                      <w:rFonts w:ascii="仿宋_GB2312" w:hAnsi="仿宋_GB2312" w:cs="仿宋_GB2312" w:eastAsia="仿宋_GB2312"/>
                      <w:sz w:val="20"/>
                      <w:color w:val="000000"/>
                    </w:rPr>
                    <w:t>40*40*50CM（长*宽*深）</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线缆</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电源线、网线、控制线</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供电</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包含供电接驳点报建、电表及电表安装、电源接驳点至设备机箱之间管道连接，杆件旁窨井等</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附件</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抱箍、波纹管、</w:t>
                  </w:r>
                  <w:r>
                    <w:rPr>
                      <w:rFonts w:ascii="仿宋_GB2312" w:hAnsi="仿宋_GB2312" w:cs="仿宋_GB2312" w:eastAsia="仿宋_GB2312"/>
                      <w:sz w:val="20"/>
                      <w:color w:val="000000"/>
                    </w:rPr>
                    <w:t>pvc管、水晶头、扎线、紧固件等配套附件，除锈按SA2.5级。</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行人过街警示系统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路段一体信号灯</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信号灯种类：机动车灯</w:t>
                  </w:r>
                  <w:r>
                    <w:rPr>
                      <w:rFonts w:ascii="仿宋_GB2312" w:hAnsi="仿宋_GB2312" w:cs="仿宋_GB2312" w:eastAsia="仿宋_GB2312"/>
                      <w:sz w:val="20"/>
                      <w:color w:val="000000"/>
                    </w:rPr>
                    <w:t>/人行灯；</w:t>
                  </w:r>
                  <w:r>
                    <w:br/>
                  </w:r>
                  <w:r>
                    <w:rPr>
                      <w:rFonts w:ascii="仿宋_GB2312" w:hAnsi="仿宋_GB2312" w:cs="仿宋_GB2312" w:eastAsia="仿宋_GB2312"/>
                      <w:sz w:val="20"/>
                      <w:color w:val="000000"/>
                    </w:rPr>
                    <w:t>1、信号灯灯型：圆盘灯/静态人行灯；</w:t>
                  </w:r>
                  <w:r>
                    <w:br/>
                  </w:r>
                  <w:r>
                    <w:rPr>
                      <w:rFonts w:ascii="仿宋_GB2312" w:hAnsi="仿宋_GB2312" w:cs="仿宋_GB2312" w:eastAsia="仿宋_GB2312"/>
                      <w:sz w:val="20"/>
                      <w:color w:val="000000"/>
                    </w:rPr>
                    <w:t>2、外壳材料≥不锈钢板1.2mm、底座10mm喷塑铁板；</w:t>
                  </w:r>
                  <w:r>
                    <w:br/>
                  </w:r>
                  <w:r>
                    <w:rPr>
                      <w:rFonts w:ascii="仿宋_GB2312" w:hAnsi="仿宋_GB2312" w:cs="仿宋_GB2312" w:eastAsia="仿宋_GB2312"/>
                      <w:sz w:val="20"/>
                      <w:color w:val="000000"/>
                    </w:rPr>
                    <w:t>3、面罩规格≥Φ300mm；</w:t>
                  </w:r>
                  <w:r>
                    <w:br/>
                  </w:r>
                  <w:r>
                    <w:rPr>
                      <w:rFonts w:ascii="仿宋_GB2312" w:hAnsi="仿宋_GB2312" w:cs="仿宋_GB2312" w:eastAsia="仿宋_GB2312"/>
                      <w:sz w:val="20"/>
                      <w:color w:val="000000"/>
                    </w:rPr>
                    <w:t>4、中心光强：150cd～400cd；</w:t>
                  </w:r>
                  <w:r>
                    <w:br/>
                  </w:r>
                  <w:r>
                    <w:rPr>
                      <w:rFonts w:ascii="仿宋_GB2312" w:hAnsi="仿宋_GB2312" w:cs="仿宋_GB2312" w:eastAsia="仿宋_GB2312"/>
                      <w:sz w:val="20"/>
                      <w:color w:val="000000"/>
                    </w:rPr>
                    <w:t>5、LED寿命：≥70000小时；</w:t>
                  </w:r>
                  <w:r>
                    <w:br/>
                  </w:r>
                  <w:r>
                    <w:rPr>
                      <w:rFonts w:ascii="仿宋_GB2312" w:hAnsi="仿宋_GB2312" w:cs="仿宋_GB2312" w:eastAsia="仿宋_GB2312"/>
                      <w:sz w:val="20"/>
                      <w:color w:val="000000"/>
                    </w:rPr>
                    <w:t>6、可视距离：＞300m；</w:t>
                  </w:r>
                  <w:r>
                    <w:br/>
                  </w:r>
                  <w:r>
                    <w:rPr>
                      <w:rFonts w:ascii="仿宋_GB2312" w:hAnsi="仿宋_GB2312" w:cs="仿宋_GB2312" w:eastAsia="仿宋_GB2312"/>
                      <w:sz w:val="20"/>
                      <w:color w:val="000000"/>
                    </w:rPr>
                    <w:t>7、语音提示：支持语音提示，自动跟随红绿灯信号同步切换不同语音提示内容；</w:t>
                  </w:r>
                  <w:r>
                    <w:br/>
                  </w:r>
                  <w:r>
                    <w:rPr>
                      <w:rFonts w:ascii="仿宋_GB2312" w:hAnsi="仿宋_GB2312" w:cs="仿宋_GB2312" w:eastAsia="仿宋_GB2312"/>
                      <w:sz w:val="20"/>
                      <w:color w:val="000000"/>
                    </w:rPr>
                    <w:t>8、播报时间：支持通过APP蓝牙配置实现定时开关机设置，最大可设置五个时段，支持调节音量大小；</w:t>
                  </w:r>
                  <w:r>
                    <w:br/>
                  </w:r>
                  <w:r>
                    <w:rPr>
                      <w:rFonts w:ascii="仿宋_GB2312" w:hAnsi="仿宋_GB2312" w:cs="仿宋_GB2312" w:eastAsia="仿宋_GB2312"/>
                      <w:sz w:val="20"/>
                      <w:color w:val="000000"/>
                    </w:rPr>
                    <w:t>9、按钮功能：自带语音、指示灯指示，行人触发按钮可联动信号机行人按钮相应方案；</w:t>
                  </w:r>
                  <w:r>
                    <w:br/>
                  </w:r>
                  <w:r>
                    <w:rPr>
                      <w:rFonts w:ascii="仿宋_GB2312" w:hAnsi="仿宋_GB2312" w:cs="仿宋_GB2312" w:eastAsia="仿宋_GB2312"/>
                      <w:sz w:val="20"/>
                      <w:color w:val="000000"/>
                    </w:rPr>
                    <w:t>10、防护等级：IP53；</w:t>
                  </w:r>
                  <w:r>
                    <w:br/>
                  </w:r>
                  <w:r>
                    <w:rPr>
                      <w:rFonts w:ascii="仿宋_GB2312" w:hAnsi="仿宋_GB2312" w:cs="仿宋_GB2312" w:eastAsia="仿宋_GB2312"/>
                      <w:sz w:val="20"/>
                      <w:color w:val="000000"/>
                    </w:rPr>
                    <w:t>11、供电方式：AC220V±20%，50Hz±2Hz；</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人行过街按扭</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人行过街按扭</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人行过街控制机</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1、采用国际标准通信协议NTCIP，提供符合标准的协议接口，通过中国软件评测中心测试</w:t>
                  </w:r>
                  <w:r>
                    <w:br/>
                  </w:r>
                  <w:r>
                    <w:rPr>
                      <w:rFonts w:ascii="仿宋_GB2312" w:hAnsi="仿宋_GB2312" w:cs="仿宋_GB2312" w:eastAsia="仿宋_GB2312"/>
                      <w:sz w:val="20"/>
                      <w:color w:val="000000"/>
                    </w:rPr>
                    <w:t>2、采用嵌入式控制系统，提供强大的计算与通讯能力，整机模块化设计，易于维护，维修简化</w:t>
                  </w:r>
                  <w:r>
                    <w:br/>
                  </w:r>
                  <w:r>
                    <w:rPr>
                      <w:rFonts w:ascii="仿宋_GB2312" w:hAnsi="仿宋_GB2312" w:cs="仿宋_GB2312" w:eastAsia="仿宋_GB2312"/>
                      <w:sz w:val="20"/>
                      <w:color w:val="000000"/>
                    </w:rPr>
                    <w:t>3、采用可靠的电路设计和工业级器件，确保系统稳定可靠运行</w:t>
                  </w:r>
                  <w:r>
                    <w:br/>
                  </w:r>
                  <w:r>
                    <w:rPr>
                      <w:rFonts w:ascii="仿宋_GB2312" w:hAnsi="仿宋_GB2312" w:cs="仿宋_GB2312" w:eastAsia="仿宋_GB2312"/>
                      <w:sz w:val="20"/>
                      <w:color w:val="000000"/>
                    </w:rPr>
                    <w:t>4、具有内部时钟，确保时间精准，支持手动、NTP及上位机联网授时方式</w:t>
                  </w:r>
                  <w:r>
                    <w:br/>
                  </w:r>
                  <w:r>
                    <w:rPr>
                      <w:rFonts w:ascii="仿宋_GB2312" w:hAnsi="仿宋_GB2312" w:cs="仿宋_GB2312" w:eastAsia="仿宋_GB2312"/>
                      <w:sz w:val="20"/>
                      <w:color w:val="000000"/>
                    </w:rPr>
                    <w:t>5、具有故障黄闪控制，支持软件黄闪，提高安全性</w:t>
                  </w:r>
                  <w:r>
                    <w:br/>
                  </w:r>
                  <w:r>
                    <w:rPr>
                      <w:rFonts w:ascii="仿宋_GB2312" w:hAnsi="仿宋_GB2312" w:cs="仿宋_GB2312" w:eastAsia="仿宋_GB2312"/>
                      <w:sz w:val="20"/>
                      <w:color w:val="000000"/>
                    </w:rPr>
                    <w:t>6、具有绿冲突、灯不亮、红绿同亮灯信号灯故障检测及自动降级机制</w:t>
                  </w:r>
                  <w:r>
                    <w:br/>
                  </w:r>
                  <w:r>
                    <w:rPr>
                      <w:rFonts w:ascii="仿宋_GB2312" w:hAnsi="仿宋_GB2312" w:cs="仿宋_GB2312" w:eastAsia="仿宋_GB2312"/>
                      <w:sz w:val="20"/>
                      <w:color w:val="000000"/>
                    </w:rPr>
                    <w:t>7、具有信号控制平滑过渡机制，保障路口交通通行安全</w:t>
                  </w:r>
                  <w:r>
                    <w:br/>
                  </w:r>
                  <w:r>
                    <w:rPr>
                      <w:rFonts w:ascii="仿宋_GB2312" w:hAnsi="仿宋_GB2312" w:cs="仿宋_GB2312" w:eastAsia="仿宋_GB2312"/>
                      <w:sz w:val="20"/>
                      <w:color w:val="000000"/>
                    </w:rPr>
                    <w:t>8、支持单点独立运行、也可组网集成，实现区域交通控制网络</w:t>
                  </w:r>
                  <w:r>
                    <w:br/>
                  </w:r>
                  <w:r>
                    <w:rPr>
                      <w:rFonts w:ascii="仿宋_GB2312" w:hAnsi="仿宋_GB2312" w:cs="仿宋_GB2312" w:eastAsia="仿宋_GB2312"/>
                      <w:sz w:val="20"/>
                      <w:color w:val="000000"/>
                    </w:rPr>
                    <w:t>9、支持协调控制、感应、多时段定周期、行人二次过街等控制方式、特殊状态控制、应急疏导等多种控制方式</w:t>
                  </w:r>
                  <w:r>
                    <w:br/>
                  </w:r>
                  <w:r>
                    <w:rPr>
                      <w:rFonts w:ascii="仿宋_GB2312" w:hAnsi="仿宋_GB2312" w:cs="仿宋_GB2312" w:eastAsia="仿宋_GB2312"/>
                      <w:sz w:val="20"/>
                      <w:color w:val="000000"/>
                    </w:rPr>
                    <w:t>10、支持多种检测器（视频检测器、行人检测等）采集交通流数据，支持混用，无缝对接集成</w:t>
                  </w:r>
                  <w:r>
                    <w:br/>
                  </w:r>
                  <w:r>
                    <w:rPr>
                      <w:rFonts w:ascii="仿宋_GB2312" w:hAnsi="仿宋_GB2312" w:cs="仿宋_GB2312" w:eastAsia="仿宋_GB2312"/>
                      <w:sz w:val="20"/>
                      <w:color w:val="000000"/>
                    </w:rPr>
                    <w:t>11、支持单车道双检测器配置，最大支持64路视频检测器，支持优先级启用设置</w:t>
                  </w:r>
                  <w:r>
                    <w:br/>
                  </w:r>
                  <w:r>
                    <w:rPr>
                      <w:rFonts w:ascii="仿宋_GB2312" w:hAnsi="仿宋_GB2312" w:cs="仿宋_GB2312" w:eastAsia="仿宋_GB2312"/>
                      <w:sz w:val="20"/>
                      <w:color w:val="000000"/>
                    </w:rPr>
                    <w:t>12、支持不同周期方案相位参数独立配置，重复相位参数独立配置</w:t>
                  </w:r>
                  <w:r>
                    <w:br/>
                  </w:r>
                  <w:r>
                    <w:rPr>
                      <w:rFonts w:ascii="仿宋_GB2312" w:hAnsi="仿宋_GB2312" w:cs="仿宋_GB2312" w:eastAsia="仿宋_GB2312"/>
                      <w:sz w:val="20"/>
                      <w:color w:val="000000"/>
                    </w:rPr>
                    <w:t>13、接入路数≥24路</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材料</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窨井</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小窨井</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管道</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机械顶管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KVV22-8*1.5</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国标，含网线等线材，</w:t>
                  </w:r>
                  <w:r>
                    <w:rPr>
                      <w:rFonts w:ascii="仿宋_GB2312" w:hAnsi="仿宋_GB2312" w:cs="仿宋_GB2312" w:eastAsia="仿宋_GB2312"/>
                      <w:sz w:val="20"/>
                      <w:color w:val="000000"/>
                    </w:rPr>
                    <w:t>1000Mbps超五类屏蔽阻燃双绞线</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安装紧固件、螺母、垫片等配件，除锈按</w:t>
                  </w:r>
                  <w:r>
                    <w:rPr>
                      <w:rFonts w:ascii="仿宋_GB2312" w:hAnsi="仿宋_GB2312" w:cs="仿宋_GB2312" w:eastAsia="仿宋_GB2312"/>
                      <w:sz w:val="20"/>
                      <w:color w:val="000000"/>
                    </w:rPr>
                    <w:t>SA2.5级</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供电</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驳点报建、电表及电表安装、电源接驳点至设备机箱之间</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标线标牌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注意学校警告标志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线宽</w:t>
                  </w:r>
                  <w:r>
                    <w:rPr>
                      <w:rFonts w:ascii="仿宋_GB2312" w:hAnsi="仿宋_GB2312" w:cs="仿宋_GB2312" w:eastAsia="仿宋_GB2312"/>
                      <w:sz w:val="20"/>
                      <w:color w:val="000000"/>
                    </w:rPr>
                    <w:t xml:space="preserve"> 45cm，线间距 60cm，热熔型涂料。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238</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第三中学、实验小学、博文学校</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人行横道线预告标线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停止线（白色实线）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线宽</w:t>
                  </w:r>
                  <w:r>
                    <w:rPr>
                      <w:rFonts w:ascii="仿宋_GB2312" w:hAnsi="仿宋_GB2312" w:cs="仿宋_GB2312" w:eastAsia="仿宋_GB2312"/>
                      <w:sz w:val="20"/>
                      <w:color w:val="000000"/>
                    </w:rPr>
                    <w:t xml:space="preserve"> 15cm，热熔型涂料。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车道导向线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禁止停车网格线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清除标线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设备拆除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三</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国省县道安全隐患治理基础设施</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道路交通安全警示辅助装备</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会车预警系统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1）设备具有 2 块显示屏：1、大屏用于显示文字警示信息，文字警示内容可编辑，显示屏点阵分辨率不低于 32×128，显示面积不低于 320mm×1280mm，2、小屏用于显示来车速度，由雷达探测来车速度后，将来车车速实时显示在速度显示屏上，支持配置速度上限，显示屏根据是否超速以不同颜色显示速度，超速为红色，未超速为绿色。显示屏点阵分辨率不低于 32×32，显示面积不低于 320mm×320mm。显示屏使用户外专用防水 LED 屏幕，屏幕支持远程编辑文字显示内容。内置语音警示功能，语音警示内容可编辑，警示音量可以根据使用环境进行设置。</w:t>
                  </w:r>
                  <w:r>
                    <w:br/>
                  </w:r>
                  <w:r>
                    <w:rPr>
                      <w:rFonts w:ascii="仿宋_GB2312" w:hAnsi="仿宋_GB2312" w:cs="仿宋_GB2312" w:eastAsia="仿宋_GB2312"/>
                      <w:sz w:val="20"/>
                      <w:color w:val="000000"/>
                    </w:rPr>
                    <w:t>2）质量认证要求：设备功能应经过公安部相关检测机构的检验认证，拥有质检报告。</w:t>
                  </w:r>
                  <w:r>
                    <w:br/>
                  </w:r>
                  <w:r>
                    <w:rPr>
                      <w:rFonts w:ascii="仿宋_GB2312" w:hAnsi="仿宋_GB2312" w:cs="仿宋_GB2312" w:eastAsia="仿宋_GB2312"/>
                      <w:sz w:val="20"/>
                      <w:color w:val="000000"/>
                    </w:rPr>
                    <w:t>▲3）设备能够联网接入“道路交通态势监测服务平台公路安全隐患突出路口路段治理系统”，在系统内查看设备运转情况（提供软件截图）。</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杆件</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高度</w:t>
                  </w:r>
                  <w:r>
                    <w:rPr>
                      <w:rFonts w:ascii="仿宋_GB2312" w:hAnsi="仿宋_GB2312" w:cs="仿宋_GB2312" w:eastAsia="仿宋_GB2312"/>
                      <w:sz w:val="20"/>
                      <w:color w:val="000000"/>
                    </w:rPr>
                    <w:t xml:space="preserve"> 4.5 米，直径 89mm，含防雷接地制作；预埋件</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基础</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混凝土</w:t>
                  </w:r>
                  <w:r>
                    <w:rPr>
                      <w:rFonts w:ascii="仿宋_GB2312" w:hAnsi="仿宋_GB2312" w:cs="仿宋_GB2312" w:eastAsia="仿宋_GB2312"/>
                      <w:sz w:val="20"/>
                      <w:color w:val="000000"/>
                    </w:rPr>
                    <w:t xml:space="preserve"> C30，尺寸 1.5m×1.1m×1.1m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安装紧固件、螺母、垫片等配件，除锈按</w:t>
                  </w:r>
                  <w:r>
                    <w:rPr>
                      <w:rFonts w:ascii="仿宋_GB2312" w:hAnsi="仿宋_GB2312" w:cs="仿宋_GB2312" w:eastAsia="仿宋_GB2312"/>
                      <w:sz w:val="20"/>
                      <w:color w:val="000000"/>
                    </w:rPr>
                    <w:t>SA2.5级</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标线标牌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 形交叉警告标志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临加线头板村路段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停车让行标志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80cm，单柱式，杆高 4m，壁厚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橡胶，长</w:t>
                  </w:r>
                  <w:r>
                    <w:rPr>
                      <w:rFonts w:ascii="仿宋_GB2312" w:hAnsi="仿宋_GB2312" w:cs="仿宋_GB2312" w:eastAsia="仿宋_GB2312"/>
                      <w:sz w:val="20"/>
                      <w:color w:val="000000"/>
                    </w:rPr>
                    <w:t>3m，宽 35cm，厚 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前方弯道警告标志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225国道五峰小学路段（弯道下坡）</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陡坡警告标志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线性诱导标志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钢质</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禁止超车标志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80cm，单柱式，杆高 4m，壁厚 3mm ，热镀锌钢管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注意学校警告标志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限速标志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*km/h，直径 80cm，单柱式，杆高 4m，壁厚 3mm，热镀</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道口标柱</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反光警示柱，高度</w:t>
                  </w:r>
                  <w:r>
                    <w:rPr>
                      <w:rFonts w:ascii="仿宋_GB2312" w:hAnsi="仿宋_GB2312" w:cs="仿宋_GB2312" w:eastAsia="仿宋_GB2312"/>
                      <w:sz w:val="20"/>
                      <w:color w:val="000000"/>
                    </w:rPr>
                    <w:t xml:space="preserve"> 80 ，直径10cm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黄色网格禁停线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人行预告线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清除标线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停车让行标志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80cm，单柱式，杆高 4m，壁厚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波莲太坡村路段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橡胶，长</w:t>
                  </w:r>
                  <w:r>
                    <w:rPr>
                      <w:rFonts w:ascii="仿宋_GB2312" w:hAnsi="仿宋_GB2312" w:cs="仿宋_GB2312" w:eastAsia="仿宋_GB2312"/>
                      <w:sz w:val="20"/>
                      <w:color w:val="000000"/>
                    </w:rPr>
                    <w:t>3m，宽 35cm，厚 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道口标柱</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反光警示柱，高度</w:t>
                  </w:r>
                  <w:r>
                    <w:rPr>
                      <w:rFonts w:ascii="仿宋_GB2312" w:hAnsi="仿宋_GB2312" w:cs="仿宋_GB2312" w:eastAsia="仿宋_GB2312"/>
                      <w:sz w:val="20"/>
                      <w:color w:val="000000"/>
                    </w:rPr>
                    <w:t xml:space="preserve"> 80 ，直径10cm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道口标柱</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反光警示柱，高度</w:t>
                  </w:r>
                  <w:r>
                    <w:rPr>
                      <w:rFonts w:ascii="仿宋_GB2312" w:hAnsi="仿宋_GB2312" w:cs="仿宋_GB2312" w:eastAsia="仿宋_GB2312"/>
                      <w:sz w:val="20"/>
                      <w:color w:val="000000"/>
                    </w:rPr>
                    <w:t xml:space="preserve"> 80 ，直径10cm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和调线</w:t>
                  </w:r>
                  <w:r>
                    <w:rPr>
                      <w:rFonts w:ascii="仿宋_GB2312" w:hAnsi="仿宋_GB2312" w:cs="仿宋_GB2312" w:eastAsia="仿宋_GB2312"/>
                      <w:sz w:val="20"/>
                      <w:color w:val="000000"/>
                    </w:rPr>
                    <w:t>10公里红专学校及村庄路段（弯道）</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限速标志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*km/h，直径 80cm，单柱式，杆高 4m，壁厚 3mm，热镀</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前方弯道警告标志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陡坡警告标志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禁止超车标志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80cm，单柱式，杆高 4m，壁厚 3mm ，热镀锌钢管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黄色实线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清除标线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橡胶，长</w:t>
                  </w:r>
                  <w:r>
                    <w:rPr>
                      <w:rFonts w:ascii="仿宋_GB2312" w:hAnsi="仿宋_GB2312" w:cs="仿宋_GB2312" w:eastAsia="仿宋_GB2312"/>
                      <w:sz w:val="20"/>
                      <w:color w:val="000000"/>
                    </w:rPr>
                    <w:t>3m，宽 35cm，厚 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东英灵山村路段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 形交叉警告标志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线性诱导标志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钢质</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禁止超车标志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80cm，单柱式，杆高 4m，壁厚 3mm ，热镀锌钢管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限速标志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*km/h，直径 80cm，单柱式，杆高 4m，壁厚 3mm，热镀</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前方弯道警告标志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陡坡警告标志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 形交叉警告标志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临加线多文丁字路口</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橡胶，长</w:t>
                  </w:r>
                  <w:r>
                    <w:rPr>
                      <w:rFonts w:ascii="仿宋_GB2312" w:hAnsi="仿宋_GB2312" w:cs="仿宋_GB2312" w:eastAsia="仿宋_GB2312"/>
                      <w:sz w:val="20"/>
                      <w:color w:val="000000"/>
                    </w:rPr>
                    <w:t>3m，宽 35cm，厚 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停车让行标志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80cm，单柱式，杆高 4m，壁厚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停车让行标志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80cm，单柱式，杆高 4m，壁厚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金龙大道高城村路口</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道口标柱</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反光警示柱，高度</w:t>
                  </w:r>
                  <w:r>
                    <w:rPr>
                      <w:rFonts w:ascii="仿宋_GB2312" w:hAnsi="仿宋_GB2312" w:cs="仿宋_GB2312" w:eastAsia="仿宋_GB2312"/>
                      <w:sz w:val="20"/>
                      <w:color w:val="000000"/>
                    </w:rPr>
                    <w:t xml:space="preserve"> 80 ，直径10cm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 形交叉警告标志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橡胶，长</w:t>
                  </w:r>
                  <w:r>
                    <w:rPr>
                      <w:rFonts w:ascii="仿宋_GB2312" w:hAnsi="仿宋_GB2312" w:cs="仿宋_GB2312" w:eastAsia="仿宋_GB2312"/>
                      <w:sz w:val="20"/>
                      <w:color w:val="000000"/>
                    </w:rPr>
                    <w:t>3m，宽 35cm，厚 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热熔型涂料，线宽</w:t>
                  </w:r>
                  <w:r>
                    <w:rPr>
                      <w:rFonts w:ascii="仿宋_GB2312" w:hAnsi="仿宋_GB2312" w:cs="仿宋_GB2312" w:eastAsia="仿宋_GB2312"/>
                      <w:sz w:val="20"/>
                      <w:color w:val="000000"/>
                    </w:rPr>
                    <w:t>20cm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人行预告线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20"/>
                      <w:color w:val="000000"/>
                    </w:rPr>
                    <w:t>4</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20"/>
                      <w:color w:val="000000"/>
                    </w:rPr>
                    <w:t>5</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清除标线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停车让行标志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80cm，单柱式，杆高 4m，壁厚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金龙大道龙干村路口</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道口标柱</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反光警示柱，高度</w:t>
                  </w:r>
                  <w:r>
                    <w:rPr>
                      <w:rFonts w:ascii="仿宋_GB2312" w:hAnsi="仿宋_GB2312" w:cs="仿宋_GB2312" w:eastAsia="仿宋_GB2312"/>
                      <w:sz w:val="20"/>
                      <w:color w:val="000000"/>
                    </w:rPr>
                    <w:t xml:space="preserve"> 80 ，直径10cm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 形交叉警告标志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橡胶，长</w:t>
                  </w:r>
                  <w:r>
                    <w:rPr>
                      <w:rFonts w:ascii="仿宋_GB2312" w:hAnsi="仿宋_GB2312" w:cs="仿宋_GB2312" w:eastAsia="仿宋_GB2312"/>
                      <w:sz w:val="20"/>
                      <w:color w:val="000000"/>
                    </w:rPr>
                    <w:t>3m，宽 35cm，厚 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热熔型涂料，线宽</w:t>
                  </w:r>
                  <w:r>
                    <w:rPr>
                      <w:rFonts w:ascii="仿宋_GB2312" w:hAnsi="仿宋_GB2312" w:cs="仿宋_GB2312" w:eastAsia="仿宋_GB2312"/>
                      <w:sz w:val="20"/>
                      <w:color w:val="000000"/>
                    </w:rPr>
                    <w:t>20cm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人行预告线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热熔型涂料</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清除标线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停车让行标志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80cm，单柱式，杆高 4m，壁厚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旅游公路罗堂路段村路段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道口标柱</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反光警示柱，高度</w:t>
                  </w:r>
                  <w:r>
                    <w:rPr>
                      <w:rFonts w:ascii="仿宋_GB2312" w:hAnsi="仿宋_GB2312" w:cs="仿宋_GB2312" w:eastAsia="仿宋_GB2312"/>
                      <w:sz w:val="20"/>
                      <w:color w:val="000000"/>
                    </w:rPr>
                    <w:t xml:space="preserve"> 80 ，直径10cm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 形交叉警告标志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橡胶，长</w:t>
                  </w:r>
                  <w:r>
                    <w:rPr>
                      <w:rFonts w:ascii="仿宋_GB2312" w:hAnsi="仿宋_GB2312" w:cs="仿宋_GB2312" w:eastAsia="仿宋_GB2312"/>
                      <w:sz w:val="20"/>
                      <w:color w:val="000000"/>
                    </w:rPr>
                    <w:t>3m，宽 35cm，厚 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r>
                    <w:rPr>
                      <w:rFonts w:ascii="仿宋_GB2312" w:hAnsi="仿宋_GB2312" w:cs="仿宋_GB2312" w:eastAsia="仿宋_GB2312"/>
                      <w:sz w:val="20"/>
                      <w:color w:val="000000"/>
                    </w:rPr>
                    <w:t>2</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停车让行标志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80cm，单柱式，杆高 4m，壁厚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金澜大道龙跃村路口</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道口标柱</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反光警示柱，高度</w:t>
                  </w:r>
                  <w:r>
                    <w:rPr>
                      <w:rFonts w:ascii="仿宋_GB2312" w:hAnsi="仿宋_GB2312" w:cs="仿宋_GB2312" w:eastAsia="仿宋_GB2312"/>
                      <w:sz w:val="20"/>
                      <w:color w:val="000000"/>
                    </w:rPr>
                    <w:t xml:space="preserve"> 80 ，直径10cm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 形交叉警告标志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减速速</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橡胶，长</w:t>
                  </w:r>
                  <w:r>
                    <w:rPr>
                      <w:rFonts w:ascii="仿宋_GB2312" w:hAnsi="仿宋_GB2312" w:cs="仿宋_GB2312" w:eastAsia="仿宋_GB2312"/>
                      <w:sz w:val="20"/>
                      <w:color w:val="000000"/>
                    </w:rPr>
                    <w:t>3m，宽 35cm，厚 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减速警告标志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城区交通标志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临美路路段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掉头标志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400*600（双面）</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临海路路段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掉头标志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400*600（双面）</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文明东路县委路段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文明东路小博士幼儿园路段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市政大道路段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二环路路段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注意学校警告标志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江北路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江南路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注意学校警告标志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跃进路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解放路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人行横道标志牌</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80cm*80cm，2.0厚，四类膜，包配件及安装。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金澜大道</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注意行人标志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Δ </w:t>
                  </w:r>
                  <w:r>
                    <w:rPr>
                      <w:rFonts w:ascii="仿宋_GB2312" w:hAnsi="仿宋_GB2312" w:cs="仿宋_GB2312" w:eastAsia="仿宋_GB2312"/>
                      <w:sz w:val="20"/>
                      <w:color w:val="000000"/>
                    </w:rPr>
                    <w:t>900*2.0四类膜，包配件及安装。</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T 形交叉警告标志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十形交叉警告标志</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直径</w:t>
                  </w:r>
                  <w:r>
                    <w:rPr>
                      <w:rFonts w:ascii="仿宋_GB2312" w:hAnsi="仿宋_GB2312" w:cs="仿宋_GB2312" w:eastAsia="仿宋_GB2312"/>
                      <w:sz w:val="20"/>
                      <w:color w:val="000000"/>
                    </w:rPr>
                    <w:t xml:space="preserve"> 90cm，单柱式，杆高 5m，壁厚 3mm，热镀锌钢管</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五</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城区隔离护栏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新增护栏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低矮护栏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315cm*80cm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临美路路段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中央隔离护栏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315cm*110cm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649</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挡车杆</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低矮护栏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315cm*75cm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临海路路段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中央隔离护栏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315cm*110cm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517</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挡车杆</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U型防撞护栏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100cm*30cm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文明东路县委路段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U型防撞护栏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100cm*30cm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低矮护栏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315cm*75cm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市政大道路段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中央隔离护栏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315cm*110cm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低矮护栏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315cm*75cm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二环路路段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中央隔离护栏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315cm*110cm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239</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r>
                    <w:rPr>
                      <w:rFonts w:ascii="仿宋_GB2312" w:hAnsi="仿宋_GB2312" w:cs="仿宋_GB2312" w:eastAsia="仿宋_GB2312"/>
                      <w:sz w:val="32"/>
                    </w:rPr>
                    <w:t xml:space="preserve"> </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中央隔离护栏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315cm*110cm</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行政路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拆除更换</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378</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矮护栏</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护栏拆除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拆除搬运</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六</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城区道路标线清除及新增</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道路标线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江北路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车行道分界线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边缘线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导向箭头</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非机动车图样</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江南路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车行道分界线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边缘线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导向箭头</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非机动车图样</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人行道预告标线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873</w:t>
                  </w:r>
                </w:p>
              </w:tc>
              <w:tc>
                <w:tcPr>
                  <w:tcW w:type="dxa" w:w="19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br/>
                  </w:r>
                  <w:r>
                    <w:br/>
                  </w:r>
                  <w:r>
                    <w:br/>
                  </w:r>
                  <w:r>
                    <w:br/>
                  </w:r>
                  <w:r>
                    <w:br/>
                  </w:r>
                  <w:r>
                    <w:rPr>
                      <w:rFonts w:ascii="仿宋_GB2312" w:hAnsi="仿宋_GB2312" w:cs="仿宋_GB2312" w:eastAsia="仿宋_GB2312"/>
                      <w:sz w:val="20"/>
                      <w:color w:val="000000"/>
                    </w:rPr>
                    <w:t>跃进路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251</w:t>
                  </w:r>
                </w:p>
              </w:tc>
              <w:tc>
                <w:tcPr>
                  <w:tcW w:type="dxa" w:w="198"/>
                  <w:vMerge/>
                  <w:tcBorders>
                    <w:top w:val="none" w:color="000000" w:sz="4"/>
                    <w:left w:val="none" w:color="000000" w:sz="4"/>
                    <w:bottom w:val="non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车行道分界线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840</w:t>
                  </w:r>
                </w:p>
              </w:tc>
              <w:tc>
                <w:tcPr>
                  <w:tcW w:type="dxa" w:w="198"/>
                  <w:vMerge/>
                  <w:tcBorders>
                    <w:top w:val="none" w:color="000000" w:sz="4"/>
                    <w:left w:val="none" w:color="000000" w:sz="4"/>
                    <w:bottom w:val="non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边缘线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198"/>
                  <w:vMerge/>
                  <w:tcBorders>
                    <w:top w:val="none" w:color="000000" w:sz="4"/>
                    <w:left w:val="none" w:color="000000" w:sz="4"/>
                    <w:bottom w:val="non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导向箭头</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198"/>
                  <w:vMerge/>
                  <w:tcBorders>
                    <w:top w:val="none" w:color="000000" w:sz="4"/>
                    <w:left w:val="none" w:color="000000" w:sz="4"/>
                    <w:bottom w:val="non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198"/>
                  <w:vMerge/>
                  <w:tcBorders>
                    <w:top w:val="none" w:color="000000" w:sz="4"/>
                    <w:left w:val="none" w:color="000000" w:sz="4"/>
                    <w:bottom w:val="non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非机动车图样</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人行道预告标线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803</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解放路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29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车行道分界线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边缘线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导向箭头</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非机动车图样</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新桥南路</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临美路路段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道路标线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39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临海路路段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道路标线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文明东路县委路段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白色分道线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菱形标线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文明东路小博士幼儿园路段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49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白色分道线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菱形标线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19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color w:val="000000"/>
                    </w:rPr>
                    <w:t>市政大道路段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720</w:t>
                  </w:r>
                </w:p>
              </w:tc>
              <w:tc>
                <w:tcPr>
                  <w:tcW w:type="dxa" w:w="198"/>
                  <w:vMerge/>
                  <w:tcBorders>
                    <w:top w:val="none" w:color="000000" w:sz="4"/>
                    <w:left w:val="none" w:color="000000" w:sz="4"/>
                    <w:bottom w:val="non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车行道分界线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1820</w:t>
                  </w:r>
                </w:p>
              </w:tc>
              <w:tc>
                <w:tcPr>
                  <w:tcW w:type="dxa" w:w="198"/>
                  <w:vMerge/>
                  <w:tcBorders>
                    <w:top w:val="none" w:color="000000" w:sz="4"/>
                    <w:left w:val="none" w:color="000000" w:sz="4"/>
                    <w:bottom w:val="non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边缘线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1260</w:t>
                  </w:r>
                </w:p>
              </w:tc>
              <w:tc>
                <w:tcPr>
                  <w:tcW w:type="dxa" w:w="198"/>
                  <w:vMerge/>
                  <w:tcBorders>
                    <w:top w:val="none" w:color="000000" w:sz="4"/>
                    <w:left w:val="none" w:color="000000" w:sz="4"/>
                    <w:bottom w:val="non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58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导向箭头</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198"/>
                  <w:vMerge/>
                  <w:tcBorders>
                    <w:top w:val="none" w:color="000000" w:sz="4"/>
                    <w:left w:val="none" w:color="000000" w:sz="4"/>
                    <w:bottom w:val="non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人行道预告标线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标线清除</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高压水除</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二环路路段</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道路标线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车行道分界线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4956</w:t>
                  </w:r>
                </w:p>
              </w:tc>
              <w:tc>
                <w:tcPr>
                  <w:tcW w:type="dxa" w:w="1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金澜大道</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边缘线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3540</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导向箭头</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停止线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人行横道线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392</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车让人文字标线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人行道预告标线</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热熔型</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98"/>
                  <w:vMerge/>
                  <w:tcBorders>
                    <w:top w:val="none" w:color="000000" w:sz="4"/>
                    <w:left w:val="none" w:color="000000" w:sz="4"/>
                    <w:bottom w:val="single" w:color="000000" w:sz="4"/>
                    <w:right w:val="single" w:color="000000" w:sz="4"/>
                  </w:tcBorders>
                </w:tcP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七</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系统集成实施费</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5" w:after="240"/>
              <w:jc w:val="left"/>
              <w:outlineLvl w:val="2"/>
            </w:pPr>
            <w:r>
              <w:rPr>
                <w:rFonts w:ascii="仿宋_GB2312" w:hAnsi="仿宋_GB2312" w:cs="仿宋_GB2312" w:eastAsia="仿宋_GB2312"/>
                <w:sz w:val="28"/>
                <w:b/>
              </w:rPr>
              <w:t>1、</w:t>
            </w:r>
            <w:r>
              <w:rPr>
                <w:rFonts w:ascii="仿宋_GB2312" w:hAnsi="仿宋_GB2312" w:cs="仿宋_GB2312" w:eastAsia="仿宋_GB2312"/>
                <w:sz w:val="28"/>
                <w:b/>
              </w:rPr>
              <w:t>质保期</w:t>
            </w:r>
          </w:p>
          <w:p>
            <w:pPr>
              <w:pStyle w:val="null3"/>
              <w:ind w:firstLine="480"/>
              <w:jc w:val="both"/>
            </w:pPr>
            <w:r>
              <w:rPr>
                <w:rFonts w:ascii="仿宋_GB2312" w:hAnsi="仿宋_GB2312" w:cs="仿宋_GB2312" w:eastAsia="仿宋_GB2312"/>
                <w:sz w:val="24"/>
              </w:rPr>
              <w:t>本项目购置的软硬件设备提供至少</w:t>
            </w:r>
            <w:r>
              <w:rPr>
                <w:rFonts w:ascii="仿宋_GB2312" w:hAnsi="仿宋_GB2312" w:cs="仿宋_GB2312" w:eastAsia="仿宋_GB2312"/>
                <w:sz w:val="24"/>
              </w:rPr>
              <w:t>2</w:t>
            </w:r>
            <w:r>
              <w:rPr>
                <w:rFonts w:ascii="仿宋_GB2312" w:hAnsi="仿宋_GB2312" w:cs="仿宋_GB2312" w:eastAsia="仿宋_GB2312"/>
                <w:sz w:val="24"/>
              </w:rPr>
              <w:t>年的质量保证期。在质保期内，因产品自身质量问题影响采购人使用的，由投标人无条件负责退货和更换。</w:t>
            </w:r>
          </w:p>
          <w:p>
            <w:pPr>
              <w:pStyle w:val="null3"/>
              <w:spacing w:before="15" w:after="240"/>
              <w:jc w:val="left"/>
              <w:outlineLvl w:val="2"/>
            </w:pPr>
            <w:r>
              <w:rPr>
                <w:rFonts w:ascii="仿宋_GB2312" w:hAnsi="仿宋_GB2312" w:cs="仿宋_GB2312" w:eastAsia="仿宋_GB2312"/>
                <w:sz w:val="28"/>
                <w:b/>
              </w:rPr>
              <w:t>2、</w:t>
            </w:r>
            <w:r>
              <w:rPr>
                <w:rFonts w:ascii="仿宋_GB2312" w:hAnsi="仿宋_GB2312" w:cs="仿宋_GB2312" w:eastAsia="仿宋_GB2312"/>
                <w:sz w:val="28"/>
                <w:b/>
              </w:rPr>
              <w:t>验收要求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项目验收按国家、地方和行业的相关政策、法规实施。项目实施期间或试运行期间，所提供的产品或服务出现缺陷问题，投标人须及时解决或更换，由此引起的相关费用由投标人承担，对采购人造成损失的，赔偿相应损失。</w:t>
            </w:r>
          </w:p>
          <w:p>
            <w:pPr>
              <w:pStyle w:val="null3"/>
              <w:ind w:firstLine="480"/>
              <w:jc w:val="both"/>
            </w:pPr>
            <w:r>
              <w:rPr>
                <w:rFonts w:ascii="仿宋_GB2312" w:hAnsi="仿宋_GB2312" w:cs="仿宋_GB2312" w:eastAsia="仿宋_GB2312"/>
                <w:sz w:val="24"/>
              </w:rPr>
              <w:t>2、本项目接受项目监理的全过程监督检查；</w:t>
            </w:r>
          </w:p>
          <w:p>
            <w:pPr>
              <w:pStyle w:val="null3"/>
              <w:ind w:firstLine="480"/>
              <w:jc w:val="both"/>
            </w:pPr>
            <w:r>
              <w:rPr>
                <w:rFonts w:ascii="仿宋_GB2312" w:hAnsi="仿宋_GB2312" w:cs="仿宋_GB2312" w:eastAsia="仿宋_GB2312"/>
                <w:sz w:val="24"/>
              </w:rPr>
              <w:t>3、试运行结束后，项目必须通过业务主管部门组织的验收。</w:t>
            </w:r>
          </w:p>
          <w:p>
            <w:pPr>
              <w:pStyle w:val="null3"/>
              <w:spacing w:before="15" w:after="240"/>
              <w:jc w:val="left"/>
              <w:outlineLvl w:val="2"/>
            </w:pPr>
            <w:r>
              <w:rPr>
                <w:rFonts w:ascii="仿宋_GB2312" w:hAnsi="仿宋_GB2312" w:cs="仿宋_GB2312" w:eastAsia="仿宋_GB2312"/>
                <w:sz w:val="28"/>
                <w:b/>
              </w:rPr>
              <w:t>3、</w:t>
            </w:r>
            <w:r>
              <w:rPr>
                <w:rFonts w:ascii="仿宋_GB2312" w:hAnsi="仿宋_GB2312" w:cs="仿宋_GB2312" w:eastAsia="仿宋_GB2312"/>
                <w:sz w:val="28"/>
                <w:b/>
              </w:rPr>
              <w:t>其它要求</w:t>
            </w:r>
          </w:p>
          <w:p>
            <w:pPr>
              <w:pStyle w:val="null3"/>
              <w:ind w:firstLine="480"/>
              <w:jc w:val="both"/>
            </w:pPr>
            <w:r>
              <w:rPr>
                <w:rFonts w:ascii="仿宋_GB2312" w:hAnsi="仿宋_GB2312" w:cs="仿宋_GB2312" w:eastAsia="仿宋_GB2312"/>
                <w:sz w:val="24"/>
              </w:rPr>
              <w:t>1.投标人在本项目所投产品需符合国产自主可控要求，并提供承诺函。</w:t>
            </w:r>
          </w:p>
          <w:p>
            <w:pPr>
              <w:pStyle w:val="null3"/>
              <w:ind w:firstLine="482"/>
              <w:jc w:val="both"/>
            </w:pPr>
            <w:r>
              <w:rPr>
                <w:rFonts w:ascii="仿宋_GB2312" w:hAnsi="仿宋_GB2312" w:cs="仿宋_GB2312" w:eastAsia="仿宋_GB2312"/>
                <w:sz w:val="24"/>
                <w:b/>
              </w:rPr>
              <w:t>硬件：</w:t>
            </w:r>
            <w:r>
              <w:rPr>
                <w:rFonts w:ascii="仿宋_GB2312" w:hAnsi="仿宋_GB2312" w:cs="仿宋_GB2312" w:eastAsia="仿宋_GB2312"/>
                <w:sz w:val="24"/>
              </w:rPr>
              <w:t>本项目提供的各类前端设备、服务器等设备核心部件采用国产化芯片，设备符合国产自主可控要求。主要硬件设备必须支持连续</w:t>
            </w:r>
            <w:r>
              <w:rPr>
                <w:rFonts w:ascii="仿宋_GB2312" w:hAnsi="仿宋_GB2312" w:cs="仿宋_GB2312" w:eastAsia="仿宋_GB2312"/>
                <w:sz w:val="24"/>
              </w:rPr>
              <w:t>7×24小时不间断工作。</w:t>
            </w:r>
          </w:p>
          <w:p>
            <w:pPr>
              <w:pStyle w:val="null3"/>
              <w:ind w:firstLine="482"/>
              <w:jc w:val="both"/>
            </w:pPr>
            <w:r>
              <w:rPr>
                <w:rFonts w:ascii="仿宋_GB2312" w:hAnsi="仿宋_GB2312" w:cs="仿宋_GB2312" w:eastAsia="仿宋_GB2312"/>
                <w:sz w:val="24"/>
                <w:b/>
              </w:rPr>
              <w:t>操作系统：</w:t>
            </w:r>
            <w:r>
              <w:rPr>
                <w:rFonts w:ascii="仿宋_GB2312" w:hAnsi="仿宋_GB2312" w:cs="仿宋_GB2312" w:eastAsia="仿宋_GB2312"/>
                <w:sz w:val="24"/>
              </w:rPr>
              <w:t>国产操作系统。</w:t>
            </w:r>
          </w:p>
          <w:p>
            <w:pPr>
              <w:pStyle w:val="null3"/>
              <w:ind w:firstLine="482"/>
              <w:jc w:val="both"/>
            </w:pPr>
            <w:r>
              <w:rPr>
                <w:rFonts w:ascii="仿宋_GB2312" w:hAnsi="仿宋_GB2312" w:cs="仿宋_GB2312" w:eastAsia="仿宋_GB2312"/>
                <w:sz w:val="24"/>
                <w:b/>
              </w:rPr>
              <w:t>系统应用：</w:t>
            </w:r>
            <w:r>
              <w:rPr>
                <w:rFonts w:ascii="仿宋_GB2312" w:hAnsi="仿宋_GB2312" w:cs="仿宋_GB2312" w:eastAsia="仿宋_GB2312"/>
                <w:sz w:val="24"/>
              </w:rPr>
              <w:t>本项目所提供的所有应用系统软件，需符合国产自主可控要求，并兼容国内主流国产数据库，可以在国产操作系统及国产</w:t>
            </w:r>
            <w:r>
              <w:rPr>
                <w:rFonts w:ascii="仿宋_GB2312" w:hAnsi="仿宋_GB2312" w:cs="仿宋_GB2312" w:eastAsia="仿宋_GB2312"/>
                <w:sz w:val="24"/>
              </w:rPr>
              <w:t>PC终端上运行。</w:t>
            </w:r>
          </w:p>
          <w:p>
            <w:pPr>
              <w:pStyle w:val="null3"/>
              <w:spacing w:after="120"/>
              <w:ind w:firstLine="480"/>
              <w:jc w:val="both"/>
            </w:pPr>
            <w:r>
              <w:rPr>
                <w:rFonts w:ascii="仿宋_GB2312" w:hAnsi="仿宋_GB2312" w:cs="仿宋_GB2312" w:eastAsia="仿宋_GB2312"/>
                <w:sz w:val="24"/>
              </w:rPr>
              <w:t>2、投标人必须根据所投产品或服务的技术参数、资质资料等编写投标文件。在中标结果公示期间，采购人有权要求中标候选人提供所投产品或服务参数的证明材料和资质证书等进行核查，如发现与其投标文件中的描述不一致，代理机构将报政府采购主管部门严肃处理，同时废除中标资格，给采购人造成损失的，还必须进行赔偿并承担相关责任。</w:t>
            </w:r>
          </w:p>
          <w:p>
            <w:pPr>
              <w:pStyle w:val="null3"/>
              <w:ind w:firstLine="480"/>
              <w:jc w:val="both"/>
            </w:pPr>
            <w:r>
              <w:rPr>
                <w:rFonts w:ascii="仿宋_GB2312" w:hAnsi="仿宋_GB2312" w:cs="仿宋_GB2312" w:eastAsia="仿宋_GB2312"/>
                <w:sz w:val="24"/>
              </w:rPr>
              <w:t>3、投标人承诺提供新购置的设备应为全新的未使用过的，应完全符合国家相关产品及技术质量标准，采购人可按需对投标人提供的软硬件进行第三方检测，若货物的质量或规格与招标要求不符或证实货物是有缺陷的，包括潜在缺陷或使用不符合要求等，采购人可向投标人提出索赔。</w:t>
            </w:r>
          </w:p>
          <w:p>
            <w:pPr>
              <w:pStyle w:val="null3"/>
              <w:ind w:firstLine="480"/>
              <w:jc w:val="both"/>
            </w:pPr>
            <w:r>
              <w:rPr>
                <w:rFonts w:ascii="仿宋_GB2312" w:hAnsi="仿宋_GB2312" w:cs="仿宋_GB2312" w:eastAsia="仿宋_GB2312"/>
                <w:sz w:val="24"/>
              </w:rPr>
              <w:t>4、投标人承诺在实施过程中或质保期内，按采购人要求免费提供涉及本项目服务器所需的国产化操作系统，且国产化操作系统数量与本项目购买的服务器数量一致。</w:t>
            </w:r>
          </w:p>
          <w:p>
            <w:pPr>
              <w:pStyle w:val="null3"/>
              <w:ind w:firstLine="480"/>
              <w:jc w:val="both"/>
            </w:pPr>
            <w:r>
              <w:rPr>
                <w:rFonts w:ascii="仿宋_GB2312" w:hAnsi="仿宋_GB2312" w:cs="仿宋_GB2312" w:eastAsia="仿宋_GB2312"/>
              </w:rPr>
              <w:t>5、</w:t>
            </w:r>
            <w:r>
              <w:rPr>
                <w:rFonts w:ascii="仿宋_GB2312" w:hAnsi="仿宋_GB2312" w:cs="仿宋_GB2312" w:eastAsia="仿宋_GB2312"/>
                <w:sz w:val="24"/>
              </w:rPr>
              <w:t>付款方式：合同签订后预付合同总价的</w:t>
            </w:r>
            <w:r>
              <w:rPr>
                <w:rFonts w:ascii="仿宋_GB2312" w:hAnsi="仿宋_GB2312" w:cs="仿宋_GB2312" w:eastAsia="仿宋_GB2312"/>
                <w:sz w:val="24"/>
              </w:rPr>
              <w:t>30%款项；设备安装调试完成并通过签字验收后，采购人支付余下合同总价的70%尾项。</w:t>
            </w:r>
          </w:p>
          <w:p>
            <w:pPr>
              <w:pStyle w:val="null3"/>
              <w:spacing w:before="15" w:after="240"/>
              <w:jc w:val="left"/>
              <w:outlineLvl w:val="2"/>
            </w:pPr>
            <w:r>
              <w:rPr>
                <w:rFonts w:ascii="仿宋_GB2312" w:hAnsi="仿宋_GB2312" w:cs="仿宋_GB2312" w:eastAsia="仿宋_GB2312"/>
                <w:sz w:val="28"/>
                <w:b/>
              </w:rPr>
              <w:t>4、</w:t>
            </w:r>
            <w:r>
              <w:rPr>
                <w:rFonts w:ascii="仿宋_GB2312" w:hAnsi="仿宋_GB2312" w:cs="仿宋_GB2312" w:eastAsia="仿宋_GB2312"/>
                <w:sz w:val="28"/>
                <w:b/>
              </w:rPr>
              <w:t>合同执行计划</w:t>
            </w:r>
          </w:p>
          <w:p>
            <w:pPr>
              <w:pStyle w:val="null3"/>
              <w:ind w:firstLine="420"/>
              <w:jc w:val="both"/>
            </w:pPr>
            <w:r>
              <w:rPr>
                <w:rFonts w:ascii="仿宋_GB2312" w:hAnsi="仿宋_GB2312" w:cs="仿宋_GB2312" w:eastAsia="仿宋_GB2312"/>
                <w:sz w:val="24"/>
              </w:rPr>
              <w:t>1、交付时间：签订合同后，1</w:t>
            </w:r>
            <w:r>
              <w:rPr>
                <w:rFonts w:ascii="仿宋_GB2312" w:hAnsi="仿宋_GB2312" w:cs="仿宋_GB2312" w:eastAsia="仿宋_GB2312"/>
                <w:sz w:val="24"/>
              </w:rPr>
              <w:t>2</w:t>
            </w:r>
            <w:r>
              <w:rPr>
                <w:rFonts w:ascii="仿宋_GB2312" w:hAnsi="仿宋_GB2312" w:cs="仿宋_GB2312" w:eastAsia="仿宋_GB2312"/>
                <w:sz w:val="24"/>
              </w:rPr>
              <w:t>0日历天内完成软硬件安装、调试、交付等工作（含整改时间），交付服务成果</w:t>
            </w:r>
          </w:p>
          <w:p>
            <w:pPr>
              <w:pStyle w:val="null3"/>
              <w:ind w:firstLine="420"/>
              <w:jc w:val="both"/>
            </w:pPr>
            <w:r>
              <w:rPr>
                <w:rFonts w:ascii="仿宋_GB2312" w:hAnsi="仿宋_GB2312" w:cs="仿宋_GB2312" w:eastAsia="仿宋_GB2312"/>
                <w:sz w:val="24"/>
              </w:rPr>
              <w:t>2、交货地点：</w:t>
            </w:r>
            <w:r>
              <w:rPr>
                <w:rFonts w:ascii="仿宋_GB2312" w:hAnsi="仿宋_GB2312" w:cs="仿宋_GB2312" w:eastAsia="仿宋_GB2312"/>
                <w:sz w:val="24"/>
              </w:rPr>
              <w:t>临高</w:t>
            </w:r>
            <w:r>
              <w:rPr>
                <w:rFonts w:ascii="仿宋_GB2312" w:hAnsi="仿宋_GB2312" w:cs="仿宋_GB2312" w:eastAsia="仿宋_GB2312"/>
                <w:sz w:val="24"/>
              </w:rPr>
              <w:t>县</w:t>
            </w:r>
          </w:p>
          <w:p>
            <w:pPr>
              <w:pStyle w:val="null3"/>
              <w:jc w:val="both"/>
            </w:pPr>
            <w:r>
              <w:rPr>
                <w:rFonts w:ascii="仿宋_GB2312" w:hAnsi="仿宋_GB2312" w:cs="仿宋_GB2312" w:eastAsia="仿宋_GB2312"/>
                <w:sz w:val="24"/>
              </w:rPr>
              <w:t xml:space="preserve">  3、因政策原因，要求加快建设进度的，投标人应最大努力缩短建设服务时间。</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3.1必须为未被列入中国执行信息公开网（httpzxgk.court.gov.cnshixin）的“失信被执行人”、信用中国网站 (www.creditchina.gov.cn)的“重大税收违法失信主体 ”及“政府采购严重违法失信行为记录名单”、中国政府采购网(www.ccgp.gov.cn) 的“政府采购严重违法失信行为记录名单”的投标人。（提供网页截图或承诺函，格式自拟并加盖公章。未提供齐全的以采购代理机构现场查询结果为准。）；3.2参加政府采购活动前三年内，没有环保类行政处罚记录（提供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自定义格式</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技术部分30.00分</w:t>
            </w:r>
          </w:p>
          <w:p>
            <w:pPr>
              <w:pStyle w:val="null3"/>
              <w:jc w:val="both"/>
            </w:pPr>
            <w:r>
              <w:rPr>
                <w:rFonts w:ascii="仿宋_GB2312" w:hAnsi="仿宋_GB2312" w:cs="仿宋_GB2312" w:eastAsia="仿宋_GB2312"/>
              </w:rPr>
              <w:t>商务部分40.00分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供货实施方案</w:t>
            </w:r>
          </w:p>
        </w:tc>
        <w:tc>
          <w:tcPr>
            <w:tcW w:type="dxa" w:w="2492"/>
          </w:tcPr>
          <w:p>
            <w:pPr>
              <w:pStyle w:val="null3"/>
              <w:jc w:val="both"/>
            </w:pPr>
            <w:r>
              <w:rPr>
                <w:rFonts w:ascii="仿宋_GB2312" w:hAnsi="仿宋_GB2312" w:cs="仿宋_GB2312" w:eastAsia="仿宋_GB2312"/>
              </w:rPr>
              <w:t>根据投标人提供的供货实施方案，包括但不限于：①货物组织方案，②货物包装和运输方案，③货物安装、调试方案，④供货应急处置方案，⑤验收方案等进行综合评审。 1.方案涵盖上述所有内容且内容全面、合理、完全满足项目实施需要的得10分，方案每缺少一项内容扣2分； 2.每一项内容存在一定缺陷的，扣1分(注：内容存在缺陷是指：方案生搬硬套，与实际情况明显不符；或存在与项目明显无关的文字内容；或内容不适用项目的实际情况，与本项目采购需求无关；或内容原理错误；或对采购需求理解缺位混乱；或描述的内容混乱；或凭空编造，内容矛盾，前后不一致，前后逻辑错误；或适用（引用）的规范及标准错误或已废止；不可能实现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根据投标人提供的质量保证方案，包括但不限于：①质量保证体系，②质量保证范围，③质量保证承诺，④质量保证措施等进行综合评审。 1.方案涵盖上述所有内容且内容全面、合理、完全满足项目实施需要的得10分，方案每缺少一项内容扣2.5分； 2.每一项内容存在一定缺陷的，扣1分(注：内容存在缺陷是指：方案生搬硬套，与实际情况明显不符；或存在与项目明显无关的文字内容；或内容不适用项目的实际情况，与本项目采购需求无关；或内容原理错误；或对采购需求理解缺位混乱；或描述的内容混乱；或凭空编造，内容矛盾，前后不一致，前后逻辑错误；或适用（引用）的规范及标准错误或已废止；不可能实现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售后服务</w:t>
            </w:r>
          </w:p>
        </w:tc>
        <w:tc>
          <w:tcPr>
            <w:tcW w:type="dxa" w:w="2492"/>
          </w:tcPr>
          <w:p>
            <w:pPr>
              <w:pStyle w:val="null3"/>
              <w:jc w:val="both"/>
            </w:pPr>
            <w:r>
              <w:rPr>
                <w:rFonts w:ascii="仿宋_GB2312" w:hAnsi="仿宋_GB2312" w:cs="仿宋_GB2312" w:eastAsia="仿宋_GB2312"/>
              </w:rPr>
              <w:t>根据投标人提供的售后服务方案，包括但不限于①售后服务体系管理、②针对性售后服务措施、③售后响服务承诺、④售后服务机构设置、⑤售后应急措施等进行综合评审。 1.方案涵盖上述所有内容且内容全面、合理、完全满足项目实施需要的得10分，方案每缺少一项内容扣2分； 2.每一项内容存在一定缺陷的，扣1分(注：内容存在缺陷是指：方案生搬硬套，与实际情况明显不符；或存在与项目明显无关的文字内容；或内容不适用项目的实际情况，与本项目采购需求无关；或内容原理错误；或对采购需求理解缺位混乱；或描述的内容混乱；或凭空编造，内容矛盾，前后不一致，前后逻辑错误；或适用（引用）的规范及标准错误或已废止；不可能实现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类似业绩</w:t>
            </w:r>
          </w:p>
        </w:tc>
        <w:tc>
          <w:tcPr>
            <w:tcW w:type="dxa" w:w="2492"/>
          </w:tcPr>
          <w:p>
            <w:pPr>
              <w:pStyle w:val="null3"/>
              <w:jc w:val="both"/>
            </w:pPr>
            <w:r>
              <w:rPr>
                <w:rFonts w:ascii="仿宋_GB2312" w:hAnsi="仿宋_GB2312" w:cs="仿宋_GB2312" w:eastAsia="仿宋_GB2312"/>
              </w:rPr>
              <w:t>投标人需提供2022年01月01日至今类似项目业绩，每提供1个得2.5分。本项满分5分。 证明材料：提供合同复印件盖投标人公章，不提供不得分。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企业实力</w:t>
            </w:r>
          </w:p>
        </w:tc>
        <w:tc>
          <w:tcPr>
            <w:tcW w:type="dxa" w:w="2492"/>
          </w:tcPr>
          <w:p>
            <w:pPr>
              <w:pStyle w:val="null3"/>
              <w:jc w:val="both"/>
            </w:pPr>
            <w:r>
              <w:rPr>
                <w:rFonts w:ascii="仿宋_GB2312" w:hAnsi="仿宋_GB2312" w:cs="仿宋_GB2312" w:eastAsia="仿宋_GB2312"/>
              </w:rPr>
              <w:t>1、投标人拟提供项目经理一名，具备信息系统项目管理师或系统集成项目管理工程师或市政工程专业高级职称，得3分； 证明材料：提供合法有效的证书及本人在单位2025年1月至今任意一个月社保缴纳证明材料复印件加盖单位公章。 2、为响应国家对企业在绿色制造、生态设计、供应链管理、绿色回收、节能低碳、资源综合利用等方面的政策要求，投标人或所投产品制造商为国家颁发的推动行业绿色发展先进单位，提供相关证明材料并加盖制造商公章证明，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重要技术参数响应</w:t>
            </w:r>
          </w:p>
        </w:tc>
        <w:tc>
          <w:tcPr>
            <w:tcW w:type="dxa" w:w="2492"/>
          </w:tcPr>
          <w:p>
            <w:pPr>
              <w:pStyle w:val="null3"/>
              <w:jc w:val="both"/>
            </w:pPr>
            <w:r>
              <w:rPr>
                <w:rFonts w:ascii="仿宋_GB2312" w:hAnsi="仿宋_GB2312" w:cs="仿宋_GB2312" w:eastAsia="仿宋_GB2312"/>
              </w:rPr>
              <w:t>1、根据投标人提供的产品技术参数完全满足或优于招标文件要求的得8分，满分8分； 2、带“▲”项的技术参数,共8条，不满足每一项扣1分，最多扣8分。 注： 技术参数中如有要求提供证明材料的，投标人应按招标文件要求提供符合要求的证明材料，若不能提供符合要求的证明材料，将被视为负偏离并扣分。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w:t>
            </w:r>
          </w:p>
        </w:tc>
        <w:tc>
          <w:tcPr>
            <w:tcW w:type="dxa" w:w="2492"/>
          </w:tcPr>
          <w:p>
            <w:pPr>
              <w:pStyle w:val="null3"/>
              <w:jc w:val="both"/>
            </w:pPr>
            <w:r>
              <w:rPr>
                <w:rFonts w:ascii="仿宋_GB2312" w:hAnsi="仿宋_GB2312" w:cs="仿宋_GB2312" w:eastAsia="仿宋_GB2312"/>
              </w:rPr>
              <w:t>1、根据投标人提供的产品技术参数完全满足或优于招标文件要求的得22分，满分22分； 2、不带“▲”项的技术参数，不满足每一项扣0.07分，最多扣22分。 注： 技术参数中如有要求提供证明材料的，投标人应按招标文件要求提供符合要求的证明材料，若不能提供符合要求的证明材料，将被视为负偏离并扣分。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JXJX-2025-002</w:t>
      </w:r>
    </w:p>
    <w:p>
      <w:pPr>
        <w:pStyle w:val="null3"/>
        <w:jc w:val="left"/>
      </w:pPr>
      <w:r>
        <w:rPr>
          <w:rFonts w:ascii="仿宋_GB2312" w:hAnsi="仿宋_GB2312" w:cs="仿宋_GB2312" w:eastAsia="仿宋_GB2312"/>
        </w:rPr>
        <w:t>项目名称：</w:t>
      </w:r>
      <w:r>
        <w:rPr>
          <w:rFonts w:ascii="仿宋_GB2312" w:hAnsi="仿宋_GB2312" w:cs="仿宋_GB2312" w:eastAsia="仿宋_GB2312"/>
        </w:rPr>
        <w:t>临高县道路交通安全基础设施更新提升项目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临高县道路交通安全基础设施更新提升项目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 xml:space="preserve"> 序号</w:t>
            </w:r>
          </w:p>
        </w:tc>
        <w:tc>
          <w:tcPr>
            <w:tcW w:type="dxa" w:w="831"/>
          </w:tcPr>
          <w:p>
            <w:pPr>
              <w:pStyle w:val="null3"/>
              <w:jc w:val="left"/>
            </w:pPr>
            <w:r>
              <w:rPr>
                <w:rFonts w:ascii="仿宋_GB2312" w:hAnsi="仿宋_GB2312" w:cs="仿宋_GB2312" w:eastAsia="仿宋_GB2312"/>
              </w:rPr>
              <w:t xml:space="preserve"> 报价内容</w:t>
            </w:r>
          </w:p>
        </w:tc>
        <w:tc>
          <w:tcPr>
            <w:tcW w:type="dxa" w:w="831"/>
          </w:tcPr>
          <w:p>
            <w:pPr>
              <w:pStyle w:val="null3"/>
              <w:jc w:val="left"/>
            </w:pPr>
            <w:r>
              <w:rPr>
                <w:rFonts w:ascii="仿宋_GB2312" w:hAnsi="仿宋_GB2312" w:cs="仿宋_GB2312" w:eastAsia="仿宋_GB2312"/>
              </w:rPr>
              <w:t xml:space="preserve"> 数量（计量单位）</w:t>
            </w:r>
          </w:p>
        </w:tc>
        <w:tc>
          <w:tcPr>
            <w:tcW w:type="dxa" w:w="831"/>
          </w:tcPr>
          <w:p>
            <w:pPr>
              <w:pStyle w:val="null3"/>
              <w:jc w:val="left"/>
            </w:pPr>
            <w:r>
              <w:rPr>
                <w:rFonts w:ascii="仿宋_GB2312" w:hAnsi="仿宋_GB2312" w:cs="仿宋_GB2312" w:eastAsia="仿宋_GB2312"/>
              </w:rPr>
              <w:t xml:space="preserve"> 最高限价</w:t>
            </w:r>
          </w:p>
        </w:tc>
        <w:tc>
          <w:tcPr>
            <w:tcW w:type="dxa" w:w="831"/>
          </w:tcPr>
          <w:p>
            <w:pPr>
              <w:pStyle w:val="null3"/>
              <w:jc w:val="left"/>
            </w:pPr>
            <w:r>
              <w:rPr>
                <w:rFonts w:ascii="仿宋_GB2312" w:hAnsi="仿宋_GB2312" w:cs="仿宋_GB2312" w:eastAsia="仿宋_GB2312"/>
              </w:rPr>
              <w:t xml:space="preserve"> 响应报价</w:t>
            </w:r>
          </w:p>
        </w:tc>
        <w:tc>
          <w:tcPr>
            <w:tcW w:type="dxa" w:w="831"/>
          </w:tcPr>
          <w:p>
            <w:pPr>
              <w:pStyle w:val="null3"/>
              <w:jc w:val="left"/>
            </w:pPr>
            <w:r>
              <w:rPr>
                <w:rFonts w:ascii="仿宋_GB2312" w:hAnsi="仿宋_GB2312" w:cs="仿宋_GB2312" w:eastAsia="仿宋_GB2312"/>
              </w:rPr>
              <w:t xml:space="preserve"> 价款形式</w:t>
            </w:r>
          </w:p>
        </w:tc>
        <w:tc>
          <w:tcPr>
            <w:tcW w:type="dxa" w:w="831"/>
          </w:tcPr>
          <w:p>
            <w:pPr>
              <w:pStyle w:val="null3"/>
              <w:jc w:val="left"/>
            </w:pPr>
            <w:r>
              <w:rPr>
                <w:rFonts w:ascii="仿宋_GB2312" w:hAnsi="仿宋_GB2312" w:cs="仿宋_GB2312" w:eastAsia="仿宋_GB2312"/>
              </w:rPr>
              <w:t xml:space="preserve"> 产地</w:t>
            </w:r>
          </w:p>
        </w:tc>
        <w:tc>
          <w:tcPr>
            <w:tcW w:type="dxa" w:w="831"/>
          </w:tcPr>
          <w:p>
            <w:pPr>
              <w:pStyle w:val="null3"/>
              <w:jc w:val="left"/>
            </w:pPr>
            <w:r>
              <w:rPr>
                <w:rFonts w:ascii="仿宋_GB2312" w:hAnsi="仿宋_GB2312" w:cs="仿宋_GB2312" w:eastAsia="仿宋_GB2312"/>
              </w:rPr>
              <w:t xml:space="preserve"> 品牌</w:t>
            </w:r>
          </w:p>
        </w:tc>
        <w:tc>
          <w:tcPr>
            <w:tcW w:type="dxa" w:w="831"/>
          </w:tcPr>
          <w:p>
            <w:pPr>
              <w:pStyle w:val="null3"/>
              <w:jc w:val="left"/>
            </w:pPr>
            <w:r>
              <w:rPr>
                <w:rFonts w:ascii="仿宋_GB2312" w:hAnsi="仿宋_GB2312" w:cs="仿宋_GB2312" w:eastAsia="仿宋_GB2312"/>
              </w:rPr>
              <w:t xml:space="preserve"> 规格</w:t>
            </w:r>
          </w:p>
        </w:tc>
        <w:tc>
          <w:tcPr>
            <w:tcW w:type="dxa" w:w="831"/>
          </w:tcPr>
          <w:p>
            <w:pPr>
              <w:pStyle w:val="null3"/>
              <w:jc w:val="left"/>
            </w:pPr>
            <w:r>
              <w:rPr>
                <w:rFonts w:ascii="仿宋_GB2312" w:hAnsi="仿宋_GB2312" w:cs="仿宋_GB2312" w:eastAsia="仿宋_GB2312"/>
              </w:rPr>
              <w:t xml:space="preserve"> 生产厂家</w:t>
            </w:r>
          </w:p>
        </w:tc>
      </w:tr>
      <w:tr>
        <w:tc>
          <w:tcPr>
            <w:tcW w:type="dxa" w:w="831"/>
          </w:tcPr>
          <w:p>
            <w:pPr>
              <w:pStyle w:val="null3"/>
              <w:jc w:val="left"/>
            </w:pPr>
            <w:r>
              <w:rPr>
                <w:rFonts w:ascii="仿宋_GB2312" w:hAnsi="仿宋_GB2312" w:cs="仿宋_GB2312" w:eastAsia="仿宋_GB2312"/>
              </w:rPr>
              <w:t xml:space="preserve"> 1</w:t>
            </w:r>
          </w:p>
        </w:tc>
        <w:tc>
          <w:tcPr>
            <w:tcW w:type="dxa" w:w="831"/>
          </w:tcPr>
          <w:p>
            <w:pPr>
              <w:pStyle w:val="null3"/>
              <w:jc w:val="left"/>
            </w:pPr>
            <w:r>
              <w:rPr>
                <w:rFonts w:ascii="仿宋_GB2312" w:hAnsi="仿宋_GB2312" w:cs="仿宋_GB2312" w:eastAsia="仿宋_GB2312"/>
              </w:rPr>
              <w:t xml:space="preserve"> A02370200-交通管理设备</w:t>
            </w:r>
          </w:p>
        </w:tc>
        <w:tc>
          <w:tcPr>
            <w:tcW w:type="dxa" w:w="831"/>
          </w:tcPr>
          <w:p>
            <w:pPr>
              <w:pStyle w:val="null3"/>
              <w:jc w:val="left"/>
            </w:pPr>
            <w:r>
              <w:rPr>
                <w:rFonts w:ascii="仿宋_GB2312" w:hAnsi="仿宋_GB2312" w:cs="仿宋_GB2312" w:eastAsia="仿宋_GB2312"/>
              </w:rPr>
              <w:t xml:space="preserve"> 1.00批</w:t>
            </w:r>
          </w:p>
        </w:tc>
        <w:tc>
          <w:tcPr>
            <w:tcW w:type="dxa" w:w="831"/>
          </w:tcPr>
          <w:p>
            <w:pPr>
              <w:pStyle w:val="null3"/>
              <w:jc w:val="left"/>
            </w:pPr>
            <w:r>
              <w:rPr>
                <w:rFonts w:ascii="仿宋_GB2312" w:hAnsi="仿宋_GB2312" w:cs="仿宋_GB2312" w:eastAsia="仿宋_GB2312"/>
              </w:rPr>
              <w:t xml:space="preserve"> 9045073.83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jc w:val="left"/>
            </w:pPr>
            <w:r>
              <w:rPr>
                <w:rFonts w:ascii="仿宋_GB2312" w:hAnsi="仿宋_GB2312" w:cs="仿宋_GB2312" w:eastAsia="仿宋_GB2312"/>
              </w:rPr>
              <w:t xml:space="preserve"> 总价</w:t>
            </w:r>
          </w:p>
        </w:tc>
        <w:tc>
          <w:tcPr>
            <w:tcW w:type="dxa" w:w="831"/>
          </w:tcPr>
          <w:p>
            <w:pPr>
              <w:pStyle w:val="null3"/>
              <w:jc w:val="left"/>
            </w:pPr>
          </w:p>
        </w:tc>
        <w:tc>
          <w:tcPr>
            <w:tcW w:type="dxa" w:w="831"/>
          </w:tcPr>
          <w:p>
            <w:pPr>
              <w:pStyle w:val="null3"/>
              <w:jc w:val="left"/>
            </w:pPr>
            <w:r>
              <w:rPr>
                <w:rFonts w:ascii="仿宋_GB2312" w:hAnsi="仿宋_GB2312" w:cs="仿宋_GB2312" w:eastAsia="仿宋_GB2312"/>
              </w:rPr>
              <w:t xml:space="preserve"> {供应商响应}</w:t>
            </w:r>
          </w:p>
        </w:tc>
        <w:tc>
          <w:tcPr>
            <w:tcW w:type="dxa" w:w="831"/>
          </w:tcPr>
          <w:p>
            <w:pPr>
              <w:pStyle w:val="null3"/>
              <w:jc w:val="left"/>
            </w:pPr>
          </w:p>
        </w:tc>
        <w:tc>
          <w:tcPr>
            <w:tcW w:type="dxa" w:w="831"/>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详见附件：自定义格式</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