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2F402">
      <w:pPr>
        <w:pageBreakBefore w:val="0"/>
        <w:kinsoku/>
        <w:wordWrap/>
        <w:overflowPunct/>
        <w:topLinePunct w:val="0"/>
        <w:bidi w:val="0"/>
        <w:snapToGrid/>
        <w:spacing w:before="0" w:after="0" w:line="550" w:lineRule="exact"/>
        <w:jc w:val="left"/>
        <w:rPr>
          <w:sz w:val="20"/>
          <w:szCs w:val="20"/>
        </w:rPr>
      </w:pPr>
    </w:p>
    <w:p w14:paraId="30F3D66E">
      <w:pPr>
        <w:keepNext w:val="0"/>
        <w:keepLines w:val="0"/>
        <w:pageBreakBefore w:val="0"/>
        <w:widowControl w:val="0"/>
        <w:kinsoku/>
        <w:wordWrap/>
        <w:overflowPunct/>
        <w:topLinePunct w:val="0"/>
        <w:autoSpaceDE/>
        <w:autoSpaceDN/>
        <w:bidi w:val="0"/>
        <w:adjustRightInd/>
        <w:snapToGrid/>
        <w:spacing w:before="13" w:after="0" w:line="550" w:lineRule="exact"/>
        <w:jc w:val="left"/>
        <w:textAlignment w:val="auto"/>
        <w:rPr>
          <w:sz w:val="24"/>
          <w:szCs w:val="24"/>
        </w:rPr>
      </w:pPr>
    </w:p>
    <w:p w14:paraId="6EB45CB7">
      <w:pPr>
        <w:pageBreakBefore w:val="0"/>
        <w:kinsoku/>
        <w:wordWrap/>
        <w:overflowPunct/>
        <w:topLinePunct w:val="0"/>
        <w:bidi w:val="0"/>
        <w:snapToGrid/>
        <w:spacing w:before="0" w:after="0" w:line="550" w:lineRule="exact"/>
        <w:jc w:val="center"/>
        <w:rPr>
          <w:sz w:val="20"/>
          <w:szCs w:val="20"/>
        </w:rPr>
      </w:pPr>
      <w:r>
        <w:rPr>
          <w:rFonts w:hint="eastAsia" w:ascii="Microsoft JhengHei" w:hAnsi="Microsoft JhengHei" w:eastAsia="Microsoft JhengHei" w:cs="Microsoft JhengHei"/>
          <w:b/>
          <w:bCs/>
          <w:spacing w:val="2"/>
          <w:w w:val="99"/>
          <w:position w:val="-1"/>
          <w:sz w:val="44"/>
          <w:szCs w:val="44"/>
          <w:lang w:eastAsia="zh-CN"/>
        </w:rPr>
        <w:t>临高县教育局2025年秋季学期至2026年春季学期九年义务教育阶段学生营养餐食堂供餐食材采购项目</w:t>
      </w:r>
    </w:p>
    <w:p w14:paraId="5DEB99C2">
      <w:pPr>
        <w:pageBreakBefore w:val="0"/>
        <w:kinsoku/>
        <w:wordWrap/>
        <w:overflowPunct/>
        <w:topLinePunct w:val="0"/>
        <w:bidi w:val="0"/>
        <w:snapToGrid/>
        <w:spacing w:before="0" w:after="0" w:line="550" w:lineRule="exact"/>
        <w:jc w:val="left"/>
        <w:rPr>
          <w:sz w:val="20"/>
          <w:szCs w:val="20"/>
        </w:rPr>
      </w:pPr>
    </w:p>
    <w:p w14:paraId="1FB1D988">
      <w:pPr>
        <w:pageBreakBefore w:val="0"/>
        <w:kinsoku/>
        <w:wordWrap/>
        <w:overflowPunct/>
        <w:topLinePunct w:val="0"/>
        <w:bidi w:val="0"/>
        <w:snapToGrid/>
        <w:spacing w:before="0" w:after="0" w:line="550" w:lineRule="exact"/>
        <w:jc w:val="left"/>
        <w:rPr>
          <w:sz w:val="20"/>
          <w:szCs w:val="20"/>
        </w:rPr>
      </w:pPr>
    </w:p>
    <w:p w14:paraId="578A8F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楷体" w:hAnsi="华文楷体" w:eastAsia="华文楷体" w:cs="华文楷体"/>
          <w:b/>
          <w:sz w:val="84"/>
          <w:szCs w:val="84"/>
        </w:rPr>
      </w:pPr>
      <w:r>
        <w:rPr>
          <w:rFonts w:hint="eastAsia" w:ascii="华文楷体" w:hAnsi="华文楷体" w:eastAsia="华文楷体" w:cs="华文楷体"/>
          <w:b/>
          <w:sz w:val="84"/>
          <w:szCs w:val="84"/>
        </w:rPr>
        <w:t>合 同 书</w:t>
      </w:r>
    </w:p>
    <w:p w14:paraId="0113F5CA">
      <w:pPr>
        <w:pageBreakBefore w:val="0"/>
        <w:kinsoku/>
        <w:wordWrap/>
        <w:overflowPunct/>
        <w:topLinePunct w:val="0"/>
        <w:bidi w:val="0"/>
        <w:snapToGrid/>
        <w:spacing w:line="550" w:lineRule="exact"/>
        <w:jc w:val="center"/>
        <w:rPr>
          <w:rFonts w:hint="eastAsia" w:ascii="华文楷体" w:hAnsi="华文楷体" w:eastAsia="华文楷体" w:cs="华文楷体"/>
          <w:b/>
          <w:sz w:val="52"/>
          <w:szCs w:val="52"/>
        </w:rPr>
      </w:pPr>
    </w:p>
    <w:p w14:paraId="0B2CEB79">
      <w:pPr>
        <w:pageBreakBefore w:val="0"/>
        <w:kinsoku/>
        <w:wordWrap/>
        <w:overflowPunct/>
        <w:topLinePunct w:val="0"/>
        <w:bidi w:val="0"/>
        <w:snapToGrid/>
        <w:spacing w:line="550" w:lineRule="exact"/>
        <w:jc w:val="center"/>
        <w:rPr>
          <w:rFonts w:hint="eastAsia" w:ascii="华文楷体" w:hAnsi="华文楷体" w:eastAsia="华文楷体" w:cs="华文楷体"/>
          <w:b/>
          <w:bCs/>
          <w:sz w:val="52"/>
          <w:szCs w:val="52"/>
        </w:rPr>
      </w:pPr>
      <w:r>
        <w:rPr>
          <w:rFonts w:hint="eastAsia" w:ascii="华文楷体" w:hAnsi="华文楷体" w:eastAsia="华文楷体" w:cs="华文楷体"/>
          <w:b/>
          <w:bCs/>
          <w:sz w:val="52"/>
          <w:szCs w:val="52"/>
        </w:rPr>
        <w:t xml:space="preserve"> </w:t>
      </w:r>
    </w:p>
    <w:p w14:paraId="5466C5A8">
      <w:pPr>
        <w:pageBreakBefore w:val="0"/>
        <w:kinsoku/>
        <w:wordWrap/>
        <w:overflowPunct/>
        <w:topLinePunct w:val="0"/>
        <w:bidi w:val="0"/>
        <w:snapToGrid/>
        <w:spacing w:line="550" w:lineRule="exact"/>
        <w:jc w:val="center"/>
        <w:rPr>
          <w:rFonts w:hint="eastAsia" w:ascii="华文楷体" w:hAnsi="华文楷体" w:eastAsia="华文楷体" w:cs="华文楷体"/>
          <w:b/>
          <w:bCs/>
          <w:sz w:val="72"/>
        </w:rPr>
      </w:pPr>
    </w:p>
    <w:tbl>
      <w:tblPr>
        <w:tblStyle w:val="12"/>
        <w:tblW w:w="8534" w:type="dxa"/>
        <w:jc w:val="center"/>
        <w:tblLayout w:type="fixed"/>
        <w:tblCellMar>
          <w:top w:w="0" w:type="dxa"/>
          <w:left w:w="108" w:type="dxa"/>
          <w:bottom w:w="0" w:type="dxa"/>
          <w:right w:w="108" w:type="dxa"/>
        </w:tblCellMar>
      </w:tblPr>
      <w:tblGrid>
        <w:gridCol w:w="8534"/>
      </w:tblGrid>
      <w:tr w14:paraId="64FE65E8">
        <w:tblPrEx>
          <w:tblCellMar>
            <w:top w:w="0" w:type="dxa"/>
            <w:left w:w="108" w:type="dxa"/>
            <w:bottom w:w="0" w:type="dxa"/>
            <w:right w:w="108" w:type="dxa"/>
          </w:tblCellMar>
        </w:tblPrEx>
        <w:trPr>
          <w:trHeight w:val="446" w:hRule="atLeast"/>
          <w:jc w:val="center"/>
        </w:trPr>
        <w:tc>
          <w:tcPr>
            <w:tcW w:w="8534" w:type="dxa"/>
            <w:noWrap w:val="0"/>
            <w:vAlign w:val="top"/>
          </w:tcPr>
          <w:p w14:paraId="3B6A5A5D">
            <w:pPr>
              <w:pageBreakBefore w:val="0"/>
              <w:tabs>
                <w:tab w:val="left" w:pos="720"/>
              </w:tabs>
              <w:kinsoku/>
              <w:wordWrap/>
              <w:overflowPunct/>
              <w:topLinePunct w:val="0"/>
              <w:bidi w:val="0"/>
              <w:snapToGrid/>
              <w:spacing w:line="550" w:lineRule="exact"/>
              <w:rPr>
                <w:rFonts w:hint="eastAsia" w:ascii="华文楷体" w:hAnsi="华文楷体" w:eastAsia="华文楷体" w:cs="华文楷体"/>
                <w:b/>
                <w:bCs/>
                <w:sz w:val="32"/>
                <w:szCs w:val="32"/>
                <w:u w:val="single"/>
              </w:rPr>
            </w:pPr>
            <w:r>
              <w:rPr>
                <w:rFonts w:hint="eastAsia" w:ascii="华文楷体" w:hAnsi="华文楷体" w:eastAsia="华文楷体" w:cs="华文楷体"/>
                <w:b/>
                <w:bCs/>
                <w:sz w:val="32"/>
                <w:szCs w:val="32"/>
              </w:rPr>
              <w:t xml:space="preserve">      </w:t>
            </w:r>
          </w:p>
        </w:tc>
      </w:tr>
      <w:tr w14:paraId="47AEC44C">
        <w:tblPrEx>
          <w:tblCellMar>
            <w:top w:w="0" w:type="dxa"/>
            <w:left w:w="108" w:type="dxa"/>
            <w:bottom w:w="0" w:type="dxa"/>
            <w:right w:w="108" w:type="dxa"/>
          </w:tblCellMar>
        </w:tblPrEx>
        <w:trPr>
          <w:trHeight w:val="446" w:hRule="atLeast"/>
          <w:jc w:val="center"/>
        </w:trPr>
        <w:tc>
          <w:tcPr>
            <w:tcW w:w="8534" w:type="dxa"/>
            <w:noWrap w:val="0"/>
            <w:vAlign w:val="top"/>
          </w:tcPr>
          <w:p w14:paraId="0A8D9C6A">
            <w:pPr>
              <w:pageBreakBefore w:val="0"/>
              <w:tabs>
                <w:tab w:val="left" w:pos="720"/>
              </w:tabs>
              <w:kinsoku/>
              <w:wordWrap/>
              <w:overflowPunct/>
              <w:topLinePunct w:val="0"/>
              <w:bidi w:val="0"/>
              <w:snapToGrid/>
              <w:spacing w:line="550" w:lineRule="exact"/>
              <w:ind w:left="1424" w:hanging="1632" w:hangingChars="508"/>
              <w:rPr>
                <w:rFonts w:hint="eastAsia" w:ascii="华文楷体" w:hAnsi="华文楷体" w:eastAsia="华文楷体" w:cs="华文楷体"/>
                <w:b/>
                <w:bCs/>
                <w:sz w:val="32"/>
                <w:szCs w:val="32"/>
                <w:u w:val="single"/>
              </w:rPr>
            </w:pPr>
            <w:r>
              <w:rPr>
                <w:rFonts w:hint="eastAsia" w:ascii="华文楷体" w:hAnsi="华文楷体" w:eastAsia="华文楷体" w:cs="华文楷体"/>
                <w:b/>
                <w:bCs/>
                <w:sz w:val="32"/>
                <w:szCs w:val="32"/>
              </w:rPr>
              <w:t>项目名称：</w:t>
            </w:r>
            <w:bookmarkStart w:id="1" w:name="_GoBack"/>
            <w:bookmarkEnd w:id="1"/>
            <w:r>
              <w:rPr>
                <w:rFonts w:hint="eastAsia" w:ascii="华文楷体" w:hAnsi="华文楷体" w:eastAsia="华文楷体" w:cs="华文楷体"/>
                <w:b/>
                <w:bCs/>
                <w:sz w:val="32"/>
                <w:szCs w:val="32"/>
                <w:u w:val="single"/>
                <w:lang w:eastAsia="zh-CN"/>
              </w:rPr>
              <w:t>临高县教育局2025年秋季学期至2026年春季学期九年义务教育阶段学生营养餐食堂供餐食材采购</w:t>
            </w:r>
            <w:r>
              <w:rPr>
                <w:rFonts w:hint="eastAsia" w:ascii="华文楷体" w:hAnsi="华文楷体" w:eastAsia="华文楷体" w:cs="华文楷体"/>
                <w:b/>
                <w:bCs/>
                <w:sz w:val="32"/>
                <w:szCs w:val="32"/>
                <w:u w:val="single"/>
                <w:lang w:val="en-US" w:eastAsia="zh-CN"/>
              </w:rPr>
              <w:t>项目</w:t>
            </w:r>
          </w:p>
        </w:tc>
      </w:tr>
      <w:tr w14:paraId="333D7667">
        <w:tblPrEx>
          <w:tblCellMar>
            <w:top w:w="0" w:type="dxa"/>
            <w:left w:w="108" w:type="dxa"/>
            <w:bottom w:w="0" w:type="dxa"/>
            <w:right w:w="108" w:type="dxa"/>
          </w:tblCellMar>
        </w:tblPrEx>
        <w:trPr>
          <w:trHeight w:val="446" w:hRule="atLeast"/>
          <w:jc w:val="center"/>
        </w:trPr>
        <w:tc>
          <w:tcPr>
            <w:tcW w:w="8534" w:type="dxa"/>
            <w:noWrap w:val="0"/>
            <w:vAlign w:val="top"/>
          </w:tcPr>
          <w:p w14:paraId="31AA905C">
            <w:pPr>
              <w:pageBreakBefore w:val="0"/>
              <w:tabs>
                <w:tab w:val="left" w:pos="720"/>
              </w:tabs>
              <w:kinsoku/>
              <w:wordWrap/>
              <w:overflowPunct/>
              <w:topLinePunct w:val="0"/>
              <w:bidi w:val="0"/>
              <w:snapToGrid/>
              <w:spacing w:line="550" w:lineRule="exact"/>
              <w:rPr>
                <w:rFonts w:hint="default" w:ascii="华文楷体" w:hAnsi="华文楷体" w:eastAsia="微软雅黑" w:cs="华文楷体"/>
                <w:b/>
                <w:bCs/>
                <w:sz w:val="32"/>
                <w:szCs w:val="32"/>
                <w:u w:val="single"/>
                <w:lang w:val="en-US" w:eastAsia="zh-CN"/>
              </w:rPr>
            </w:pPr>
            <w:r>
              <w:rPr>
                <w:rFonts w:hint="eastAsia" w:ascii="华文楷体" w:hAnsi="华文楷体" w:eastAsia="华文楷体" w:cs="华文楷体"/>
                <w:b/>
                <w:bCs/>
                <w:sz w:val="32"/>
                <w:szCs w:val="32"/>
              </w:rPr>
              <w:t>项目编号：</w:t>
            </w:r>
            <w:r>
              <w:rPr>
                <w:rFonts w:hint="eastAsia" w:ascii="华文楷体" w:hAnsi="华文楷体" w:eastAsia="华文楷体" w:cs="华文楷体"/>
                <w:b/>
                <w:bCs/>
                <w:sz w:val="32"/>
                <w:szCs w:val="32"/>
                <w:u w:val="single"/>
              </w:rPr>
              <w:t xml:space="preserve"> </w:t>
            </w:r>
            <w:r>
              <w:rPr>
                <w:rStyle w:val="15"/>
                <w:rFonts w:hint="eastAsia" w:ascii="微软雅黑" w:hAnsi="微软雅黑" w:eastAsia="微软雅黑" w:cs="微软雅黑"/>
                <w:b/>
                <w:i w:val="0"/>
                <w:caps w:val="0"/>
                <w:color w:val="383838"/>
                <w:spacing w:val="0"/>
                <w:sz w:val="24"/>
                <w:szCs w:val="24"/>
                <w:u w:val="single"/>
                <w:shd w:val="clear" w:fill="FFFFFF"/>
                <w:vertAlign w:val="baseline"/>
                <w:lang w:val="en-US" w:eastAsia="zh-CN"/>
              </w:rPr>
              <w:t xml:space="preserve">                       </w:t>
            </w:r>
          </w:p>
          <w:p w14:paraId="6D658D87">
            <w:pPr>
              <w:pageBreakBefore w:val="0"/>
              <w:tabs>
                <w:tab w:val="left" w:pos="720"/>
              </w:tabs>
              <w:kinsoku/>
              <w:wordWrap/>
              <w:overflowPunct/>
              <w:topLinePunct w:val="0"/>
              <w:bidi w:val="0"/>
              <w:snapToGrid/>
              <w:spacing w:line="550" w:lineRule="exact"/>
              <w:rPr>
                <w:rFonts w:hint="eastAsia" w:ascii="华文楷体" w:hAnsi="华文楷体" w:eastAsia="华文楷体" w:cs="华文楷体"/>
                <w:b/>
                <w:bCs/>
                <w:sz w:val="32"/>
                <w:szCs w:val="32"/>
              </w:rPr>
            </w:pPr>
          </w:p>
        </w:tc>
      </w:tr>
      <w:tr w14:paraId="66B428B1">
        <w:tblPrEx>
          <w:tblCellMar>
            <w:top w:w="0" w:type="dxa"/>
            <w:left w:w="108" w:type="dxa"/>
            <w:bottom w:w="0" w:type="dxa"/>
            <w:right w:w="108" w:type="dxa"/>
          </w:tblCellMar>
        </w:tblPrEx>
        <w:trPr>
          <w:trHeight w:val="460" w:hRule="atLeast"/>
          <w:jc w:val="center"/>
        </w:trPr>
        <w:tc>
          <w:tcPr>
            <w:tcW w:w="8534" w:type="dxa"/>
            <w:noWrap w:val="0"/>
            <w:vAlign w:val="top"/>
          </w:tcPr>
          <w:p w14:paraId="74BA491C">
            <w:pPr>
              <w:pageBreakBefore w:val="0"/>
              <w:tabs>
                <w:tab w:val="left" w:pos="720"/>
              </w:tabs>
              <w:kinsoku/>
              <w:wordWrap/>
              <w:overflowPunct/>
              <w:topLinePunct w:val="0"/>
              <w:bidi w:val="0"/>
              <w:snapToGrid/>
              <w:spacing w:line="550" w:lineRule="exact"/>
              <w:rPr>
                <w:rFonts w:hint="eastAsia" w:ascii="华文楷体" w:hAnsi="华文楷体" w:eastAsia="华文楷体" w:cs="华文楷体"/>
                <w:b/>
                <w:bCs/>
                <w:sz w:val="28"/>
              </w:rPr>
            </w:pPr>
          </w:p>
        </w:tc>
      </w:tr>
    </w:tbl>
    <w:p w14:paraId="45BD7B29">
      <w:pPr>
        <w:pageBreakBefore w:val="0"/>
        <w:kinsoku/>
        <w:wordWrap/>
        <w:overflowPunct/>
        <w:topLinePunct w:val="0"/>
        <w:bidi w:val="0"/>
        <w:snapToGrid/>
        <w:spacing w:before="0" w:after="0" w:line="550" w:lineRule="exact"/>
        <w:jc w:val="left"/>
        <w:rPr>
          <w:sz w:val="20"/>
          <w:szCs w:val="20"/>
        </w:rPr>
      </w:pPr>
    </w:p>
    <w:p w14:paraId="3926A72E">
      <w:pPr>
        <w:pageBreakBefore w:val="0"/>
        <w:kinsoku/>
        <w:wordWrap/>
        <w:overflowPunct/>
        <w:topLinePunct w:val="0"/>
        <w:bidi w:val="0"/>
        <w:snapToGrid/>
        <w:spacing w:before="0" w:after="0" w:line="550" w:lineRule="exact"/>
        <w:jc w:val="left"/>
        <w:rPr>
          <w:sz w:val="20"/>
          <w:szCs w:val="20"/>
        </w:rPr>
      </w:pPr>
    </w:p>
    <w:p w14:paraId="653C91A0">
      <w:pPr>
        <w:pStyle w:val="2"/>
        <w:rPr>
          <w:sz w:val="20"/>
          <w:szCs w:val="20"/>
        </w:rPr>
      </w:pPr>
    </w:p>
    <w:p w14:paraId="36FF2FEC"/>
    <w:p w14:paraId="579DA7D5">
      <w:pPr>
        <w:pageBreakBefore w:val="0"/>
        <w:kinsoku/>
        <w:wordWrap/>
        <w:overflowPunct/>
        <w:topLinePunct w:val="0"/>
        <w:bidi w:val="0"/>
        <w:snapToGrid/>
        <w:spacing w:before="75" w:line="550" w:lineRule="exact"/>
        <w:ind w:left="0" w:firstLine="0" w:firstLineChars="0"/>
        <w:rPr>
          <w:rFonts w:hint="eastAsia" w:ascii="仿宋_GB2312" w:hAnsi="仿宋_GB2312" w:eastAsia="仿宋_GB2312" w:cs="仿宋_GB2312"/>
          <w:b/>
          <w:bCs/>
          <w:spacing w:val="-6"/>
          <w:sz w:val="32"/>
          <w:szCs w:val="32"/>
        </w:rPr>
      </w:pPr>
    </w:p>
    <w:p w14:paraId="5FDE15FB">
      <w:pPr>
        <w:pageBreakBefore w:val="0"/>
        <w:kinsoku/>
        <w:wordWrap/>
        <w:overflowPunct/>
        <w:topLinePunct w:val="0"/>
        <w:bidi w:val="0"/>
        <w:snapToGrid/>
        <w:spacing w:before="75" w:line="560" w:lineRule="exact"/>
        <w:ind w:left="0" w:firstLine="619" w:firstLineChars="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6"/>
          <w:sz w:val="32"/>
          <w:szCs w:val="32"/>
        </w:rPr>
        <w:t>甲</w:t>
      </w:r>
      <w:r>
        <w:rPr>
          <w:rFonts w:hint="eastAsia" w:ascii="仿宋_GB2312" w:hAnsi="仿宋_GB2312" w:eastAsia="仿宋_GB2312" w:cs="仿宋_GB2312"/>
          <w:b/>
          <w:bCs/>
          <w:spacing w:val="-5"/>
          <w:sz w:val="32"/>
          <w:szCs w:val="32"/>
        </w:rPr>
        <w:t>方:</w:t>
      </w:r>
      <w:r>
        <w:rPr>
          <w:rFonts w:hint="eastAsia" w:ascii="仿宋_GB2312" w:hAnsi="仿宋_GB2312" w:eastAsia="仿宋_GB2312" w:cs="仿宋_GB2312"/>
          <w:b/>
          <w:bCs/>
          <w:sz w:val="32"/>
          <w:szCs w:val="32"/>
          <w:u w:val="single" w:color="auto"/>
          <w:lang w:eastAsia="zh-CN"/>
        </w:rPr>
        <w:t>临高县教育局</w:t>
      </w:r>
    </w:p>
    <w:p w14:paraId="4C921D10">
      <w:pPr>
        <w:pageBreakBefore w:val="0"/>
        <w:kinsoku/>
        <w:wordWrap/>
        <w:overflowPunct/>
        <w:topLinePunct w:val="0"/>
        <w:bidi w:val="0"/>
        <w:snapToGrid/>
        <w:spacing w:before="1" w:line="560" w:lineRule="exact"/>
        <w:ind w:left="0" w:firstLine="627" w:firstLineChars="200"/>
        <w:jc w:val="both"/>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pacing w:val="-4"/>
          <w:sz w:val="32"/>
          <w:szCs w:val="32"/>
        </w:rPr>
        <w:t>乙</w:t>
      </w:r>
      <w:r>
        <w:rPr>
          <w:rFonts w:hint="eastAsia" w:ascii="仿宋_GB2312" w:hAnsi="仿宋_GB2312" w:eastAsia="仿宋_GB2312" w:cs="仿宋_GB2312"/>
          <w:b/>
          <w:bCs/>
          <w:spacing w:val="-2"/>
          <w:sz w:val="32"/>
          <w:szCs w:val="32"/>
        </w:rPr>
        <w:t>方:</w:t>
      </w:r>
      <w:r>
        <w:rPr>
          <w:rFonts w:hint="eastAsia" w:ascii="仿宋_GB2312" w:hAnsi="仿宋_GB2312" w:eastAsia="仿宋_GB2312" w:cs="仿宋_GB2312"/>
          <w:b/>
          <w:bCs/>
          <w:sz w:val="32"/>
          <w:szCs w:val="32"/>
          <w:u w:val="single" w:color="auto"/>
        </w:rPr>
        <w:t xml:space="preserve"> </w:t>
      </w:r>
      <w:r>
        <w:rPr>
          <w:rFonts w:hint="eastAsia" w:ascii="仿宋_GB2312" w:hAnsi="仿宋_GB2312" w:eastAsia="仿宋_GB2312" w:cs="仿宋_GB2312"/>
          <w:b/>
          <w:bCs/>
          <w:sz w:val="32"/>
          <w:szCs w:val="32"/>
          <w:u w:val="single" w:color="auto"/>
          <w:lang w:val="en-US" w:eastAsia="zh-CN"/>
        </w:rPr>
        <w:t xml:space="preserve">                       </w:t>
      </w:r>
    </w:p>
    <w:p w14:paraId="5D2FD9D8">
      <w:pPr>
        <w:pageBreakBefore w:val="0"/>
        <w:numPr>
          <w:ilvl w:val="0"/>
          <w:numId w:val="0"/>
        </w:numPr>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甲乙双方根据</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临高县教育局2025年秋季学期至2026年春季学期九年义务教育阶段学生营养餐食堂供餐食材采购项目</w:t>
      </w:r>
      <w:r>
        <w:rPr>
          <w:rFonts w:hint="eastAsia" w:ascii="仿宋_GB2312" w:hAnsi="仿宋_GB2312" w:eastAsia="仿宋_GB2312" w:cs="仿宋_GB2312"/>
          <w:sz w:val="32"/>
          <w:szCs w:val="32"/>
        </w:rPr>
        <w:t>(项目编号:</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竞争性磋商</w:t>
      </w:r>
      <w:r>
        <w:rPr>
          <w:rFonts w:hint="eastAsia" w:ascii="仿宋_GB2312" w:hAnsi="仿宋_GB2312" w:eastAsia="仿宋_GB2312" w:cs="仿宋_GB2312"/>
          <w:sz w:val="32"/>
          <w:szCs w:val="32"/>
        </w:rPr>
        <w:t>招标结果及招标文件的要求,经协商一致,</w:t>
      </w:r>
      <w:r>
        <w:rPr>
          <w:rFonts w:hint="eastAsia" w:ascii="仿宋_GB2312" w:hAnsi="仿宋_GB2312" w:eastAsia="仿宋_GB2312" w:cs="仿宋_GB2312"/>
          <w:color w:val="000000"/>
          <w:sz w:val="32"/>
          <w:szCs w:val="32"/>
        </w:rPr>
        <w:t>达成如下</w:t>
      </w:r>
      <w:r>
        <w:rPr>
          <w:rFonts w:hint="eastAsia" w:ascii="仿宋_GB2312" w:hAnsi="仿宋_GB2312" w:eastAsia="仿宋_GB2312" w:cs="仿宋_GB2312"/>
          <w:color w:val="000000"/>
          <w:sz w:val="32"/>
          <w:szCs w:val="32"/>
          <w:lang w:eastAsia="zh-CN"/>
        </w:rPr>
        <w:t>合同</w:t>
      </w:r>
      <w:r>
        <w:rPr>
          <w:rFonts w:hint="eastAsia" w:ascii="仿宋_GB2312" w:hAnsi="仿宋_GB2312" w:eastAsia="仿宋_GB2312" w:cs="仿宋_GB2312"/>
          <w:color w:val="000000"/>
          <w:sz w:val="32"/>
          <w:szCs w:val="32"/>
        </w:rPr>
        <w:t>：</w:t>
      </w:r>
    </w:p>
    <w:p w14:paraId="1FEBEC33">
      <w:pPr>
        <w:pageBreakBefore w:val="0"/>
        <w:kinsoku/>
        <w:wordWrap/>
        <w:overflowPunct/>
        <w:topLinePunct w:val="0"/>
        <w:bidi w:val="0"/>
        <w:snapToGrid/>
        <w:spacing w:line="560" w:lineRule="exact"/>
        <w:ind w:firstLine="640" w:firstLineChars="200"/>
        <w:jc w:val="both"/>
        <w:rPr>
          <w:rFonts w:hint="eastAsia" w:ascii="黑体" w:hAnsi="黑体" w:eastAsia="黑体" w:cs="黑体"/>
          <w:b w:val="0"/>
          <w:bCs w:val="0"/>
          <w:kern w:val="0"/>
          <w:sz w:val="32"/>
          <w:szCs w:val="32"/>
          <w:lang w:val="en-US" w:eastAsia="zh-CN" w:bidi="ar-SA"/>
        </w:rPr>
      </w:pPr>
      <w:r>
        <w:rPr>
          <w:rFonts w:hint="eastAsia" w:ascii="黑体" w:hAnsi="黑体" w:eastAsia="黑体" w:cs="黑体"/>
          <w:b w:val="0"/>
          <w:bCs w:val="0"/>
          <w:kern w:val="0"/>
          <w:sz w:val="32"/>
          <w:szCs w:val="32"/>
          <w:lang w:val="en-US" w:eastAsia="zh-CN" w:bidi="ar-SA"/>
        </w:rPr>
        <w:t>一、项目名称</w:t>
      </w:r>
    </w:p>
    <w:p w14:paraId="6B666787">
      <w:pPr>
        <w:pageBreakBefore w:val="0"/>
        <w:numPr>
          <w:ilvl w:val="0"/>
          <w:numId w:val="0"/>
        </w:numPr>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项目名称：临高县教育局2025年秋季学期至2026年春季学期九年义务教育阶段学生营养餐食堂供餐食材采购项目</w:t>
      </w:r>
    </w:p>
    <w:p w14:paraId="7692F530">
      <w:pPr>
        <w:pageBreakBefore w:val="0"/>
        <w:numPr>
          <w:ilvl w:val="0"/>
          <w:numId w:val="0"/>
        </w:numPr>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项目编号：**************  </w:t>
      </w:r>
    </w:p>
    <w:p w14:paraId="6DD83CDE">
      <w:pPr>
        <w:pageBreakBefore w:val="0"/>
        <w:numPr>
          <w:ilvl w:val="-1"/>
          <w:numId w:val="0"/>
        </w:numPr>
        <w:kinsoku/>
        <w:wordWrap/>
        <w:overflowPunct/>
        <w:topLinePunct w:val="0"/>
        <w:bidi w:val="0"/>
        <w:snapToGrid/>
        <w:spacing w:line="560" w:lineRule="exact"/>
        <w:ind w:firstLine="640" w:firstLineChars="200"/>
        <w:jc w:val="both"/>
        <w:rPr>
          <w:rFonts w:hint="eastAsia" w:ascii="黑体" w:hAnsi="黑体" w:eastAsia="黑体" w:cs="黑体"/>
          <w:b w:val="0"/>
          <w:bCs w:val="0"/>
          <w:kern w:val="0"/>
          <w:sz w:val="32"/>
          <w:szCs w:val="32"/>
          <w:lang w:val="en-US" w:eastAsia="zh-CN" w:bidi="ar-SA"/>
        </w:rPr>
      </w:pPr>
      <w:r>
        <w:rPr>
          <w:rFonts w:hint="eastAsia" w:ascii="黑体" w:hAnsi="黑体" w:eastAsia="黑体" w:cs="黑体"/>
          <w:b w:val="0"/>
          <w:bCs w:val="0"/>
          <w:kern w:val="0"/>
          <w:sz w:val="32"/>
          <w:szCs w:val="32"/>
          <w:lang w:val="en-US" w:eastAsia="zh-CN" w:bidi="ar-SA"/>
        </w:rPr>
        <w:t>二、合同标的及金额</w:t>
      </w:r>
    </w:p>
    <w:p w14:paraId="563E5745">
      <w:pPr>
        <w:keepNext w:val="0"/>
        <w:keepLines w:val="0"/>
        <w:pageBreakBefore w:val="0"/>
        <w:widowControl w:val="0"/>
        <w:numPr>
          <w:ilvl w:val="0"/>
          <w:numId w:val="0"/>
        </w:numPr>
        <w:kinsoku w:val="0"/>
        <w:wordWrap/>
        <w:overflowPunct w:val="0"/>
        <w:topLinePunct w:val="0"/>
        <w:autoSpaceDE w:val="0"/>
        <w:autoSpaceDN w:val="0"/>
        <w:bidi w:val="0"/>
        <w:adjustRightInd/>
        <w:snapToGrid/>
        <w:spacing w:after="0" w:line="560" w:lineRule="exact"/>
        <w:ind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中标金额为</w:t>
      </w:r>
      <w:r>
        <w:rPr>
          <w:rFonts w:hint="eastAsia" w:ascii="仿宋" w:hAnsi="仿宋" w:eastAsia="仿宋" w:cs="仿宋"/>
          <w:color w:val="auto"/>
          <w:sz w:val="32"/>
          <w:szCs w:val="32"/>
          <w:lang w:val="en-US" w:eastAsia="zh-CN"/>
        </w:rPr>
        <w:t>(人民币):贰佰叁拾陆万贰仟元整(￥</w:t>
      </w:r>
      <w:r>
        <w:rPr>
          <w:rFonts w:hint="eastAsia" w:ascii="仿宋" w:hAnsi="仿宋" w:eastAsia="仿宋" w:cs="仿宋"/>
          <w:color w:val="auto"/>
          <w:sz w:val="32"/>
          <w:szCs w:val="32"/>
          <w:lang w:eastAsia="zh-CN"/>
        </w:rPr>
        <w:t>236</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00</w:t>
      </w:r>
      <w:r>
        <w:rPr>
          <w:rFonts w:hint="eastAsia" w:ascii="仿宋" w:hAnsi="仿宋" w:eastAsia="仿宋" w:cs="仿宋"/>
          <w:color w:val="auto"/>
          <w:sz w:val="32"/>
          <w:szCs w:val="32"/>
          <w:lang w:val="en-US" w:eastAsia="zh-CN"/>
        </w:rPr>
        <w:t>0</w:t>
      </w:r>
      <w:r>
        <w:rPr>
          <w:rFonts w:hint="eastAsia" w:ascii="仿宋_GB2312" w:hAnsi="仿宋_GB2312" w:eastAsia="仿宋_GB2312" w:cs="仿宋_GB2312"/>
          <w:color w:val="auto"/>
          <w:sz w:val="32"/>
          <w:szCs w:val="32"/>
          <w:lang w:val="en-US" w:eastAsia="zh-CN"/>
        </w:rPr>
        <w:t>.00)（预计200天，根据实际供餐天数和实际使用人数按照5元/天/人标准据实采购）</w:t>
      </w:r>
      <w:r>
        <w:rPr>
          <w:rFonts w:hint="eastAsia" w:ascii="仿宋" w:hAnsi="仿宋" w:eastAsia="仿宋" w:cs="仿宋"/>
          <w:b w:val="0"/>
          <w:bCs w:val="0"/>
          <w:color w:val="auto"/>
          <w:sz w:val="32"/>
          <w:szCs w:val="32"/>
          <w:lang w:val="en-US" w:eastAsia="zh-CN"/>
        </w:rPr>
        <w:t>，由于每天用餐的学生人数有可能存在变动，货款具体金额据实结算（详见本合同第五条付款条件）。</w:t>
      </w:r>
    </w:p>
    <w:p w14:paraId="62645ACD">
      <w:pPr>
        <w:keepNext w:val="0"/>
        <w:keepLines w:val="0"/>
        <w:pageBreakBefore w:val="0"/>
        <w:widowControl w:val="0"/>
        <w:numPr>
          <w:ilvl w:val="0"/>
          <w:numId w:val="0"/>
        </w:numPr>
        <w:tabs>
          <w:tab w:val="left" w:pos="142"/>
        </w:tabs>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本合同总价包含食材</w:t>
      </w:r>
      <w:r>
        <w:rPr>
          <w:rFonts w:hint="eastAsia" w:ascii="仿宋_GB2312" w:hAnsi="仿宋_GB2312" w:eastAsia="仿宋_GB2312" w:cs="仿宋_GB2312"/>
          <w:sz w:val="32"/>
          <w:szCs w:val="32"/>
          <w:lang w:eastAsia="zh-CN"/>
        </w:rPr>
        <w:t>（含食品原材料、各类货物、产品，下同）</w:t>
      </w:r>
      <w:r>
        <w:rPr>
          <w:rFonts w:hint="eastAsia" w:ascii="仿宋_GB2312" w:hAnsi="仿宋_GB2312" w:eastAsia="仿宋_GB2312" w:cs="仿宋_GB2312"/>
          <w:sz w:val="32"/>
          <w:szCs w:val="32"/>
        </w:rPr>
        <w:t>的购置、包装、配送、运输、保险、装卸、</w:t>
      </w:r>
      <w:r>
        <w:rPr>
          <w:rFonts w:hint="eastAsia" w:ascii="仿宋_GB2312" w:hAnsi="仿宋_GB2312" w:eastAsia="仿宋_GB2312" w:cs="仿宋_GB2312"/>
          <w:sz w:val="32"/>
          <w:szCs w:val="32"/>
          <w:lang w:eastAsia="zh-CN"/>
        </w:rPr>
        <w:t>燃油</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kern w:val="0"/>
          <w:sz w:val="32"/>
          <w:szCs w:val="32"/>
        </w:rPr>
        <w:t>搬</w:t>
      </w:r>
      <w:r>
        <w:rPr>
          <w:rFonts w:hint="eastAsia" w:ascii="仿宋_GB2312" w:hAnsi="仿宋_GB2312" w:eastAsia="仿宋_GB2312" w:cs="仿宋_GB2312"/>
          <w:spacing w:val="2"/>
          <w:kern w:val="0"/>
          <w:sz w:val="32"/>
          <w:szCs w:val="32"/>
        </w:rPr>
        <w:t>运</w:t>
      </w:r>
      <w:r>
        <w:rPr>
          <w:rFonts w:hint="eastAsia" w:ascii="仿宋_GB2312" w:hAnsi="仿宋_GB2312" w:eastAsia="仿宋_GB2312" w:cs="仿宋_GB2312"/>
          <w:spacing w:val="-10"/>
          <w:kern w:val="0"/>
          <w:sz w:val="32"/>
          <w:szCs w:val="32"/>
        </w:rPr>
        <w:t>、</w:t>
      </w:r>
      <w:r>
        <w:rPr>
          <w:rFonts w:hint="eastAsia" w:ascii="仿宋_GB2312" w:hAnsi="仿宋_GB2312" w:eastAsia="仿宋_GB2312" w:cs="仿宋_GB2312"/>
          <w:sz w:val="32"/>
          <w:szCs w:val="32"/>
        </w:rPr>
        <w:t>退换、损耗、</w:t>
      </w:r>
      <w:r>
        <w:rPr>
          <w:rFonts w:hint="eastAsia" w:ascii="仿宋_GB2312" w:hAnsi="仿宋_GB2312" w:eastAsia="仿宋_GB2312" w:cs="仿宋_GB2312"/>
          <w:spacing w:val="2"/>
          <w:kern w:val="0"/>
          <w:sz w:val="32"/>
          <w:szCs w:val="32"/>
          <w:lang w:eastAsia="zh-CN"/>
        </w:rPr>
        <w:t>不使用或超额配送货物的遗弃或销毁</w:t>
      </w:r>
      <w:r>
        <w:rPr>
          <w:rFonts w:hint="eastAsia" w:ascii="仿宋_GB2312" w:hAnsi="仿宋_GB2312" w:eastAsia="仿宋_GB2312" w:cs="仿宋_GB2312"/>
          <w:spacing w:val="2"/>
          <w:kern w:val="0"/>
          <w:sz w:val="32"/>
          <w:szCs w:val="32"/>
        </w:rPr>
        <w:t>、</w:t>
      </w:r>
      <w:r>
        <w:rPr>
          <w:rFonts w:hint="eastAsia" w:ascii="仿宋_GB2312" w:hAnsi="仿宋_GB2312" w:eastAsia="仿宋_GB2312" w:cs="仿宋_GB2312"/>
          <w:sz w:val="32"/>
          <w:szCs w:val="32"/>
        </w:rPr>
        <w:t>质保期售后服务、所有工作人员的工勤费用、</w:t>
      </w:r>
      <w:r>
        <w:rPr>
          <w:rFonts w:hint="eastAsia" w:ascii="仿宋_GB2312" w:hAnsi="仿宋_GB2312" w:eastAsia="仿宋_GB2312" w:cs="仿宋_GB2312"/>
          <w:color w:val="000000"/>
          <w:sz w:val="32"/>
          <w:szCs w:val="32"/>
        </w:rPr>
        <w:t>培训、工本费、税费</w:t>
      </w:r>
      <w:r>
        <w:rPr>
          <w:rFonts w:hint="eastAsia" w:ascii="仿宋_GB2312" w:hAnsi="仿宋_GB2312" w:eastAsia="仿宋_GB2312" w:cs="仿宋_GB2312"/>
          <w:sz w:val="32"/>
          <w:szCs w:val="32"/>
        </w:rPr>
        <w:t>等合同实施过程中</w:t>
      </w:r>
      <w:r>
        <w:rPr>
          <w:rFonts w:hint="eastAsia" w:ascii="仿宋_GB2312" w:hAnsi="仿宋_GB2312" w:eastAsia="仿宋_GB2312" w:cs="仿宋_GB2312"/>
          <w:sz w:val="32"/>
          <w:szCs w:val="32"/>
          <w:lang w:eastAsia="zh-CN"/>
        </w:rPr>
        <w:t>为保障合同履行和服务质量所产生的</w:t>
      </w:r>
      <w:r>
        <w:rPr>
          <w:rFonts w:hint="eastAsia" w:ascii="仿宋_GB2312" w:hAnsi="仿宋_GB2312" w:eastAsia="仿宋_GB2312" w:cs="仿宋_GB2312"/>
          <w:sz w:val="32"/>
          <w:szCs w:val="32"/>
        </w:rPr>
        <w:t>应预见和不可预见费用</w:t>
      </w:r>
      <w:r>
        <w:rPr>
          <w:rFonts w:hint="eastAsia" w:ascii="仿宋_GB2312" w:hAnsi="仿宋_GB2312" w:eastAsia="仿宋_GB2312" w:cs="仿宋_GB2312"/>
          <w:color w:val="000000"/>
          <w:sz w:val="32"/>
          <w:szCs w:val="32"/>
          <w:lang w:val="en-US" w:eastAsia="zh-CN"/>
        </w:rPr>
        <w:t>及其他</w:t>
      </w:r>
      <w:r>
        <w:rPr>
          <w:rFonts w:hint="eastAsia" w:ascii="仿宋_GB2312" w:hAnsi="仿宋_GB2312" w:eastAsia="仿宋_GB2312" w:cs="仿宋_GB2312"/>
          <w:color w:val="000000"/>
          <w:sz w:val="32"/>
          <w:szCs w:val="32"/>
        </w:rPr>
        <w:t>一切相关费用的总报价</w:t>
      </w:r>
      <w:r>
        <w:rPr>
          <w:rFonts w:hint="eastAsia" w:ascii="仿宋_GB2312" w:hAnsi="仿宋_GB2312" w:eastAsia="仿宋_GB2312" w:cs="仿宋_GB2312"/>
          <w:sz w:val="32"/>
          <w:szCs w:val="32"/>
        </w:rPr>
        <w:t>。</w:t>
      </w:r>
    </w:p>
    <w:p w14:paraId="0F9A7C13">
      <w:pPr>
        <w:keepNext w:val="0"/>
        <w:keepLines w:val="0"/>
        <w:pageBreakBefore w:val="0"/>
        <w:widowControl w:val="0"/>
        <w:numPr>
          <w:ilvl w:val="0"/>
          <w:numId w:val="0"/>
        </w:numPr>
        <w:kinsoku w:val="0"/>
        <w:wordWrap/>
        <w:overflowPunct w:val="0"/>
        <w:topLinePunct w:val="0"/>
        <w:autoSpaceDE w:val="0"/>
        <w:autoSpaceDN w:val="0"/>
        <w:bidi w:val="0"/>
        <w:adjustRightInd/>
        <w:snapToGrid/>
        <w:spacing w:after="0" w:line="56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w:t>
      </w:r>
      <w:r>
        <w:rPr>
          <w:rFonts w:hint="eastAsia" w:ascii="仿宋" w:hAnsi="仿宋" w:eastAsia="仿宋" w:cs="仿宋"/>
          <w:sz w:val="32"/>
          <w:szCs w:val="32"/>
        </w:rPr>
        <w:t>供餐标准:提供的</w:t>
      </w:r>
      <w:r>
        <w:rPr>
          <w:rFonts w:hint="eastAsia" w:ascii="仿宋" w:hAnsi="仿宋" w:eastAsia="仿宋" w:cs="仿宋"/>
          <w:sz w:val="32"/>
          <w:szCs w:val="32"/>
          <w:lang w:eastAsia="zh-CN"/>
        </w:rPr>
        <w:t>食材必须</w:t>
      </w:r>
      <w:r>
        <w:rPr>
          <w:rFonts w:hint="eastAsia" w:ascii="仿宋" w:hAnsi="仿宋" w:eastAsia="仿宋" w:cs="仿宋"/>
          <w:sz w:val="32"/>
          <w:szCs w:val="32"/>
        </w:rPr>
        <w:t>依据《教育部等七部门关于印发&lt;农村义务教育学生营养改善计划实施办法&gt;的通知》(财教〔2022〕2号)以及</w:t>
      </w:r>
      <w:r>
        <w:rPr>
          <w:rFonts w:hint="eastAsia" w:ascii="仿宋" w:hAnsi="仿宋" w:eastAsia="仿宋" w:cs="仿宋"/>
          <w:sz w:val="32"/>
          <w:szCs w:val="32"/>
          <w:lang w:eastAsia="zh-CN"/>
        </w:rPr>
        <w:t>食品安全等</w:t>
      </w:r>
      <w:r>
        <w:rPr>
          <w:rFonts w:hint="eastAsia" w:ascii="仿宋" w:hAnsi="仿宋" w:eastAsia="仿宋" w:cs="仿宋"/>
          <w:sz w:val="32"/>
          <w:szCs w:val="32"/>
        </w:rPr>
        <w:t>相关文件要求实施，将</w:t>
      </w:r>
      <w:r>
        <w:rPr>
          <w:rFonts w:hint="eastAsia" w:ascii="仿宋" w:hAnsi="仿宋" w:eastAsia="仿宋" w:cs="仿宋"/>
          <w:sz w:val="32"/>
          <w:szCs w:val="32"/>
          <w:lang w:eastAsia="zh-CN"/>
        </w:rPr>
        <w:t>米</w:t>
      </w:r>
      <w:r>
        <w:rPr>
          <w:rFonts w:hint="eastAsia" w:ascii="仿宋" w:hAnsi="仿宋" w:eastAsia="仿宋" w:cs="仿宋"/>
          <w:sz w:val="32"/>
          <w:szCs w:val="32"/>
        </w:rPr>
        <w:t>、肉类、蔬菜瓜果类、禽蛋类、水产类等</w:t>
      </w:r>
      <w:r>
        <w:rPr>
          <w:rFonts w:hint="eastAsia" w:ascii="仿宋" w:hAnsi="仿宋" w:eastAsia="仿宋" w:cs="仿宋"/>
          <w:sz w:val="32"/>
          <w:szCs w:val="32"/>
          <w:lang w:eastAsia="zh-CN"/>
        </w:rPr>
        <w:t>食材</w:t>
      </w:r>
      <w:r>
        <w:rPr>
          <w:rFonts w:hint="eastAsia" w:ascii="仿宋" w:hAnsi="仿宋" w:eastAsia="仿宋" w:cs="仿宋"/>
          <w:sz w:val="32"/>
          <w:szCs w:val="32"/>
        </w:rPr>
        <w:t>统一招标，经</w:t>
      </w:r>
      <w:r>
        <w:rPr>
          <w:rFonts w:hint="eastAsia" w:ascii="仿宋" w:hAnsi="仿宋" w:eastAsia="仿宋" w:cs="仿宋"/>
          <w:sz w:val="32"/>
          <w:szCs w:val="32"/>
          <w:lang w:eastAsia="zh-CN"/>
        </w:rPr>
        <w:t>法定招标</w:t>
      </w:r>
      <w:r>
        <w:rPr>
          <w:rFonts w:hint="eastAsia" w:ascii="仿宋" w:hAnsi="仿宋" w:eastAsia="仿宋" w:cs="仿宋"/>
          <w:sz w:val="32"/>
          <w:szCs w:val="32"/>
        </w:rPr>
        <w:t>程序确定</w:t>
      </w:r>
      <w:r>
        <w:rPr>
          <w:rFonts w:hint="eastAsia" w:ascii="仿宋" w:hAnsi="仿宋" w:eastAsia="仿宋" w:cs="仿宋"/>
          <w:sz w:val="32"/>
          <w:szCs w:val="32"/>
          <w:lang w:eastAsia="zh-CN"/>
        </w:rPr>
        <w:t>乙方后按标准供应</w:t>
      </w:r>
      <w:r>
        <w:rPr>
          <w:rFonts w:hint="eastAsia" w:ascii="仿宋" w:hAnsi="仿宋" w:eastAsia="仿宋" w:cs="仿宋"/>
          <w:sz w:val="32"/>
          <w:szCs w:val="32"/>
        </w:rPr>
        <w:t>。同时，</w:t>
      </w:r>
      <w:r>
        <w:rPr>
          <w:rFonts w:hint="eastAsia" w:ascii="仿宋" w:hAnsi="仿宋" w:eastAsia="仿宋" w:cs="仿宋"/>
          <w:sz w:val="32"/>
          <w:szCs w:val="32"/>
          <w:lang w:eastAsia="zh-CN"/>
        </w:rPr>
        <w:t>乙方配合甲方指定学校</w:t>
      </w:r>
      <w:r>
        <w:rPr>
          <w:rFonts w:hint="eastAsia" w:ascii="仿宋" w:hAnsi="仿宋" w:eastAsia="仿宋" w:cs="仿宋"/>
          <w:sz w:val="32"/>
          <w:szCs w:val="32"/>
        </w:rPr>
        <w:t>在食堂日常经营中，每周需公布一周</w:t>
      </w:r>
      <w:r>
        <w:rPr>
          <w:rFonts w:hint="eastAsia" w:ascii="仿宋" w:hAnsi="仿宋" w:eastAsia="仿宋" w:cs="仿宋"/>
          <w:sz w:val="32"/>
          <w:szCs w:val="32"/>
          <w:lang w:eastAsia="zh-CN"/>
        </w:rPr>
        <w:t>带量食</w:t>
      </w:r>
      <w:r>
        <w:rPr>
          <w:rFonts w:hint="eastAsia" w:ascii="仿宋" w:hAnsi="仿宋" w:eastAsia="仿宋" w:cs="仿宋"/>
          <w:sz w:val="32"/>
          <w:szCs w:val="32"/>
        </w:rPr>
        <w:t>谱，原则上一周菜谱每天不重复，每月</w:t>
      </w:r>
      <w:r>
        <w:rPr>
          <w:rFonts w:hint="eastAsia" w:ascii="仿宋" w:hAnsi="仿宋" w:eastAsia="仿宋" w:cs="仿宋"/>
          <w:sz w:val="32"/>
          <w:szCs w:val="32"/>
          <w:lang w:eastAsia="zh-CN"/>
        </w:rPr>
        <w:t>视情况</w:t>
      </w:r>
      <w:r>
        <w:rPr>
          <w:rFonts w:hint="eastAsia" w:ascii="仿宋" w:hAnsi="仿宋" w:eastAsia="仿宋" w:cs="仿宋"/>
          <w:sz w:val="32"/>
          <w:szCs w:val="32"/>
        </w:rPr>
        <w:t>征求学生、家长及陪餐老师的意见再对一周菜谱</w:t>
      </w:r>
      <w:r>
        <w:rPr>
          <w:rFonts w:hint="eastAsia" w:ascii="仿宋" w:hAnsi="仿宋" w:eastAsia="仿宋" w:cs="仿宋"/>
          <w:sz w:val="32"/>
          <w:szCs w:val="32"/>
          <w:lang w:eastAsia="zh-CN"/>
        </w:rPr>
        <w:t>及相关食材等</w:t>
      </w:r>
      <w:r>
        <w:rPr>
          <w:rFonts w:hint="eastAsia" w:ascii="仿宋" w:hAnsi="仿宋" w:eastAsia="仿宋" w:cs="仿宋"/>
          <w:sz w:val="32"/>
          <w:szCs w:val="32"/>
        </w:rPr>
        <w:t>进行调整。</w:t>
      </w:r>
    </w:p>
    <w:p w14:paraId="53D9CDD9">
      <w:pPr>
        <w:pStyle w:val="7"/>
        <w:pageBreakBefore w:val="0"/>
        <w:numPr>
          <w:ilvl w:val="0"/>
          <w:numId w:val="0"/>
        </w:numPr>
        <w:kinsoku/>
        <w:wordWrap/>
        <w:overflowPunct/>
        <w:topLinePunct w:val="0"/>
        <w:bidi w:val="0"/>
        <w:snapToGrid/>
        <w:spacing w:line="560" w:lineRule="exact"/>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3.乙方需于</w:t>
      </w:r>
      <w:r>
        <w:rPr>
          <w:rFonts w:hint="eastAsia" w:ascii="仿宋" w:hAnsi="仿宋" w:eastAsia="仿宋" w:cs="仿宋"/>
          <w:sz w:val="32"/>
          <w:szCs w:val="32"/>
        </w:rPr>
        <w:t>每月底提供下一个月的供应采购</w:t>
      </w:r>
      <w:r>
        <w:rPr>
          <w:rFonts w:hint="eastAsia" w:ascii="仿宋" w:hAnsi="仿宋" w:eastAsia="仿宋" w:cs="仿宋"/>
          <w:sz w:val="32"/>
          <w:szCs w:val="32"/>
          <w:lang w:eastAsia="zh-CN"/>
        </w:rPr>
        <w:t>食材</w:t>
      </w:r>
      <w:r>
        <w:rPr>
          <w:rFonts w:hint="eastAsia" w:ascii="仿宋" w:hAnsi="仿宋" w:eastAsia="仿宋" w:cs="仿宋"/>
          <w:sz w:val="32"/>
          <w:szCs w:val="32"/>
        </w:rPr>
        <w:t>种类的详细名称,肉类至少提供3样、水产品至少提供3样、蔬菜瓜果至少提供15样(含以上)</w:t>
      </w:r>
      <w:r>
        <w:rPr>
          <w:rFonts w:hint="eastAsia" w:ascii="仿宋" w:hAnsi="仿宋" w:eastAsia="仿宋" w:cs="仿宋"/>
          <w:sz w:val="32"/>
          <w:szCs w:val="32"/>
          <w:lang w:eastAsia="zh-CN"/>
        </w:rPr>
        <w:t>，由甲方指定学校结合实际确定应供应的货物</w:t>
      </w:r>
      <w:r>
        <w:rPr>
          <w:rFonts w:hint="eastAsia" w:ascii="仿宋" w:hAnsi="仿宋" w:eastAsia="仿宋" w:cs="仿宋"/>
          <w:sz w:val="32"/>
          <w:szCs w:val="32"/>
        </w:rPr>
        <w:t>。</w:t>
      </w:r>
    </w:p>
    <w:p w14:paraId="582DD8E4">
      <w:pPr>
        <w:pStyle w:val="7"/>
        <w:pageBreakBefore w:val="0"/>
        <w:numPr>
          <w:ilvl w:val="0"/>
          <w:numId w:val="0"/>
        </w:numPr>
        <w:kinsoku/>
        <w:wordWrap/>
        <w:overflowPunct/>
        <w:topLinePunct w:val="0"/>
        <w:bidi w:val="0"/>
        <w:snapToGrid/>
        <w:spacing w:line="560" w:lineRule="exact"/>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4.乙方</w:t>
      </w:r>
      <w:r>
        <w:rPr>
          <w:rFonts w:hint="eastAsia" w:ascii="仿宋" w:hAnsi="仿宋" w:eastAsia="仿宋" w:cs="仿宋"/>
          <w:sz w:val="32"/>
          <w:szCs w:val="32"/>
        </w:rPr>
        <w:t>供应的</w:t>
      </w:r>
      <w:r>
        <w:rPr>
          <w:rFonts w:hint="eastAsia" w:ascii="仿宋" w:hAnsi="仿宋" w:eastAsia="仿宋" w:cs="仿宋"/>
          <w:sz w:val="32"/>
          <w:szCs w:val="32"/>
          <w:lang w:eastAsia="zh-CN"/>
        </w:rPr>
        <w:t>食材</w:t>
      </w:r>
      <w:r>
        <w:rPr>
          <w:rFonts w:hint="eastAsia" w:ascii="仿宋" w:hAnsi="仿宋" w:eastAsia="仿宋" w:cs="仿宋"/>
          <w:sz w:val="32"/>
          <w:szCs w:val="32"/>
        </w:rPr>
        <w:t>数量必须满足营养餐每人每餐一荤一素一配菜一汤的量。（参考保亭县实施营养餐食堂供餐</w:t>
      </w:r>
      <w:r>
        <w:rPr>
          <w:rFonts w:ascii="仿宋" w:hAnsi="仿宋" w:eastAsia="仿宋" w:cs="仿宋"/>
          <w:sz w:val="32"/>
          <w:szCs w:val="32"/>
          <w:lang w:bidi="ar"/>
        </w:rPr>
        <w:t>补助标准5元/人/天</w:t>
      </w:r>
      <w:r>
        <w:rPr>
          <w:rFonts w:hint="eastAsia" w:ascii="仿宋" w:hAnsi="仿宋" w:eastAsia="仿宋" w:cs="仿宋"/>
          <w:sz w:val="32"/>
          <w:szCs w:val="32"/>
          <w:lang w:bidi="ar"/>
        </w:rPr>
        <w:t>的做法，5元营养餐不足以满足学生需要的，可另设加餐窗口</w:t>
      </w:r>
      <w:r>
        <w:rPr>
          <w:rFonts w:hint="eastAsia" w:ascii="仿宋" w:hAnsi="仿宋" w:eastAsia="仿宋" w:cs="仿宋"/>
          <w:sz w:val="32"/>
          <w:szCs w:val="32"/>
          <w:lang w:eastAsia="zh-CN" w:bidi="ar"/>
        </w:rPr>
        <w:t>，加餐费用由学生自理</w:t>
      </w:r>
      <w:r>
        <w:rPr>
          <w:rFonts w:hint="eastAsia" w:ascii="仿宋" w:hAnsi="仿宋" w:eastAsia="仿宋" w:cs="仿宋"/>
          <w:sz w:val="32"/>
          <w:szCs w:val="32"/>
        </w:rPr>
        <w:t>）</w:t>
      </w:r>
      <w:r>
        <w:rPr>
          <w:rFonts w:hint="eastAsia" w:ascii="仿宋" w:hAnsi="仿宋" w:eastAsia="仿宋" w:cs="仿宋"/>
          <w:sz w:val="32"/>
          <w:szCs w:val="32"/>
          <w:lang w:eastAsia="zh-CN"/>
        </w:rPr>
        <w:t>，具体配送的食材数量和克数参照县卫健委指导意见确定</w:t>
      </w:r>
      <w:r>
        <w:rPr>
          <w:rFonts w:hint="eastAsia" w:ascii="仿宋" w:hAnsi="仿宋" w:eastAsia="仿宋" w:cs="仿宋"/>
          <w:sz w:val="32"/>
          <w:szCs w:val="32"/>
          <w:lang w:bidi="ar"/>
        </w:rPr>
        <w:t>。</w:t>
      </w:r>
    </w:p>
    <w:p w14:paraId="77A7D11B">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三</w:t>
      </w:r>
      <w:r>
        <w:rPr>
          <w:rFonts w:hint="eastAsia" w:ascii="黑体" w:hAnsi="黑体" w:eastAsia="黑体" w:cs="黑体"/>
          <w:b w:val="0"/>
          <w:bCs/>
          <w:kern w:val="2"/>
          <w:sz w:val="32"/>
          <w:szCs w:val="32"/>
        </w:rPr>
        <w:t>、合同履行期限</w:t>
      </w:r>
    </w:p>
    <w:p w14:paraId="3100D232">
      <w:pPr>
        <w:pageBreakBefore w:val="0"/>
        <w:numPr>
          <w:ilvl w:val="0"/>
          <w:numId w:val="0"/>
        </w:numPr>
        <w:kinsoku/>
        <w:wordWrap/>
        <w:overflowPunct/>
        <w:topLinePunct w:val="0"/>
        <w:bidi w:val="0"/>
        <w:snapToGrid/>
        <w:spacing w:line="560" w:lineRule="exact"/>
        <w:ind w:firstLine="640" w:firstLineChars="200"/>
        <w:jc w:val="both"/>
        <w:rPr>
          <w:rFonts w:hint="eastAsia" w:ascii="仿宋_GB2312" w:hAnsi="仿宋_GB2312" w:eastAsia="仿宋"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服务期限：</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年秋季学期</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2026年春季学期</w:t>
      </w:r>
      <w:r>
        <w:rPr>
          <w:rFonts w:hint="eastAsia" w:ascii="仿宋" w:hAnsi="仿宋" w:eastAsia="仿宋" w:cs="仿宋"/>
          <w:sz w:val="32"/>
          <w:szCs w:val="32"/>
        </w:rPr>
        <w:t>（预计供餐</w:t>
      </w:r>
      <w:r>
        <w:rPr>
          <w:rFonts w:hint="eastAsia" w:ascii="仿宋" w:hAnsi="仿宋" w:eastAsia="仿宋" w:cs="仿宋"/>
          <w:sz w:val="32"/>
          <w:szCs w:val="32"/>
          <w:lang w:val="en-US" w:eastAsia="zh-CN"/>
        </w:rPr>
        <w:t>200</w:t>
      </w:r>
      <w:r>
        <w:rPr>
          <w:rFonts w:hint="eastAsia" w:ascii="仿宋" w:hAnsi="仿宋" w:eastAsia="仿宋" w:cs="仿宋"/>
          <w:sz w:val="32"/>
          <w:szCs w:val="32"/>
        </w:rPr>
        <w:t>天，以</w:t>
      </w:r>
      <w:r>
        <w:rPr>
          <w:rFonts w:hint="eastAsia" w:ascii="仿宋" w:hAnsi="仿宋" w:eastAsia="仿宋" w:cs="仿宋"/>
          <w:sz w:val="32"/>
          <w:szCs w:val="32"/>
          <w:lang w:eastAsia="zh-CN"/>
        </w:rPr>
        <w:t>海南省教育厅公布校历</w:t>
      </w:r>
      <w:r>
        <w:rPr>
          <w:rFonts w:hint="eastAsia" w:ascii="仿宋" w:hAnsi="仿宋" w:eastAsia="仿宋" w:cs="仿宋"/>
          <w:sz w:val="28"/>
          <w:szCs w:val="28"/>
          <w:lang w:val="en-US" w:eastAsia="zh-CN"/>
        </w:rPr>
        <w:t>及综合实际情况</w:t>
      </w:r>
      <w:r>
        <w:rPr>
          <w:rFonts w:hint="eastAsia" w:ascii="仿宋" w:hAnsi="仿宋" w:eastAsia="仿宋" w:cs="仿宋"/>
          <w:sz w:val="32"/>
          <w:szCs w:val="32"/>
        </w:rPr>
        <w:t>为准）</w:t>
      </w:r>
      <w:r>
        <w:rPr>
          <w:rFonts w:hint="eastAsia" w:ascii="仿宋" w:hAnsi="仿宋" w:eastAsia="仿宋" w:cs="仿宋"/>
          <w:sz w:val="32"/>
          <w:szCs w:val="32"/>
          <w:lang w:eastAsia="zh-CN"/>
        </w:rPr>
        <w:t>。</w:t>
      </w:r>
    </w:p>
    <w:p w14:paraId="7E764D81">
      <w:pPr>
        <w:pageBreakBefore w:val="0"/>
        <w:numPr>
          <w:ilvl w:val="0"/>
          <w:numId w:val="0"/>
        </w:numPr>
        <w:kinsoku/>
        <w:wordWrap/>
        <w:overflowPunct/>
        <w:topLinePunct w:val="0"/>
        <w:bidi w:val="0"/>
        <w:snapToGrid/>
        <w:spacing w:line="560" w:lineRule="exact"/>
        <w:ind w:firstLine="640" w:firstLineChars="200"/>
        <w:jc w:val="both"/>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color w:val="000000"/>
          <w:sz w:val="32"/>
          <w:szCs w:val="32"/>
          <w:lang w:eastAsia="zh-CN"/>
        </w:rPr>
        <w:t>若甲方就该项目重新招标，在未签订新的中标合同之前，</w:t>
      </w:r>
      <w:r>
        <w:rPr>
          <w:rFonts w:hint="eastAsia" w:ascii="仿宋_GB2312" w:hAnsi="仿宋_GB2312" w:eastAsia="仿宋_GB2312" w:cs="仿宋_GB2312"/>
          <w:color w:val="000000"/>
          <w:sz w:val="32"/>
          <w:szCs w:val="32"/>
          <w:lang w:val="en-US" w:eastAsia="zh-CN"/>
        </w:rPr>
        <w:t>乙方应按照甲方要求</w:t>
      </w:r>
      <w:r>
        <w:rPr>
          <w:rFonts w:hint="eastAsia" w:ascii="仿宋_GB2312" w:hAnsi="仿宋_GB2312" w:eastAsia="仿宋_GB2312" w:cs="仿宋_GB2312"/>
          <w:color w:val="000000"/>
          <w:sz w:val="32"/>
          <w:szCs w:val="32"/>
          <w:lang w:eastAsia="zh-CN"/>
        </w:rPr>
        <w:t>，在甲乙双方不改变原合同其他条款、符合政府采购相关规定的前提下</w:t>
      </w:r>
      <w:r>
        <w:rPr>
          <w:rFonts w:hint="eastAsia" w:ascii="仿宋_GB2312" w:hAnsi="仿宋_GB2312" w:eastAsia="仿宋_GB2312" w:cs="仿宋_GB2312"/>
          <w:color w:val="000000"/>
          <w:sz w:val="32"/>
          <w:szCs w:val="32"/>
          <w:lang w:val="en-US" w:eastAsia="zh-CN"/>
        </w:rPr>
        <w:t>补充供餐，并在本合同履约期内</w:t>
      </w:r>
      <w:r>
        <w:rPr>
          <w:rFonts w:hint="eastAsia" w:ascii="仿宋_GB2312" w:hAnsi="仿宋_GB2312" w:eastAsia="仿宋_GB2312" w:cs="仿宋_GB2312"/>
          <w:color w:val="000000"/>
          <w:sz w:val="32"/>
          <w:szCs w:val="32"/>
          <w:lang w:eastAsia="zh-CN"/>
        </w:rPr>
        <w:t>签订补充合同。补充合同的采购金额不超过原合同采购金额的百分之十，甲乙双方应在规定时间内将补充合同送政府采购监管部门和其他有关部门备案。应甲方要求为甲方其他学校签订代送合同的，按有关规定办理。</w:t>
      </w:r>
    </w:p>
    <w:p w14:paraId="0353C3EB">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四</w:t>
      </w:r>
      <w:r>
        <w:rPr>
          <w:rFonts w:hint="eastAsia" w:ascii="黑体" w:hAnsi="黑体" w:eastAsia="黑体" w:cs="黑体"/>
          <w:b w:val="0"/>
          <w:bCs/>
          <w:kern w:val="2"/>
          <w:sz w:val="32"/>
          <w:szCs w:val="32"/>
        </w:rPr>
        <w:t>、地点和方式</w:t>
      </w:r>
    </w:p>
    <w:p w14:paraId="16746167">
      <w:pPr>
        <w:keepNext w:val="0"/>
        <w:keepLines w:val="0"/>
        <w:pageBreakBefore w:val="0"/>
        <w:widowControl w:val="0"/>
        <w:tabs>
          <w:tab w:val="left" w:pos="142"/>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1.配送时间：以甲方指定学校（临高县**学校、**学校、**学校、**学校，下同）实际需求时间为准，如遇特殊情况可由甲乙双方协商，协商未果由甲方确定配送时间，乙方应配合甲方指定学校按时配送到位。</w:t>
      </w:r>
    </w:p>
    <w:p w14:paraId="0FBB63CB">
      <w:pPr>
        <w:keepNext w:val="0"/>
        <w:keepLines w:val="0"/>
        <w:pageBreakBefore w:val="0"/>
        <w:widowControl w:val="0"/>
        <w:tabs>
          <w:tab w:val="left" w:pos="142"/>
        </w:tabs>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2.配送接收地点：临高县**学校、**学校、**学校、**学校。</w:t>
      </w:r>
    </w:p>
    <w:p w14:paraId="32F1CEFC">
      <w:pPr>
        <w:pStyle w:val="7"/>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提供服务的方式：在合同规定的起止时间内，指派专人、专车于每周一至周五（即按校历规定的教学日，法定节假日和甲方另有要求的日期除外，供餐日期的调整由甲方确定），按照甲方指定学校的学生人数，每日按时将食材（部分不需要每日配送的大宗食材或辅料除外，但原则上鲜肉、蔬菜等食材应在教学日每日配送，特殊情况以甲方要求为准）送到指定的学校</w:t>
      </w:r>
      <w:r>
        <w:rPr>
          <w:rFonts w:hint="eastAsia" w:ascii="仿宋_GB2312" w:hAnsi="仿宋_GB2312" w:eastAsia="仿宋_GB2312" w:cs="仿宋_GB2312"/>
          <w:b w:val="0"/>
          <w:bCs w:val="0"/>
          <w:color w:val="auto"/>
          <w:sz w:val="32"/>
          <w:szCs w:val="32"/>
          <w:highlight w:val="none"/>
          <w:lang w:val="en-US" w:eastAsia="zh-CN"/>
        </w:rPr>
        <w:t>（一日内发现未按规定向多所学校配送至少一次的，视为违约一次）</w:t>
      </w:r>
      <w:r>
        <w:rPr>
          <w:rFonts w:hint="eastAsia" w:ascii="仿宋_GB2312" w:hAnsi="仿宋_GB2312" w:eastAsia="仿宋_GB2312" w:cs="仿宋_GB2312"/>
          <w:b w:val="0"/>
          <w:bCs w:val="0"/>
          <w:sz w:val="32"/>
          <w:szCs w:val="32"/>
          <w:lang w:val="en-US" w:eastAsia="zh-CN"/>
        </w:rPr>
        <w:t>。</w:t>
      </w:r>
    </w:p>
    <w:p w14:paraId="22E3DFD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乙方提供给学校的验收货票据等材料必须注明明确的食材名称（应注明何种类型，名称应为全称）、生产日期、保质期（如有）、生产批号（如有）、送达日期、数量（重量）等，否则视为违反本协议要求。相关食材的包装（如有）和说明（如有）需提供符合国家强制要求的各类产品信息。</w:t>
      </w:r>
    </w:p>
    <w:p w14:paraId="3C949658">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五</w:t>
      </w:r>
      <w:r>
        <w:rPr>
          <w:rFonts w:hint="eastAsia" w:ascii="黑体" w:hAnsi="黑体" w:eastAsia="黑体" w:cs="黑体"/>
          <w:b w:val="0"/>
          <w:bCs/>
          <w:kern w:val="2"/>
          <w:sz w:val="32"/>
          <w:szCs w:val="32"/>
        </w:rPr>
        <w:t>、付款条件</w:t>
      </w:r>
    </w:p>
    <w:p w14:paraId="6D8F50D6">
      <w:pPr>
        <w:pStyle w:val="16"/>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before="0" w:line="560" w:lineRule="exact"/>
        <w:ind w:right="0" w:rightChars="0" w:firstLine="640" w:firstLineChars="200"/>
        <w:jc w:val="both"/>
        <w:textAlignment w:val="auto"/>
        <w:rPr>
          <w:rFonts w:hint="default"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1.</w:t>
      </w:r>
      <w:r>
        <w:rPr>
          <w:rFonts w:hint="eastAsia" w:ascii="仿宋_GB2312" w:hAnsi="仿宋_GB2312" w:eastAsia="仿宋_GB2312" w:cs="仿宋_GB2312"/>
          <w:b w:val="0"/>
          <w:bCs/>
          <w:kern w:val="2"/>
          <w:sz w:val="32"/>
          <w:szCs w:val="32"/>
        </w:rPr>
        <w:t>付款方式：</w:t>
      </w:r>
      <w:r>
        <w:rPr>
          <w:rFonts w:hint="eastAsia" w:ascii="仿宋_GB2312" w:hAnsi="仿宋_GB2312" w:eastAsia="仿宋_GB2312" w:cs="仿宋_GB2312"/>
          <w:b w:val="0"/>
          <w:bCs/>
          <w:kern w:val="2"/>
          <w:sz w:val="32"/>
          <w:szCs w:val="32"/>
          <w:lang w:eastAsia="zh-CN"/>
        </w:rPr>
        <w:t>甲方根据</w:t>
      </w:r>
      <w:r>
        <w:rPr>
          <w:rFonts w:hint="eastAsia" w:ascii="仿宋_GB2312" w:hAnsi="仿宋_GB2312" w:eastAsia="仿宋_GB2312" w:cs="仿宋_GB2312"/>
          <w:b w:val="0"/>
          <w:bCs/>
          <w:kern w:val="2"/>
          <w:sz w:val="32"/>
          <w:szCs w:val="32"/>
          <w:lang w:val="en-US" w:eastAsia="zh-CN"/>
        </w:rPr>
        <w:t>每月初</w:t>
      </w:r>
      <w:r>
        <w:rPr>
          <w:rFonts w:hint="eastAsia" w:ascii="仿宋_GB2312" w:hAnsi="仿宋_GB2312" w:eastAsia="仿宋_GB2312" w:cs="仿宋_GB2312"/>
          <w:b w:val="0"/>
          <w:bCs/>
          <w:kern w:val="2"/>
          <w:sz w:val="32"/>
          <w:szCs w:val="32"/>
          <w:lang w:eastAsia="zh-CN"/>
        </w:rPr>
        <w:t>学校</w:t>
      </w:r>
      <w:r>
        <w:rPr>
          <w:rFonts w:hint="eastAsia" w:ascii="仿宋_GB2312" w:hAnsi="仿宋_GB2312" w:eastAsia="仿宋_GB2312" w:cs="仿宋_GB2312"/>
          <w:b w:val="0"/>
          <w:bCs/>
          <w:kern w:val="2"/>
          <w:sz w:val="32"/>
          <w:szCs w:val="32"/>
          <w:lang w:val="en-US" w:eastAsia="zh-CN"/>
        </w:rPr>
        <w:t>统计上个月食材配送量（食材配送量根据学生实际用餐人数、天数测算）填写供餐学生情况登记表、月报表（经校长、分管副校长、营养餐管理人员签名后加盖学校公章）、配送单等材料，</w:t>
      </w:r>
      <w:r>
        <w:rPr>
          <w:rFonts w:hint="eastAsia" w:ascii="仿宋_GB2312" w:hAnsi="仿宋_GB2312" w:eastAsia="仿宋_GB2312" w:cs="仿宋_GB2312"/>
          <w:b w:val="0"/>
          <w:bCs/>
          <w:kern w:val="2"/>
          <w:sz w:val="32"/>
          <w:szCs w:val="32"/>
          <w:lang w:eastAsia="zh-CN"/>
        </w:rPr>
        <w:t>在</w:t>
      </w:r>
      <w:r>
        <w:rPr>
          <w:rFonts w:hint="eastAsia" w:ascii="仿宋_GB2312" w:hAnsi="仿宋_GB2312" w:eastAsia="仿宋_GB2312" w:cs="仿宋_GB2312"/>
          <w:b w:val="0"/>
          <w:bCs/>
          <w:kern w:val="2"/>
          <w:sz w:val="32"/>
          <w:szCs w:val="32"/>
        </w:rPr>
        <w:t>收到乙方开具的等额、正式有效发票之</w:t>
      </w:r>
      <w:r>
        <w:rPr>
          <w:rFonts w:hint="eastAsia" w:ascii="仿宋_GB2312" w:hAnsi="仿宋_GB2312" w:eastAsia="仿宋_GB2312" w:cs="仿宋_GB2312"/>
          <w:b w:val="0"/>
          <w:bCs/>
          <w:kern w:val="2"/>
          <w:sz w:val="32"/>
          <w:szCs w:val="32"/>
          <w:lang w:eastAsia="zh-CN"/>
        </w:rPr>
        <w:t>后</w:t>
      </w:r>
      <w:r>
        <w:rPr>
          <w:rFonts w:hint="eastAsia" w:ascii="仿宋_GB2312" w:hAnsi="仿宋_GB2312" w:eastAsia="仿宋_GB2312" w:cs="仿宋_GB2312"/>
          <w:b w:val="0"/>
          <w:bCs/>
          <w:kern w:val="2"/>
          <w:sz w:val="32"/>
          <w:szCs w:val="32"/>
        </w:rPr>
        <w:t>向乙方支付</w:t>
      </w:r>
      <w:r>
        <w:rPr>
          <w:rFonts w:hint="eastAsia" w:ascii="仿宋_GB2312" w:hAnsi="仿宋_GB2312" w:eastAsia="仿宋_GB2312" w:cs="仿宋_GB2312"/>
          <w:b w:val="0"/>
          <w:bCs/>
          <w:kern w:val="2"/>
          <w:sz w:val="32"/>
          <w:szCs w:val="32"/>
          <w:lang w:eastAsia="zh-CN"/>
        </w:rPr>
        <w:t>相应</w:t>
      </w:r>
      <w:r>
        <w:rPr>
          <w:rFonts w:hint="eastAsia" w:ascii="仿宋_GB2312" w:hAnsi="仿宋_GB2312" w:eastAsia="仿宋_GB2312" w:cs="仿宋_GB2312"/>
          <w:b w:val="0"/>
          <w:bCs/>
          <w:kern w:val="2"/>
          <w:sz w:val="32"/>
          <w:szCs w:val="32"/>
        </w:rPr>
        <w:t>费用。</w:t>
      </w:r>
      <w:r>
        <w:rPr>
          <w:rFonts w:hint="eastAsia" w:ascii="仿宋_GB2312" w:hAnsi="仿宋_GB2312" w:eastAsia="仿宋_GB2312" w:cs="仿宋_GB2312"/>
          <w:b w:val="0"/>
          <w:bCs/>
          <w:kern w:val="2"/>
          <w:sz w:val="32"/>
          <w:szCs w:val="32"/>
          <w:lang w:val="en-US" w:eastAsia="zh-CN"/>
        </w:rPr>
        <w:t>实际支付的费用不得高于每日实际用餐学生数乘以5元/生/天后的累计总价。乙方原则上应在每月结束供货后的1个月内搜集相关付款凭证材料，并提供给甲方，甲方在收到有效材料后，应在2个月内完成付款手续，因财政原因无法按时拨付到位的，甲方不负相关责任（如因乙方原因无法提供相关付款材料，所造成的后果由乙方负责）。</w:t>
      </w:r>
    </w:p>
    <w:p w14:paraId="66ED5353">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2.乙方收款账户信息</w:t>
      </w:r>
    </w:p>
    <w:p w14:paraId="11638837">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账户名称:**公司</w:t>
      </w:r>
    </w:p>
    <w:p w14:paraId="11C5C386">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开户银行：**支行</w:t>
      </w:r>
    </w:p>
    <w:p w14:paraId="17453E18">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default"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银行账号：***********</w:t>
      </w:r>
    </w:p>
    <w:p w14:paraId="5E65069D">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六</w:t>
      </w:r>
      <w:r>
        <w:rPr>
          <w:rFonts w:hint="eastAsia" w:ascii="黑体" w:hAnsi="黑体" w:eastAsia="黑体" w:cs="黑体"/>
          <w:b w:val="0"/>
          <w:bCs/>
          <w:kern w:val="2"/>
          <w:sz w:val="32"/>
          <w:szCs w:val="32"/>
        </w:rPr>
        <w:t>、服务管理</w:t>
      </w:r>
    </w:p>
    <w:p w14:paraId="27258E29">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乙方</w:t>
      </w:r>
      <w:r>
        <w:rPr>
          <w:rFonts w:hint="eastAsia" w:ascii="仿宋" w:hAnsi="仿宋" w:eastAsia="仿宋" w:cs="仿宋"/>
          <w:sz w:val="32"/>
          <w:szCs w:val="32"/>
        </w:rPr>
        <w:t>有下列情形，</w:t>
      </w:r>
      <w:r>
        <w:rPr>
          <w:rFonts w:hint="eastAsia" w:ascii="仿宋" w:hAnsi="仿宋" w:eastAsia="仿宋" w:cs="仿宋"/>
          <w:sz w:val="32"/>
          <w:szCs w:val="32"/>
          <w:lang w:eastAsia="zh-CN"/>
        </w:rPr>
        <w:t>甲方</w:t>
      </w:r>
      <w:r>
        <w:rPr>
          <w:rFonts w:hint="eastAsia" w:ascii="仿宋" w:hAnsi="仿宋" w:eastAsia="仿宋" w:cs="仿宋"/>
          <w:sz w:val="32"/>
          <w:szCs w:val="32"/>
        </w:rPr>
        <w:t>有权解除服务合同，全额没收履约保证金并取消</w:t>
      </w:r>
      <w:r>
        <w:rPr>
          <w:rFonts w:hint="eastAsia" w:ascii="仿宋" w:hAnsi="仿宋" w:eastAsia="仿宋" w:cs="仿宋"/>
          <w:sz w:val="32"/>
          <w:szCs w:val="32"/>
          <w:lang w:eastAsia="zh-CN"/>
        </w:rPr>
        <w:t>乙方</w:t>
      </w:r>
      <w:r>
        <w:rPr>
          <w:rFonts w:hint="eastAsia" w:ascii="仿宋" w:hAnsi="仿宋" w:eastAsia="仿宋" w:cs="仿宋"/>
          <w:sz w:val="32"/>
          <w:szCs w:val="32"/>
        </w:rPr>
        <w:t>的服务资格，一切</w:t>
      </w:r>
      <w:r>
        <w:rPr>
          <w:rFonts w:hint="eastAsia" w:ascii="仿宋" w:hAnsi="仿宋" w:eastAsia="仿宋" w:cs="仿宋"/>
          <w:sz w:val="32"/>
          <w:szCs w:val="32"/>
          <w:lang w:eastAsia="zh-CN"/>
        </w:rPr>
        <w:t>因此造成的</w:t>
      </w:r>
      <w:r>
        <w:rPr>
          <w:rFonts w:hint="eastAsia" w:ascii="仿宋" w:hAnsi="仿宋" w:eastAsia="仿宋" w:cs="仿宋"/>
          <w:sz w:val="32"/>
          <w:szCs w:val="32"/>
        </w:rPr>
        <w:t>经济和</w:t>
      </w:r>
      <w:r>
        <w:rPr>
          <w:rFonts w:hint="eastAsia" w:ascii="仿宋" w:hAnsi="仿宋" w:eastAsia="仿宋" w:cs="仿宋"/>
          <w:sz w:val="32"/>
          <w:szCs w:val="32"/>
          <w:lang w:eastAsia="zh-CN"/>
        </w:rPr>
        <w:t>违反</w:t>
      </w:r>
      <w:r>
        <w:rPr>
          <w:rFonts w:hint="eastAsia" w:ascii="仿宋" w:hAnsi="仿宋" w:eastAsia="仿宋" w:cs="仿宋"/>
          <w:sz w:val="32"/>
          <w:szCs w:val="32"/>
        </w:rPr>
        <w:t>法律</w:t>
      </w:r>
      <w:r>
        <w:rPr>
          <w:rFonts w:hint="eastAsia" w:ascii="仿宋" w:hAnsi="仿宋" w:eastAsia="仿宋" w:cs="仿宋"/>
          <w:sz w:val="32"/>
          <w:szCs w:val="32"/>
          <w:lang w:eastAsia="zh-CN"/>
        </w:rPr>
        <w:t>法规的</w:t>
      </w:r>
      <w:r>
        <w:rPr>
          <w:rFonts w:hint="eastAsia" w:ascii="仿宋" w:hAnsi="仿宋" w:eastAsia="仿宋" w:cs="仿宋"/>
          <w:sz w:val="32"/>
          <w:szCs w:val="32"/>
        </w:rPr>
        <w:t>责任或其他相关第三方应追诉的责任由</w:t>
      </w:r>
      <w:r>
        <w:rPr>
          <w:rFonts w:hint="eastAsia" w:ascii="仿宋" w:hAnsi="仿宋" w:eastAsia="仿宋" w:cs="仿宋"/>
          <w:sz w:val="32"/>
          <w:szCs w:val="32"/>
          <w:lang w:eastAsia="zh-CN"/>
        </w:rPr>
        <w:t>乙方</w:t>
      </w:r>
      <w:r>
        <w:rPr>
          <w:rFonts w:hint="eastAsia" w:ascii="仿宋" w:hAnsi="仿宋" w:eastAsia="仿宋" w:cs="仿宋"/>
          <w:sz w:val="32"/>
          <w:szCs w:val="32"/>
        </w:rPr>
        <w:t>承担:</w:t>
      </w:r>
    </w:p>
    <w:p w14:paraId="50E4D5E1">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乙方</w:t>
      </w:r>
      <w:r>
        <w:rPr>
          <w:rFonts w:hint="eastAsia" w:ascii="仿宋" w:hAnsi="仿宋" w:eastAsia="仿宋" w:cs="仿宋"/>
          <w:sz w:val="32"/>
          <w:szCs w:val="32"/>
        </w:rPr>
        <w:t>对项目内容进行转让或分包的。</w:t>
      </w:r>
    </w:p>
    <w:p w14:paraId="399B9D58">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未经甲方同意，乙方</w:t>
      </w:r>
      <w:r>
        <w:rPr>
          <w:rFonts w:hint="eastAsia" w:ascii="仿宋" w:hAnsi="仿宋" w:eastAsia="仿宋" w:cs="仿宋"/>
          <w:sz w:val="32"/>
          <w:szCs w:val="32"/>
        </w:rPr>
        <w:t>出现比规定的送货时间迟到一天</w:t>
      </w:r>
      <w:r>
        <w:rPr>
          <w:rFonts w:hint="eastAsia" w:ascii="仿宋" w:hAnsi="仿宋" w:eastAsia="仿宋" w:cs="仿宋"/>
          <w:sz w:val="32"/>
          <w:szCs w:val="32"/>
          <w:lang w:eastAsia="zh-CN"/>
        </w:rPr>
        <w:t>（含一天）</w:t>
      </w:r>
      <w:r>
        <w:rPr>
          <w:rFonts w:hint="eastAsia" w:ascii="仿宋" w:hAnsi="仿宋" w:eastAsia="仿宋" w:cs="仿宋"/>
          <w:sz w:val="32"/>
          <w:szCs w:val="32"/>
        </w:rPr>
        <w:t>以上情形,合同履约期间累计超过</w:t>
      </w:r>
      <w:r>
        <w:rPr>
          <w:rFonts w:hint="eastAsia" w:ascii="仿宋" w:hAnsi="仿宋" w:eastAsia="仿宋" w:cs="仿宋"/>
          <w:sz w:val="32"/>
          <w:szCs w:val="32"/>
          <w:lang w:eastAsia="zh-CN"/>
        </w:rPr>
        <w:t>五</w:t>
      </w:r>
      <w:r>
        <w:rPr>
          <w:rFonts w:hint="eastAsia" w:ascii="仿宋" w:hAnsi="仿宋" w:eastAsia="仿宋" w:cs="仿宋"/>
          <w:sz w:val="32"/>
          <w:szCs w:val="32"/>
        </w:rPr>
        <w:t>次的(</w:t>
      </w:r>
      <w:r>
        <w:rPr>
          <w:rFonts w:hint="eastAsia" w:ascii="仿宋" w:hAnsi="仿宋" w:eastAsia="仿宋" w:cs="仿宋"/>
          <w:sz w:val="32"/>
          <w:szCs w:val="32"/>
          <w:lang w:eastAsia="zh-CN"/>
        </w:rPr>
        <w:t>经甲方同意或因</w:t>
      </w:r>
      <w:r>
        <w:rPr>
          <w:rFonts w:hint="eastAsia" w:ascii="仿宋" w:hAnsi="仿宋" w:eastAsia="仿宋" w:cs="仿宋"/>
          <w:sz w:val="32"/>
          <w:szCs w:val="32"/>
        </w:rPr>
        <w:t>客观不可抗力原因除外)。</w:t>
      </w:r>
    </w:p>
    <w:p w14:paraId="52A96315">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eastAsia="zh-CN"/>
        </w:rPr>
        <w:t>乙方</w:t>
      </w:r>
      <w:r>
        <w:rPr>
          <w:rFonts w:hint="eastAsia" w:ascii="仿宋" w:hAnsi="仿宋" w:eastAsia="仿宋" w:cs="仿宋"/>
          <w:sz w:val="32"/>
          <w:szCs w:val="32"/>
        </w:rPr>
        <w:t>应提供</w:t>
      </w:r>
      <w:r>
        <w:rPr>
          <w:rFonts w:hint="eastAsia" w:ascii="仿宋" w:hAnsi="仿宋" w:eastAsia="仿宋" w:cs="仿宋"/>
          <w:sz w:val="32"/>
          <w:szCs w:val="32"/>
          <w:lang w:eastAsia="zh-CN"/>
        </w:rPr>
        <w:t>食材基本信息（本合同第四大点第三小点之要求）和验收材料</w:t>
      </w:r>
      <w:r>
        <w:rPr>
          <w:rFonts w:hint="eastAsia" w:ascii="仿宋" w:hAnsi="仿宋" w:eastAsia="仿宋" w:cs="仿宋"/>
          <w:sz w:val="32"/>
          <w:szCs w:val="32"/>
        </w:rPr>
        <w:t>,如</w:t>
      </w:r>
      <w:r>
        <w:rPr>
          <w:rFonts w:hint="eastAsia" w:ascii="仿宋" w:hAnsi="仿宋" w:eastAsia="仿宋" w:cs="仿宋"/>
          <w:sz w:val="32"/>
          <w:szCs w:val="32"/>
          <w:lang w:eastAsia="zh-CN"/>
        </w:rPr>
        <w:t>乙方</w:t>
      </w:r>
      <w:r>
        <w:rPr>
          <w:rFonts w:hint="eastAsia" w:ascii="仿宋" w:hAnsi="仿宋" w:eastAsia="仿宋" w:cs="仿宋"/>
          <w:sz w:val="32"/>
          <w:szCs w:val="32"/>
        </w:rPr>
        <w:t>伪造上述证明文件、提供虚假信息或不提供上述信息的。</w:t>
      </w:r>
    </w:p>
    <w:p w14:paraId="72578227">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lang w:eastAsia="zh-CN"/>
        </w:rPr>
        <w:t>乙方</w:t>
      </w:r>
      <w:r>
        <w:rPr>
          <w:rFonts w:hint="eastAsia" w:ascii="仿宋" w:hAnsi="仿宋" w:eastAsia="仿宋" w:cs="仿宋"/>
          <w:sz w:val="32"/>
          <w:szCs w:val="32"/>
        </w:rPr>
        <w:t>提供假冒伪劣、过期</w:t>
      </w:r>
      <w:r>
        <w:rPr>
          <w:rFonts w:hint="eastAsia" w:ascii="仿宋" w:hAnsi="仿宋" w:eastAsia="仿宋" w:cs="仿宋"/>
          <w:sz w:val="32"/>
          <w:szCs w:val="32"/>
          <w:lang w:eastAsia="zh-CN"/>
        </w:rPr>
        <w:t>（</w:t>
      </w:r>
      <w:r>
        <w:rPr>
          <w:rFonts w:hint="eastAsia" w:ascii="仿宋" w:hAnsi="仿宋" w:eastAsia="仿宋" w:cs="仿宋"/>
          <w:sz w:val="32"/>
          <w:szCs w:val="32"/>
        </w:rPr>
        <w:t>超保质期或不符合保质期规定的</w:t>
      </w:r>
      <w:r>
        <w:rPr>
          <w:rFonts w:hint="eastAsia" w:ascii="仿宋" w:hAnsi="仿宋" w:eastAsia="仿宋" w:cs="仿宋"/>
          <w:sz w:val="32"/>
          <w:szCs w:val="32"/>
          <w:lang w:eastAsia="zh-CN"/>
        </w:rPr>
        <w:t>）</w:t>
      </w:r>
      <w:r>
        <w:rPr>
          <w:rFonts w:hint="eastAsia" w:ascii="仿宋" w:hAnsi="仿宋" w:eastAsia="仿宋" w:cs="仿宋"/>
          <w:sz w:val="32"/>
          <w:szCs w:val="32"/>
        </w:rPr>
        <w:t>、变质食品</w:t>
      </w:r>
      <w:r>
        <w:rPr>
          <w:rFonts w:hint="eastAsia" w:ascii="仿宋" w:hAnsi="仿宋" w:eastAsia="仿宋" w:cs="仿宋"/>
          <w:sz w:val="32"/>
          <w:szCs w:val="32"/>
          <w:lang w:eastAsia="zh-CN"/>
        </w:rPr>
        <w:t>或经市监部门或第三方专业检测机构认定不适宜食用的食品</w:t>
      </w:r>
      <w:r>
        <w:rPr>
          <w:rFonts w:hint="eastAsia" w:ascii="仿宋" w:hAnsi="仿宋" w:eastAsia="仿宋" w:cs="仿宋"/>
          <w:sz w:val="32"/>
          <w:szCs w:val="32"/>
        </w:rPr>
        <w:t>的，</w:t>
      </w:r>
      <w:r>
        <w:rPr>
          <w:rFonts w:hint="eastAsia" w:ascii="仿宋" w:hAnsi="仿宋" w:eastAsia="仿宋" w:cs="仿宋"/>
          <w:sz w:val="32"/>
          <w:szCs w:val="32"/>
          <w:lang w:val="en-US" w:eastAsia="zh-CN"/>
        </w:rPr>
        <w:t>甲方</w:t>
      </w:r>
      <w:r>
        <w:rPr>
          <w:rFonts w:hint="eastAsia" w:ascii="仿宋" w:hAnsi="仿宋" w:eastAsia="仿宋" w:cs="仿宋"/>
          <w:sz w:val="32"/>
          <w:szCs w:val="32"/>
        </w:rPr>
        <w:t>除要求</w:t>
      </w:r>
      <w:r>
        <w:rPr>
          <w:rFonts w:hint="eastAsia" w:ascii="仿宋" w:hAnsi="仿宋" w:eastAsia="仿宋" w:cs="仿宋"/>
          <w:sz w:val="32"/>
          <w:szCs w:val="32"/>
          <w:lang w:eastAsia="zh-CN"/>
        </w:rPr>
        <w:t>乙方</w:t>
      </w:r>
      <w:r>
        <w:rPr>
          <w:rFonts w:hint="eastAsia" w:ascii="仿宋" w:hAnsi="仿宋" w:eastAsia="仿宋" w:cs="仿宋"/>
          <w:sz w:val="32"/>
          <w:szCs w:val="32"/>
        </w:rPr>
        <w:t>无条件退货或换货外，</w:t>
      </w:r>
      <w:r>
        <w:rPr>
          <w:rFonts w:hint="eastAsia" w:ascii="仿宋" w:hAnsi="仿宋" w:eastAsia="仿宋" w:cs="仿宋"/>
          <w:sz w:val="32"/>
          <w:szCs w:val="32"/>
          <w:lang w:eastAsia="zh-CN"/>
        </w:rPr>
        <w:t>乙方还应</w:t>
      </w:r>
      <w:r>
        <w:rPr>
          <w:rFonts w:hint="eastAsia" w:ascii="仿宋" w:hAnsi="仿宋" w:eastAsia="仿宋" w:cs="仿宋"/>
          <w:sz w:val="32"/>
          <w:szCs w:val="32"/>
        </w:rPr>
        <w:t>被处以当次供应</w:t>
      </w:r>
      <w:r>
        <w:rPr>
          <w:rFonts w:hint="eastAsia" w:ascii="仿宋" w:hAnsi="仿宋" w:eastAsia="仿宋" w:cs="仿宋"/>
          <w:sz w:val="32"/>
          <w:szCs w:val="32"/>
          <w:lang w:eastAsia="zh-CN"/>
        </w:rPr>
        <w:t>问题</w:t>
      </w:r>
      <w:r>
        <w:rPr>
          <w:rFonts w:hint="eastAsia" w:ascii="仿宋" w:hAnsi="仿宋" w:eastAsia="仿宋" w:cs="仿宋"/>
          <w:sz w:val="32"/>
          <w:szCs w:val="32"/>
        </w:rPr>
        <w:t>食品</w:t>
      </w:r>
      <w:r>
        <w:rPr>
          <w:rFonts w:hint="eastAsia" w:ascii="仿宋" w:hAnsi="仿宋" w:eastAsia="仿宋" w:cs="仿宋"/>
          <w:sz w:val="32"/>
          <w:szCs w:val="32"/>
          <w:lang w:eastAsia="zh-CN"/>
        </w:rPr>
        <w:t>价值</w:t>
      </w:r>
      <w:r>
        <w:rPr>
          <w:rFonts w:hint="eastAsia" w:ascii="仿宋" w:hAnsi="仿宋" w:eastAsia="仿宋" w:cs="仿宋"/>
          <w:sz w:val="32"/>
          <w:szCs w:val="32"/>
        </w:rPr>
        <w:t>货款</w:t>
      </w:r>
      <w:r>
        <w:rPr>
          <w:rFonts w:hint="eastAsia" w:ascii="仿宋" w:hAnsi="仿宋" w:eastAsia="仿宋" w:cs="仿宋"/>
          <w:sz w:val="32"/>
          <w:szCs w:val="32"/>
          <w:lang w:eastAsia="zh-CN"/>
        </w:rPr>
        <w:t>（按该类货物全县实际送货价值计算）</w:t>
      </w:r>
      <w:r>
        <w:rPr>
          <w:rFonts w:hint="eastAsia" w:ascii="仿宋" w:hAnsi="仿宋" w:eastAsia="仿宋" w:cs="仿宋"/>
          <w:sz w:val="32"/>
          <w:szCs w:val="32"/>
          <w:lang w:val="en-US" w:eastAsia="zh-CN"/>
        </w:rPr>
        <w:t>10</w:t>
      </w:r>
      <w:r>
        <w:rPr>
          <w:rFonts w:hint="eastAsia" w:ascii="仿宋" w:hAnsi="仿宋" w:eastAsia="仿宋" w:cs="仿宋"/>
          <w:sz w:val="32"/>
          <w:szCs w:val="32"/>
        </w:rPr>
        <w:t>倍的罚款，罚款由</w:t>
      </w:r>
      <w:r>
        <w:rPr>
          <w:rFonts w:hint="eastAsia" w:ascii="仿宋" w:hAnsi="仿宋" w:eastAsia="仿宋" w:cs="仿宋"/>
          <w:sz w:val="32"/>
          <w:szCs w:val="32"/>
          <w:lang w:eastAsia="zh-CN"/>
        </w:rPr>
        <w:t>当次</w:t>
      </w:r>
      <w:r>
        <w:rPr>
          <w:rFonts w:hint="eastAsia" w:ascii="仿宋" w:hAnsi="仿宋" w:eastAsia="仿宋" w:cs="仿宋"/>
          <w:sz w:val="32"/>
          <w:szCs w:val="32"/>
        </w:rPr>
        <w:t>供货结算款内扣除。</w:t>
      </w:r>
    </w:p>
    <w:p w14:paraId="4D2C1219">
      <w:pPr>
        <w:spacing w:line="560" w:lineRule="exact"/>
        <w:ind w:firstLine="640" w:firstLineChars="200"/>
        <w:rPr>
          <w:rFonts w:hint="eastAsia" w:ascii="仿宋" w:hAnsi="仿宋" w:eastAsia="仿宋" w:cs="仿宋"/>
          <w:sz w:val="32"/>
          <w:szCs w:val="32"/>
        </w:rPr>
      </w:pPr>
      <w:r>
        <w:rPr>
          <w:rFonts w:hint="eastAsia" w:ascii="仿宋" w:hAnsi="仿宋" w:eastAsia="仿宋" w:cs="仿宋"/>
          <w:color w:val="auto"/>
          <w:sz w:val="32"/>
          <w:szCs w:val="32"/>
          <w:highlight w:val="none"/>
        </w:rPr>
        <w:t>在</w:t>
      </w:r>
      <w:r>
        <w:rPr>
          <w:rFonts w:hint="eastAsia" w:ascii="仿宋" w:hAnsi="仿宋" w:eastAsia="仿宋" w:cs="仿宋"/>
          <w:sz w:val="32"/>
          <w:szCs w:val="32"/>
          <w:lang w:eastAsia="zh-CN"/>
        </w:rPr>
        <w:t>保质期</w:t>
      </w:r>
      <w:r>
        <w:rPr>
          <w:rFonts w:hint="eastAsia" w:ascii="仿宋" w:hAnsi="仿宋" w:eastAsia="仿宋" w:cs="仿宋"/>
          <w:color w:val="auto"/>
          <w:sz w:val="32"/>
          <w:szCs w:val="32"/>
          <w:highlight w:val="none"/>
        </w:rPr>
        <w:t>内，凡货物在初次开箱检验过程中出现的质量问题及数量短少问题，由乙方在24小时内负责处理，实行包换、包退、补货，直至产品符合质量及供货数量的要求，每次出现质量问题和数量短少问题，甲方有权对乙方处以</w:t>
      </w:r>
      <w:r>
        <w:rPr>
          <w:rFonts w:hint="eastAsia" w:ascii="仿宋" w:hAnsi="仿宋" w:eastAsia="仿宋" w:cs="仿宋"/>
          <w:sz w:val="32"/>
          <w:szCs w:val="32"/>
          <w:lang w:val="en-US" w:eastAsia="zh-CN"/>
        </w:rPr>
        <w:t>1000</w:t>
      </w:r>
      <w:r>
        <w:rPr>
          <w:rFonts w:hint="eastAsia" w:ascii="仿宋" w:hAnsi="仿宋" w:eastAsia="仿宋" w:cs="仿宋"/>
          <w:color w:val="auto"/>
          <w:sz w:val="32"/>
          <w:szCs w:val="32"/>
          <w:highlight w:val="none"/>
        </w:rPr>
        <w:t>元的违约金，</w:t>
      </w:r>
      <w:r>
        <w:rPr>
          <w:rFonts w:hint="eastAsia" w:ascii="仿宋" w:hAnsi="仿宋" w:eastAsia="仿宋" w:cs="仿宋"/>
          <w:color w:val="auto"/>
          <w:sz w:val="32"/>
          <w:szCs w:val="32"/>
          <w:highlight w:val="none"/>
          <w:lang w:val="en-US" w:eastAsia="zh-CN"/>
        </w:rPr>
        <w:t>并依法移交</w:t>
      </w:r>
      <w:r>
        <w:rPr>
          <w:rFonts w:hint="eastAsia" w:ascii="仿宋" w:hAnsi="仿宋" w:eastAsia="仿宋" w:cs="仿宋"/>
          <w:color w:val="auto"/>
          <w:sz w:val="32"/>
          <w:szCs w:val="32"/>
          <w:highlight w:val="none"/>
        </w:rPr>
        <w:t>县市</w:t>
      </w:r>
      <w:r>
        <w:rPr>
          <w:rFonts w:hint="eastAsia" w:ascii="仿宋" w:hAnsi="仿宋" w:eastAsia="仿宋" w:cs="仿宋"/>
          <w:color w:val="auto"/>
          <w:sz w:val="32"/>
          <w:szCs w:val="32"/>
          <w:highlight w:val="none"/>
          <w:lang w:val="en-US" w:eastAsia="zh-CN"/>
        </w:rPr>
        <w:t>场</w:t>
      </w:r>
      <w:r>
        <w:rPr>
          <w:rFonts w:hint="eastAsia" w:ascii="仿宋" w:hAnsi="仿宋" w:eastAsia="仿宋" w:cs="仿宋"/>
          <w:color w:val="auto"/>
          <w:sz w:val="32"/>
          <w:szCs w:val="32"/>
          <w:highlight w:val="none"/>
        </w:rPr>
        <w:t>监</w:t>
      </w:r>
      <w:r>
        <w:rPr>
          <w:rFonts w:hint="eastAsia" w:ascii="仿宋" w:hAnsi="仿宋" w:eastAsia="仿宋" w:cs="仿宋"/>
          <w:color w:val="auto"/>
          <w:sz w:val="32"/>
          <w:szCs w:val="32"/>
          <w:highlight w:val="none"/>
          <w:lang w:val="en-US" w:eastAsia="zh-CN"/>
        </w:rPr>
        <w:t>督</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卫</w:t>
      </w:r>
      <w:r>
        <w:rPr>
          <w:rFonts w:hint="eastAsia" w:ascii="仿宋" w:hAnsi="仿宋" w:eastAsia="仿宋" w:cs="仿宋"/>
          <w:color w:val="auto"/>
          <w:sz w:val="32"/>
          <w:szCs w:val="32"/>
          <w:highlight w:val="none"/>
          <w:lang w:val="en-US" w:eastAsia="zh-CN"/>
        </w:rPr>
        <w:t>生</w:t>
      </w:r>
      <w:r>
        <w:rPr>
          <w:rFonts w:hint="eastAsia" w:ascii="仿宋" w:hAnsi="仿宋" w:eastAsia="仿宋" w:cs="仿宋"/>
          <w:color w:val="auto"/>
          <w:sz w:val="32"/>
          <w:szCs w:val="32"/>
          <w:highlight w:val="none"/>
        </w:rPr>
        <w:t>健</w:t>
      </w:r>
      <w:r>
        <w:rPr>
          <w:rFonts w:hint="eastAsia" w:ascii="仿宋" w:hAnsi="仿宋" w:eastAsia="仿宋" w:cs="仿宋"/>
          <w:color w:val="auto"/>
          <w:sz w:val="32"/>
          <w:szCs w:val="32"/>
          <w:highlight w:val="none"/>
          <w:lang w:val="en-US" w:eastAsia="zh-CN"/>
        </w:rPr>
        <w:t>康、</w:t>
      </w:r>
      <w:r>
        <w:rPr>
          <w:rFonts w:hint="eastAsia" w:ascii="仿宋" w:hAnsi="仿宋" w:eastAsia="仿宋" w:cs="仿宋"/>
          <w:color w:val="auto"/>
          <w:sz w:val="32"/>
          <w:szCs w:val="32"/>
          <w:highlight w:val="none"/>
        </w:rPr>
        <w:t>综合执法等</w:t>
      </w:r>
      <w:r>
        <w:rPr>
          <w:rFonts w:hint="eastAsia" w:ascii="仿宋" w:hAnsi="仿宋" w:eastAsia="仿宋" w:cs="仿宋"/>
          <w:color w:val="auto"/>
          <w:sz w:val="32"/>
          <w:szCs w:val="32"/>
          <w:highlight w:val="none"/>
          <w:lang w:val="en-US" w:eastAsia="zh-CN"/>
        </w:rPr>
        <w:t>监管</w:t>
      </w:r>
      <w:r>
        <w:rPr>
          <w:rFonts w:hint="eastAsia" w:ascii="仿宋" w:hAnsi="仿宋" w:eastAsia="仿宋" w:cs="仿宋"/>
          <w:color w:val="auto"/>
          <w:sz w:val="32"/>
          <w:szCs w:val="32"/>
          <w:highlight w:val="none"/>
        </w:rPr>
        <w:t>部门</w:t>
      </w:r>
      <w:r>
        <w:rPr>
          <w:rFonts w:hint="eastAsia" w:ascii="仿宋" w:hAnsi="仿宋" w:eastAsia="仿宋" w:cs="仿宋"/>
          <w:color w:val="auto"/>
          <w:sz w:val="32"/>
          <w:szCs w:val="32"/>
          <w:highlight w:val="none"/>
          <w:lang w:val="en-US" w:eastAsia="zh-CN"/>
        </w:rPr>
        <w:t>处理。</w:t>
      </w:r>
      <w:r>
        <w:rPr>
          <w:rFonts w:hint="eastAsia" w:ascii="仿宋" w:hAnsi="仿宋" w:eastAsia="仿宋" w:cs="仿宋"/>
          <w:color w:val="auto"/>
          <w:sz w:val="32"/>
          <w:szCs w:val="32"/>
          <w:highlight w:val="none"/>
        </w:rPr>
        <w:t>乙方承担因调换、退货、补货发生的一切费用和因此造成的一切人身损害和财产损失的赔偿责任。如乙方货物全部或部分出现质量、重量、数量问题或未能按时提供货物</w:t>
      </w:r>
      <w:r>
        <w:rPr>
          <w:rFonts w:hint="eastAsia" w:ascii="仿宋" w:hAnsi="仿宋" w:eastAsia="仿宋" w:cs="仿宋"/>
          <w:color w:val="auto"/>
          <w:sz w:val="32"/>
          <w:szCs w:val="32"/>
          <w:highlight w:val="none"/>
          <w:lang w:val="en-US" w:eastAsia="zh-CN"/>
        </w:rPr>
        <w:t>或其他违反合同约定情形</w:t>
      </w:r>
      <w:r>
        <w:rPr>
          <w:rFonts w:hint="eastAsia" w:ascii="仿宋" w:hAnsi="仿宋" w:eastAsia="仿宋" w:cs="仿宋"/>
          <w:color w:val="auto"/>
          <w:sz w:val="32"/>
          <w:szCs w:val="32"/>
          <w:highlight w:val="none"/>
        </w:rPr>
        <w:t>达到</w:t>
      </w:r>
      <w:r>
        <w:rPr>
          <w:rFonts w:hint="eastAsia" w:ascii="仿宋" w:hAnsi="仿宋" w:eastAsia="仿宋" w:cs="仿宋"/>
          <w:sz w:val="32"/>
          <w:szCs w:val="32"/>
          <w:lang w:val="en-US" w:eastAsia="zh-CN"/>
        </w:rPr>
        <w:t>5</w:t>
      </w:r>
      <w:r>
        <w:rPr>
          <w:rFonts w:hint="eastAsia" w:ascii="仿宋" w:hAnsi="仿宋" w:eastAsia="仿宋" w:cs="仿宋"/>
          <w:color w:val="auto"/>
          <w:sz w:val="32"/>
          <w:szCs w:val="32"/>
          <w:highlight w:val="none"/>
        </w:rPr>
        <w:t>次以上(不含</w:t>
      </w:r>
      <w:r>
        <w:rPr>
          <w:rFonts w:hint="eastAsia" w:ascii="仿宋" w:hAnsi="仿宋" w:eastAsia="仿宋" w:cs="仿宋"/>
          <w:sz w:val="32"/>
          <w:szCs w:val="32"/>
          <w:lang w:val="en-US" w:eastAsia="zh-CN"/>
        </w:rPr>
        <w:t>5</w:t>
      </w:r>
      <w:r>
        <w:rPr>
          <w:rFonts w:hint="eastAsia" w:ascii="仿宋" w:hAnsi="仿宋" w:eastAsia="仿宋" w:cs="仿宋"/>
          <w:color w:val="auto"/>
          <w:sz w:val="32"/>
          <w:szCs w:val="32"/>
          <w:highlight w:val="none"/>
        </w:rPr>
        <w:t>次)，甲方有权解除合同，并要求乙方承担合同总价款的</w:t>
      </w:r>
      <w:r>
        <w:rPr>
          <w:rFonts w:hint="eastAsia" w:ascii="仿宋" w:hAnsi="仿宋" w:eastAsia="仿宋" w:cs="仿宋"/>
          <w:sz w:val="32"/>
          <w:szCs w:val="32"/>
          <w:lang w:val="en-US" w:eastAsia="zh-CN"/>
        </w:rPr>
        <w:t>3</w:t>
      </w:r>
      <w:r>
        <w:rPr>
          <w:rFonts w:hint="eastAsia" w:ascii="仿宋" w:hAnsi="仿宋" w:eastAsia="仿宋" w:cs="仿宋"/>
          <w:color w:val="auto"/>
          <w:sz w:val="32"/>
          <w:szCs w:val="32"/>
          <w:highlight w:val="none"/>
        </w:rPr>
        <w:t>0%违约金，造成学校人员人身损害和财产损失的，乙方负责全额赔偿并承担相应的法律责任，若因此导致甲方</w:t>
      </w:r>
      <w:r>
        <w:rPr>
          <w:rFonts w:hint="eastAsia" w:ascii="仿宋" w:hAnsi="仿宋" w:eastAsia="仿宋" w:cs="仿宋"/>
          <w:color w:val="auto"/>
          <w:sz w:val="32"/>
          <w:szCs w:val="32"/>
          <w:highlight w:val="none"/>
          <w:lang w:eastAsia="zh-CN"/>
        </w:rPr>
        <w:t>或甲方指定学校</w:t>
      </w:r>
      <w:r>
        <w:rPr>
          <w:rFonts w:hint="eastAsia" w:ascii="仿宋" w:hAnsi="仿宋" w:eastAsia="仿宋" w:cs="仿宋"/>
          <w:color w:val="auto"/>
          <w:sz w:val="32"/>
          <w:szCs w:val="32"/>
          <w:highlight w:val="none"/>
        </w:rPr>
        <w:t>向第三人</w:t>
      </w:r>
      <w:r>
        <w:rPr>
          <w:rFonts w:hint="eastAsia" w:ascii="仿宋" w:hAnsi="仿宋" w:eastAsia="仿宋" w:cs="仿宋"/>
          <w:color w:val="auto"/>
          <w:sz w:val="32"/>
          <w:szCs w:val="32"/>
          <w:highlight w:val="none"/>
          <w:lang w:eastAsia="zh-CN"/>
        </w:rPr>
        <w:t>（含法人或自然人）</w:t>
      </w:r>
      <w:r>
        <w:rPr>
          <w:rFonts w:hint="eastAsia" w:ascii="仿宋" w:hAnsi="仿宋" w:eastAsia="仿宋" w:cs="仿宋"/>
          <w:color w:val="auto"/>
          <w:sz w:val="32"/>
          <w:szCs w:val="32"/>
          <w:highlight w:val="none"/>
        </w:rPr>
        <w:t>承担赔偿责任的，第三人</w:t>
      </w:r>
      <w:r>
        <w:rPr>
          <w:rFonts w:hint="eastAsia" w:ascii="仿宋" w:hAnsi="仿宋" w:eastAsia="仿宋" w:cs="仿宋"/>
          <w:color w:val="auto"/>
          <w:sz w:val="32"/>
          <w:szCs w:val="32"/>
          <w:highlight w:val="none"/>
          <w:lang w:eastAsia="zh-CN"/>
        </w:rPr>
        <w:t>（含法人或自然人）或</w:t>
      </w:r>
      <w:r>
        <w:rPr>
          <w:rFonts w:hint="eastAsia" w:ascii="仿宋" w:hAnsi="仿宋" w:eastAsia="仿宋" w:cs="仿宋"/>
          <w:color w:val="auto"/>
          <w:sz w:val="32"/>
          <w:szCs w:val="32"/>
          <w:highlight w:val="none"/>
        </w:rPr>
        <w:t>甲方有权向乙方全额追偿</w:t>
      </w:r>
      <w:r>
        <w:rPr>
          <w:rFonts w:hint="eastAsia" w:ascii="仿宋" w:hAnsi="仿宋" w:eastAsia="仿宋" w:cs="仿宋"/>
          <w:color w:val="auto"/>
          <w:sz w:val="32"/>
          <w:szCs w:val="32"/>
          <w:highlight w:val="none"/>
          <w:lang w:eastAsia="zh-CN"/>
        </w:rPr>
        <w:t>并由乙方负责赔偿</w:t>
      </w:r>
      <w:r>
        <w:rPr>
          <w:rFonts w:hint="eastAsia" w:ascii="仿宋" w:hAnsi="仿宋" w:eastAsia="仿宋" w:cs="仿宋"/>
          <w:color w:val="auto"/>
          <w:sz w:val="32"/>
          <w:szCs w:val="32"/>
          <w:highlight w:val="none"/>
        </w:rPr>
        <w:t>。</w:t>
      </w:r>
    </w:p>
    <w:p w14:paraId="2359819A">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（五）</w:t>
      </w:r>
      <w:r>
        <w:rPr>
          <w:rFonts w:hint="eastAsia" w:ascii="仿宋" w:hAnsi="仿宋" w:eastAsia="仿宋" w:cs="仿宋"/>
          <w:sz w:val="32"/>
          <w:szCs w:val="32"/>
          <w:lang w:eastAsia="zh-CN"/>
        </w:rPr>
        <w:t>乙方</w:t>
      </w:r>
      <w:r>
        <w:rPr>
          <w:rFonts w:hint="eastAsia" w:ascii="仿宋" w:hAnsi="仿宋" w:eastAsia="仿宋" w:cs="仿宋"/>
          <w:sz w:val="32"/>
          <w:szCs w:val="32"/>
        </w:rPr>
        <w:t>所供货物出现质量问题需要退换货，一个月内累计达到两次的。乙方不能按双方约定如期交货逾期超过15天的（含累计达到15天），甲方有权解除合同，并有权要求乙方承担合同总价款</w:t>
      </w:r>
      <w:r>
        <w:rPr>
          <w:rFonts w:hint="eastAsia" w:ascii="仿宋" w:hAnsi="仿宋" w:eastAsia="仿宋" w:cs="仿宋"/>
          <w:sz w:val="32"/>
          <w:szCs w:val="32"/>
          <w:lang w:val="en-US" w:eastAsia="zh-CN"/>
        </w:rPr>
        <w:t>3</w:t>
      </w:r>
      <w:r>
        <w:rPr>
          <w:rFonts w:hint="eastAsia" w:ascii="仿宋" w:hAnsi="仿宋" w:eastAsia="仿宋" w:cs="仿宋"/>
          <w:sz w:val="32"/>
          <w:szCs w:val="32"/>
        </w:rPr>
        <w:t>0%的赔偿，因此造成第三人（含法人或自然人）或甲方损失的，乙方还应承担相应责任。</w:t>
      </w:r>
    </w:p>
    <w:p w14:paraId="0FE3BE75">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（六）</w:t>
      </w:r>
      <w:r>
        <w:rPr>
          <w:rFonts w:hint="eastAsia" w:ascii="仿宋" w:hAnsi="仿宋" w:eastAsia="仿宋" w:cs="仿宋"/>
          <w:sz w:val="32"/>
          <w:szCs w:val="32"/>
          <w:lang w:eastAsia="zh-CN"/>
        </w:rPr>
        <w:t>乙方</w:t>
      </w:r>
      <w:r>
        <w:rPr>
          <w:rFonts w:hint="eastAsia" w:ascii="仿宋" w:hAnsi="仿宋" w:eastAsia="仿宋" w:cs="仿宋"/>
          <w:sz w:val="32"/>
          <w:szCs w:val="32"/>
        </w:rPr>
        <w:t>使用非食品原料加工</w:t>
      </w:r>
      <w:r>
        <w:rPr>
          <w:rFonts w:hint="eastAsia" w:ascii="仿宋" w:hAnsi="仿宋" w:eastAsia="仿宋" w:cs="仿宋"/>
          <w:sz w:val="32"/>
          <w:szCs w:val="32"/>
          <w:lang w:eastAsia="zh-CN"/>
        </w:rPr>
        <w:t>或在食材中</w:t>
      </w:r>
      <w:r>
        <w:rPr>
          <w:rFonts w:hint="eastAsia" w:ascii="仿宋" w:hAnsi="仿宋" w:eastAsia="仿宋" w:cs="仿宋"/>
          <w:sz w:val="32"/>
          <w:szCs w:val="32"/>
        </w:rPr>
        <w:t>加入非食品用化学物质</w:t>
      </w:r>
      <w:r>
        <w:rPr>
          <w:rFonts w:hint="eastAsia" w:ascii="仿宋" w:hAnsi="仿宋" w:eastAsia="仿宋" w:cs="仿宋"/>
          <w:sz w:val="32"/>
          <w:szCs w:val="32"/>
          <w:lang w:eastAsia="zh-CN"/>
        </w:rPr>
        <w:t>、不符合生产规范和国家食品安全强制标准的</w:t>
      </w:r>
      <w:r>
        <w:rPr>
          <w:rFonts w:hint="eastAsia" w:ascii="仿宋" w:hAnsi="仿宋" w:eastAsia="仿宋" w:cs="仿宋"/>
          <w:sz w:val="32"/>
          <w:szCs w:val="32"/>
        </w:rPr>
        <w:t>其他物质</w:t>
      </w:r>
      <w:r>
        <w:rPr>
          <w:rFonts w:hint="eastAsia" w:ascii="仿宋" w:hAnsi="仿宋" w:eastAsia="仿宋" w:cs="仿宋"/>
          <w:sz w:val="32"/>
          <w:szCs w:val="32"/>
          <w:lang w:eastAsia="zh-CN"/>
        </w:rPr>
        <w:t>的</w:t>
      </w:r>
      <w:r>
        <w:rPr>
          <w:rFonts w:hint="eastAsia" w:ascii="仿宋" w:hAnsi="仿宋" w:eastAsia="仿宋" w:cs="仿宋"/>
          <w:sz w:val="32"/>
          <w:szCs w:val="32"/>
        </w:rPr>
        <w:t>。</w:t>
      </w:r>
    </w:p>
    <w:p w14:paraId="3F0C1092">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w:t>
      </w:r>
      <w:r>
        <w:rPr>
          <w:rFonts w:hint="eastAsia" w:ascii="仿宋" w:hAnsi="仿宋" w:eastAsia="仿宋" w:cs="仿宋"/>
          <w:sz w:val="32"/>
          <w:szCs w:val="32"/>
          <w:lang w:eastAsia="zh-CN"/>
        </w:rPr>
        <w:t>乙方</w:t>
      </w:r>
      <w:r>
        <w:rPr>
          <w:rFonts w:hint="eastAsia" w:ascii="仿宋" w:hAnsi="仿宋" w:eastAsia="仿宋" w:cs="仿宋"/>
          <w:sz w:val="32"/>
          <w:szCs w:val="32"/>
        </w:rPr>
        <w:t>提供的</w:t>
      </w:r>
      <w:r>
        <w:rPr>
          <w:rFonts w:hint="eastAsia" w:ascii="仿宋" w:hAnsi="仿宋" w:eastAsia="仿宋" w:cs="仿宋"/>
          <w:sz w:val="32"/>
          <w:szCs w:val="32"/>
          <w:lang w:eastAsia="zh-CN"/>
        </w:rPr>
        <w:t>食材</w:t>
      </w:r>
      <w:r>
        <w:rPr>
          <w:rFonts w:hint="eastAsia" w:ascii="仿宋" w:hAnsi="仿宋" w:eastAsia="仿宋" w:cs="仿宋"/>
          <w:sz w:val="32"/>
          <w:szCs w:val="32"/>
        </w:rPr>
        <w:t>不符合</w:t>
      </w:r>
      <w:r>
        <w:rPr>
          <w:rFonts w:hint="eastAsia" w:ascii="仿宋" w:hAnsi="仿宋" w:eastAsia="仿宋" w:cs="仿宋"/>
          <w:sz w:val="32"/>
          <w:szCs w:val="32"/>
          <w:lang w:eastAsia="zh-CN"/>
        </w:rPr>
        <w:t>食品安全和</w:t>
      </w:r>
      <w:r>
        <w:rPr>
          <w:rFonts w:hint="eastAsia" w:ascii="仿宋" w:hAnsi="仿宋" w:eastAsia="仿宋" w:cs="仿宋"/>
          <w:sz w:val="32"/>
          <w:szCs w:val="32"/>
        </w:rPr>
        <w:t>卫生条件，造成食品安全事故或其它食品安全及公共卫</w:t>
      </w:r>
      <w:r>
        <w:rPr>
          <w:rFonts w:hint="eastAsia" w:ascii="仿宋" w:hAnsi="仿宋" w:eastAsia="仿宋" w:cs="仿宋"/>
          <w:sz w:val="32"/>
          <w:szCs w:val="32"/>
          <w:lang w:eastAsia="zh-CN"/>
        </w:rPr>
        <w:t>事件</w:t>
      </w:r>
      <w:r>
        <w:rPr>
          <w:rFonts w:hint="eastAsia" w:ascii="仿宋" w:hAnsi="仿宋" w:eastAsia="仿宋" w:cs="仿宋"/>
          <w:sz w:val="32"/>
          <w:szCs w:val="32"/>
        </w:rPr>
        <w:t>的，经有关单位鉴定原因后，如确为</w:t>
      </w:r>
      <w:r>
        <w:rPr>
          <w:rFonts w:hint="eastAsia" w:ascii="仿宋" w:hAnsi="仿宋" w:eastAsia="仿宋" w:cs="仿宋"/>
          <w:sz w:val="32"/>
          <w:szCs w:val="32"/>
          <w:lang w:eastAsia="zh-CN"/>
        </w:rPr>
        <w:t>乙方</w:t>
      </w:r>
      <w:r>
        <w:rPr>
          <w:rFonts w:hint="eastAsia" w:ascii="仿宋" w:hAnsi="仿宋" w:eastAsia="仿宋" w:cs="仿宋"/>
          <w:sz w:val="32"/>
          <w:szCs w:val="32"/>
        </w:rPr>
        <w:t>提供</w:t>
      </w:r>
      <w:r>
        <w:rPr>
          <w:rFonts w:hint="eastAsia" w:ascii="仿宋" w:hAnsi="仿宋" w:eastAsia="仿宋" w:cs="仿宋"/>
          <w:sz w:val="32"/>
          <w:szCs w:val="32"/>
          <w:lang w:eastAsia="zh-CN"/>
        </w:rPr>
        <w:t>的食材</w:t>
      </w:r>
      <w:r>
        <w:rPr>
          <w:rFonts w:hint="eastAsia" w:ascii="仿宋" w:hAnsi="仿宋" w:eastAsia="仿宋" w:cs="仿宋"/>
          <w:sz w:val="32"/>
          <w:szCs w:val="32"/>
        </w:rPr>
        <w:t>导致</w:t>
      </w:r>
      <w:r>
        <w:rPr>
          <w:rFonts w:hint="eastAsia" w:ascii="仿宋" w:hAnsi="仿宋" w:eastAsia="仿宋" w:cs="仿宋"/>
          <w:sz w:val="32"/>
          <w:szCs w:val="32"/>
          <w:lang w:eastAsia="zh-CN"/>
        </w:rPr>
        <w:t>的</w:t>
      </w:r>
      <w:r>
        <w:rPr>
          <w:rFonts w:hint="eastAsia" w:ascii="仿宋" w:hAnsi="仿宋" w:eastAsia="仿宋" w:cs="仿宋"/>
          <w:sz w:val="32"/>
          <w:szCs w:val="32"/>
        </w:rPr>
        <w:t>，</w:t>
      </w:r>
      <w:r>
        <w:rPr>
          <w:rFonts w:hint="eastAsia" w:ascii="仿宋" w:hAnsi="仿宋" w:eastAsia="仿宋" w:cs="仿宋"/>
          <w:sz w:val="32"/>
          <w:szCs w:val="32"/>
          <w:lang w:eastAsia="zh-CN"/>
        </w:rPr>
        <w:t>乙方</w:t>
      </w:r>
      <w:r>
        <w:rPr>
          <w:rFonts w:hint="eastAsia" w:ascii="仿宋" w:hAnsi="仿宋" w:eastAsia="仿宋" w:cs="仿宋"/>
          <w:sz w:val="32"/>
          <w:szCs w:val="32"/>
        </w:rPr>
        <w:t>除需负担全部医药费外，</w:t>
      </w:r>
      <w:r>
        <w:rPr>
          <w:rFonts w:hint="eastAsia" w:ascii="仿宋" w:hAnsi="仿宋" w:eastAsia="仿宋" w:cs="仿宋"/>
          <w:sz w:val="28"/>
          <w:szCs w:val="28"/>
          <w:lang w:val="en-US" w:eastAsia="zh-CN"/>
        </w:rPr>
        <w:t>乙方同时承担相应的民事及刑事和其他法律责任和第三方应追诉的责任，甲方对乙方的过错行为不承担任何责任，如因乙方行为导致甲方产生损失的，甲方有权向乙方追偿，有关监管部门和执法部门有权依法作出进一步处理。</w:t>
      </w:r>
      <w:r>
        <w:rPr>
          <w:rFonts w:hint="eastAsia" w:ascii="仿宋" w:hAnsi="仿宋" w:eastAsia="仿宋" w:cs="仿宋"/>
          <w:sz w:val="32"/>
          <w:szCs w:val="32"/>
        </w:rPr>
        <w:t>。</w:t>
      </w:r>
    </w:p>
    <w:p w14:paraId="7E5293FC">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w:t>
      </w:r>
      <w:r>
        <w:rPr>
          <w:rFonts w:hint="eastAsia" w:ascii="仿宋" w:hAnsi="仿宋" w:eastAsia="仿宋" w:cs="仿宋"/>
          <w:sz w:val="32"/>
          <w:szCs w:val="32"/>
          <w:lang w:eastAsia="zh-CN"/>
        </w:rPr>
        <w:t>乙方</w:t>
      </w:r>
      <w:r>
        <w:rPr>
          <w:rFonts w:hint="eastAsia" w:ascii="仿宋" w:hAnsi="仿宋" w:eastAsia="仿宋" w:cs="仿宋"/>
          <w:sz w:val="32"/>
          <w:szCs w:val="32"/>
        </w:rPr>
        <w:t>存在其他违反采购文件、采购程序或有关</w:t>
      </w:r>
      <w:r>
        <w:rPr>
          <w:rFonts w:hint="eastAsia" w:ascii="仿宋" w:hAnsi="仿宋" w:eastAsia="仿宋" w:cs="仿宋"/>
          <w:sz w:val="32"/>
          <w:szCs w:val="32"/>
          <w:lang w:eastAsia="zh-CN"/>
        </w:rPr>
        <w:t>公平公正竞争</w:t>
      </w:r>
      <w:r>
        <w:rPr>
          <w:rFonts w:hint="eastAsia" w:ascii="仿宋" w:hAnsi="仿宋" w:eastAsia="仿宋" w:cs="仿宋"/>
          <w:sz w:val="32"/>
          <w:szCs w:val="32"/>
        </w:rPr>
        <w:t>要求的。</w:t>
      </w:r>
    </w:p>
    <w:p w14:paraId="0389D092">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九</w:t>
      </w:r>
      <w:r>
        <w:rPr>
          <w:rFonts w:hint="eastAsia" w:ascii="仿宋" w:hAnsi="仿宋" w:eastAsia="仿宋" w:cs="仿宋"/>
          <w:sz w:val="32"/>
          <w:szCs w:val="32"/>
        </w:rPr>
        <w:t>）不符合《教育部等七部门关于印发&lt;农村义务教育学生营养改善计划实施办法&gt;的通知》(财教(2022)2号)文件关于食品</w:t>
      </w:r>
      <w:r>
        <w:rPr>
          <w:rFonts w:hint="eastAsia" w:ascii="仿宋" w:hAnsi="仿宋" w:eastAsia="仿宋" w:cs="仿宋"/>
          <w:sz w:val="32"/>
          <w:szCs w:val="32"/>
          <w:lang w:eastAsia="zh-CN"/>
        </w:rPr>
        <w:t>和食材</w:t>
      </w:r>
      <w:r>
        <w:rPr>
          <w:rFonts w:hint="eastAsia" w:ascii="仿宋" w:hAnsi="仿宋" w:eastAsia="仿宋" w:cs="仿宋"/>
          <w:sz w:val="32"/>
          <w:szCs w:val="32"/>
        </w:rPr>
        <w:t>供应的有关要求或其它国家有关法律法规以及上级有关政策制度的。</w:t>
      </w:r>
    </w:p>
    <w:p w14:paraId="0AE26878">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七</w:t>
      </w:r>
      <w:r>
        <w:rPr>
          <w:rFonts w:hint="eastAsia" w:ascii="黑体" w:hAnsi="黑体" w:eastAsia="黑体" w:cs="黑体"/>
          <w:b w:val="0"/>
          <w:bCs/>
          <w:kern w:val="2"/>
          <w:sz w:val="32"/>
          <w:szCs w:val="32"/>
        </w:rPr>
        <w:t>、</w:t>
      </w:r>
      <w:r>
        <w:rPr>
          <w:rFonts w:hint="eastAsia" w:ascii="黑体" w:hAnsi="黑体" w:eastAsia="黑体" w:cs="黑体"/>
          <w:b w:val="0"/>
          <w:bCs/>
          <w:kern w:val="2"/>
          <w:sz w:val="32"/>
          <w:szCs w:val="32"/>
          <w:lang w:eastAsia="zh-CN"/>
        </w:rPr>
        <w:t>管理、储存、</w:t>
      </w:r>
      <w:r>
        <w:rPr>
          <w:rFonts w:hint="eastAsia" w:ascii="黑体" w:hAnsi="黑体" w:eastAsia="黑体" w:cs="黑体"/>
          <w:b w:val="0"/>
          <w:bCs/>
          <w:kern w:val="2"/>
          <w:sz w:val="32"/>
          <w:szCs w:val="32"/>
        </w:rPr>
        <w:t>验收、交付标准和方法</w:t>
      </w:r>
    </w:p>
    <w:p w14:paraId="1CD36DA3">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（一）乙方</w:t>
      </w:r>
      <w:r>
        <w:rPr>
          <w:rFonts w:hint="eastAsia" w:ascii="仿宋_GB2312" w:hAnsi="仿宋_GB2312" w:eastAsia="仿宋_GB2312" w:cs="仿宋_GB2312"/>
          <w:b w:val="0"/>
          <w:bCs/>
          <w:kern w:val="2"/>
          <w:sz w:val="32"/>
          <w:szCs w:val="32"/>
        </w:rPr>
        <w:t>应配备</w:t>
      </w:r>
      <w:r>
        <w:rPr>
          <w:rFonts w:hint="eastAsia" w:ascii="仿宋_GB2312" w:hAnsi="仿宋_GB2312" w:eastAsia="仿宋_GB2312" w:cs="仿宋_GB2312"/>
          <w:b w:val="0"/>
          <w:bCs/>
          <w:kern w:val="2"/>
          <w:sz w:val="32"/>
          <w:szCs w:val="32"/>
          <w:lang w:eastAsia="zh-CN"/>
        </w:rPr>
        <w:t>临高</w:t>
      </w:r>
      <w:r>
        <w:rPr>
          <w:rFonts w:hint="eastAsia" w:ascii="仿宋_GB2312" w:hAnsi="仿宋_GB2312" w:eastAsia="仿宋_GB2312" w:cs="仿宋_GB2312"/>
          <w:b w:val="0"/>
          <w:bCs/>
          <w:kern w:val="2"/>
          <w:sz w:val="32"/>
          <w:szCs w:val="32"/>
        </w:rPr>
        <w:t>县域内专职负责人和专职食品安全管理员，专职负责人应具有三年以上食品原材料供应管理经验 (负责人1名，专&lt;兼&gt;职</w:t>
      </w:r>
      <w:r>
        <w:rPr>
          <w:rFonts w:hint="eastAsia" w:ascii="仿宋_GB2312" w:hAnsi="仿宋_GB2312" w:eastAsia="仿宋_GB2312" w:cs="仿宋_GB2312"/>
          <w:b w:val="0"/>
          <w:bCs/>
          <w:kern w:val="2"/>
          <w:sz w:val="32"/>
          <w:szCs w:val="32"/>
          <w:lang w:eastAsia="zh-CN"/>
        </w:rPr>
        <w:t>管理人员</w:t>
      </w:r>
      <w:r>
        <w:rPr>
          <w:rFonts w:hint="eastAsia" w:ascii="仿宋_GB2312" w:hAnsi="仿宋_GB2312" w:eastAsia="仿宋_GB2312" w:cs="仿宋_GB2312"/>
          <w:b w:val="0"/>
          <w:bCs/>
          <w:kern w:val="2"/>
          <w:sz w:val="32"/>
          <w:szCs w:val="32"/>
        </w:rPr>
        <w:t>4名以上，食品检验师1名)，掌握食品质量安全相关的法律法规知识，具有良好的思想素质和职业道德。专职食品安全管理员应在市场监督管理部门组织的培训考核中合格，并持有企业法人颁发的聘用证书，落实日常食品安全管理工作检查制度，建立食品安全工作巡检制度，并做好检查、巡检记录和存档</w:t>
      </w:r>
      <w:r>
        <w:rPr>
          <w:rFonts w:hint="eastAsia" w:ascii="仿宋_GB2312" w:hAnsi="仿宋_GB2312" w:eastAsia="仿宋_GB2312" w:cs="仿宋_GB2312"/>
          <w:b w:val="0"/>
          <w:bCs/>
          <w:kern w:val="2"/>
          <w:sz w:val="32"/>
          <w:szCs w:val="32"/>
          <w:lang w:eastAsia="zh-CN"/>
        </w:rPr>
        <w:t>，</w:t>
      </w:r>
      <w:r>
        <w:rPr>
          <w:rFonts w:hint="eastAsia" w:ascii="仿宋_GB2312" w:hAnsi="仿宋_GB2312" w:eastAsia="仿宋_GB2312" w:cs="仿宋_GB2312"/>
          <w:b w:val="0"/>
          <w:bCs/>
          <w:kern w:val="2"/>
          <w:sz w:val="32"/>
          <w:szCs w:val="32"/>
          <w:lang w:val="en-US" w:eastAsia="zh-CN"/>
        </w:rPr>
        <w:t>并定期提交给甲方核查</w:t>
      </w:r>
      <w:r>
        <w:rPr>
          <w:rFonts w:hint="eastAsia" w:ascii="仿宋_GB2312" w:hAnsi="仿宋_GB2312" w:eastAsia="仿宋_GB2312" w:cs="仿宋_GB2312"/>
          <w:b w:val="0"/>
          <w:bCs/>
          <w:kern w:val="2"/>
          <w:sz w:val="32"/>
          <w:szCs w:val="32"/>
        </w:rPr>
        <w:t>。</w:t>
      </w:r>
      <w:r>
        <w:rPr>
          <w:rFonts w:hint="eastAsia" w:ascii="仿宋_GB2312" w:hAnsi="仿宋_GB2312" w:eastAsia="仿宋_GB2312" w:cs="仿宋_GB2312"/>
          <w:b w:val="0"/>
          <w:bCs/>
          <w:color w:val="auto"/>
          <w:spacing w:val="0"/>
          <w:kern w:val="2"/>
          <w:sz w:val="32"/>
          <w:szCs w:val="32"/>
        </w:rPr>
        <w:t>甲方学校在乙方交付货品时验收合格并不免除乙方对货品质量安全承担保证的责任。</w:t>
      </w:r>
    </w:p>
    <w:p w14:paraId="5598D3FD">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（二）乙方</w:t>
      </w:r>
      <w:r>
        <w:rPr>
          <w:rFonts w:hint="eastAsia" w:ascii="仿宋_GB2312" w:hAnsi="仿宋_GB2312" w:eastAsia="仿宋_GB2312" w:cs="仿宋_GB2312"/>
          <w:b w:val="0"/>
          <w:bCs/>
          <w:kern w:val="2"/>
          <w:sz w:val="32"/>
          <w:szCs w:val="32"/>
        </w:rPr>
        <w:t>所有从业人员</w:t>
      </w:r>
      <w:r>
        <w:rPr>
          <w:rFonts w:hint="eastAsia" w:ascii="仿宋_GB2312" w:hAnsi="仿宋_GB2312" w:eastAsia="仿宋_GB2312" w:cs="仿宋_GB2312"/>
          <w:b w:val="0"/>
          <w:bCs/>
          <w:kern w:val="2"/>
          <w:sz w:val="32"/>
          <w:szCs w:val="32"/>
          <w:lang w:val="en-US" w:eastAsia="zh-CN"/>
        </w:rPr>
        <w:t>以及配送人员</w:t>
      </w:r>
      <w:r>
        <w:rPr>
          <w:rFonts w:hint="eastAsia" w:ascii="仿宋_GB2312" w:hAnsi="仿宋_GB2312" w:eastAsia="仿宋_GB2312" w:cs="仿宋_GB2312"/>
          <w:b w:val="0"/>
          <w:bCs/>
          <w:kern w:val="2"/>
          <w:sz w:val="32"/>
          <w:szCs w:val="32"/>
        </w:rPr>
        <w:t>应持有有效的健康证，并经食品安全知识培训合格。</w:t>
      </w:r>
      <w:r>
        <w:rPr>
          <w:rFonts w:hint="eastAsia" w:ascii="仿宋_GB2312" w:hAnsi="仿宋_GB2312" w:eastAsia="仿宋_GB2312" w:cs="仿宋_GB2312"/>
          <w:b w:val="0"/>
          <w:bCs/>
          <w:color w:val="auto"/>
          <w:spacing w:val="0"/>
          <w:kern w:val="2"/>
          <w:sz w:val="32"/>
          <w:szCs w:val="32"/>
          <w:highlight w:val="none"/>
        </w:rPr>
        <w:t>第一次送货时，乙方必须提供营业执照，食品生产许可证等相关</w:t>
      </w:r>
      <w:r>
        <w:rPr>
          <w:rFonts w:hint="eastAsia" w:ascii="仿宋_GB2312" w:hAnsi="仿宋_GB2312" w:eastAsia="仿宋_GB2312" w:cs="仿宋_GB2312"/>
          <w:b w:val="0"/>
          <w:bCs/>
          <w:color w:val="auto"/>
          <w:spacing w:val="0"/>
          <w:kern w:val="2"/>
          <w:sz w:val="32"/>
          <w:szCs w:val="32"/>
          <w:highlight w:val="none"/>
          <w:lang w:eastAsia="zh-CN"/>
        </w:rPr>
        <w:t>食品销售、运输等一切必要工作的证件的</w:t>
      </w:r>
      <w:r>
        <w:rPr>
          <w:rFonts w:hint="eastAsia" w:ascii="仿宋_GB2312" w:hAnsi="仿宋_GB2312" w:eastAsia="仿宋_GB2312" w:cs="仿宋_GB2312"/>
          <w:b w:val="0"/>
          <w:bCs/>
          <w:color w:val="auto"/>
          <w:spacing w:val="0"/>
          <w:kern w:val="2"/>
          <w:sz w:val="32"/>
          <w:szCs w:val="32"/>
          <w:highlight w:val="none"/>
        </w:rPr>
        <w:t>复印件给学校存档备查。</w:t>
      </w:r>
    </w:p>
    <w:p w14:paraId="72FA7BB2">
      <w:pPr>
        <w:pStyle w:val="16"/>
        <w:pageBreakBefore w:val="0"/>
        <w:widowControl w:val="0"/>
        <w:tabs>
          <w:tab w:val="left" w:pos="540"/>
        </w:tabs>
        <w:kinsoku/>
        <w:wordWrap/>
        <w:overflowPunct/>
        <w:topLinePunct w:val="0"/>
        <w:bidi w:val="0"/>
        <w:snapToGrid/>
        <w:spacing w:before="0" w:line="560" w:lineRule="exact"/>
        <w:ind w:firstLine="640" w:firstLineChars="200"/>
        <w:jc w:val="left"/>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（三）乙方</w:t>
      </w:r>
      <w:r>
        <w:rPr>
          <w:rFonts w:hint="eastAsia" w:ascii="仿宋_GB2312" w:hAnsi="仿宋_GB2312" w:eastAsia="仿宋_GB2312" w:cs="仿宋_GB2312"/>
          <w:b w:val="0"/>
          <w:bCs/>
          <w:kern w:val="2"/>
          <w:sz w:val="32"/>
          <w:szCs w:val="32"/>
        </w:rPr>
        <w:t>应有完整的组织机构，有健全的规章制度，包括人事管理、用工培训、工作规范、卫生保障、安全防患、应急处置、文明服务、价格管理等</w:t>
      </w:r>
      <w:r>
        <w:rPr>
          <w:rFonts w:hint="eastAsia" w:ascii="仿宋_GB2312" w:hAnsi="仿宋_GB2312" w:eastAsia="仿宋_GB2312" w:cs="仿宋_GB2312"/>
          <w:b w:val="0"/>
          <w:bCs/>
          <w:kern w:val="2"/>
          <w:sz w:val="32"/>
          <w:szCs w:val="32"/>
          <w:lang w:eastAsia="zh-CN"/>
        </w:rPr>
        <w:t>必要的制度和其它食品管理和营养餐管理的相关</w:t>
      </w:r>
      <w:r>
        <w:rPr>
          <w:rFonts w:hint="eastAsia" w:ascii="仿宋_GB2312" w:hAnsi="仿宋_GB2312" w:eastAsia="仿宋_GB2312" w:cs="仿宋_GB2312"/>
          <w:b w:val="0"/>
          <w:bCs/>
          <w:kern w:val="2"/>
          <w:sz w:val="32"/>
          <w:szCs w:val="32"/>
        </w:rPr>
        <w:t>制度。</w:t>
      </w:r>
      <w:r>
        <w:rPr>
          <w:rFonts w:hint="eastAsia" w:ascii="仿宋_GB2312" w:hAnsi="仿宋_GB2312" w:eastAsia="仿宋_GB2312" w:cs="仿宋_GB2312"/>
          <w:b w:val="0"/>
          <w:bCs/>
          <w:color w:val="auto"/>
          <w:kern w:val="2"/>
          <w:sz w:val="32"/>
          <w:szCs w:val="32"/>
          <w:highlight w:val="none"/>
          <w:lang w:val="en-US" w:eastAsia="zh-CN"/>
        </w:rPr>
        <w:t>服务期内每学期接受甲方评估考核。</w:t>
      </w:r>
    </w:p>
    <w:p w14:paraId="49B89606">
      <w:pPr>
        <w:pStyle w:val="16"/>
        <w:pageBreakBefore w:val="0"/>
        <w:widowControl w:val="0"/>
        <w:tabs>
          <w:tab w:val="left" w:pos="540"/>
        </w:tabs>
        <w:kinsoku/>
        <w:wordWrap/>
        <w:overflowPunct/>
        <w:topLinePunct w:val="0"/>
        <w:bidi w:val="0"/>
        <w:snapToGrid/>
        <w:spacing w:before="0" w:line="560" w:lineRule="exact"/>
        <w:ind w:firstLine="640" w:firstLineChars="200"/>
        <w:jc w:val="left"/>
        <w:rPr>
          <w:rFonts w:hint="eastAsia" w:ascii="仿宋_GB2312" w:hAnsi="仿宋_GB2312" w:eastAsia="仿宋_GB2312" w:cs="仿宋_GB2312"/>
          <w:b w:val="0"/>
          <w:bCs/>
          <w:spacing w:val="0"/>
          <w:kern w:val="2"/>
          <w:sz w:val="32"/>
          <w:szCs w:val="32"/>
        </w:rPr>
      </w:pPr>
      <w:r>
        <w:rPr>
          <w:rFonts w:hint="eastAsia" w:ascii="仿宋_GB2312" w:hAnsi="仿宋_GB2312" w:eastAsia="仿宋_GB2312" w:cs="仿宋_GB2312"/>
          <w:b w:val="0"/>
          <w:bCs/>
          <w:kern w:val="2"/>
          <w:sz w:val="32"/>
          <w:szCs w:val="32"/>
          <w:lang w:eastAsia="zh-CN"/>
        </w:rPr>
        <w:t>（四）乙方</w:t>
      </w:r>
      <w:r>
        <w:rPr>
          <w:rFonts w:hint="eastAsia" w:ascii="仿宋_GB2312" w:hAnsi="仿宋_GB2312" w:eastAsia="仿宋_GB2312" w:cs="仿宋_GB2312"/>
          <w:b w:val="0"/>
          <w:bCs/>
          <w:kern w:val="2"/>
          <w:sz w:val="32"/>
          <w:szCs w:val="32"/>
        </w:rPr>
        <w:t>应选择安全、质优</w:t>
      </w:r>
      <w:r>
        <w:rPr>
          <w:rFonts w:hint="eastAsia" w:ascii="仿宋_GB2312" w:hAnsi="仿宋_GB2312" w:eastAsia="仿宋_GB2312" w:cs="仿宋_GB2312"/>
          <w:b w:val="0"/>
          <w:bCs/>
          <w:kern w:val="2"/>
          <w:sz w:val="32"/>
          <w:szCs w:val="32"/>
          <w:lang w:val="en-US" w:eastAsia="zh-CN"/>
        </w:rPr>
        <w:t>且</w:t>
      </w:r>
      <w:r>
        <w:rPr>
          <w:rFonts w:hint="eastAsia" w:ascii="仿宋_GB2312" w:hAnsi="仿宋_GB2312" w:eastAsia="仿宋_GB2312" w:cs="仿宋_GB2312"/>
          <w:b w:val="0"/>
          <w:bCs/>
          <w:kern w:val="2"/>
          <w:sz w:val="32"/>
          <w:szCs w:val="32"/>
        </w:rPr>
        <w:t>价廉的</w:t>
      </w:r>
      <w:r>
        <w:rPr>
          <w:rFonts w:hint="eastAsia" w:ascii="仿宋_GB2312" w:hAnsi="仿宋_GB2312" w:eastAsia="仿宋_GB2312" w:cs="仿宋_GB2312"/>
          <w:b w:val="0"/>
          <w:bCs/>
          <w:kern w:val="2"/>
          <w:sz w:val="32"/>
          <w:szCs w:val="32"/>
          <w:lang w:eastAsia="zh-CN"/>
        </w:rPr>
        <w:t>食材</w:t>
      </w:r>
      <w:r>
        <w:rPr>
          <w:rFonts w:hint="eastAsia" w:ascii="仿宋_GB2312" w:hAnsi="仿宋_GB2312" w:eastAsia="仿宋_GB2312" w:cs="仿宋_GB2312"/>
          <w:b w:val="0"/>
          <w:bCs/>
          <w:kern w:val="2"/>
          <w:sz w:val="32"/>
          <w:szCs w:val="32"/>
        </w:rPr>
        <w:t>，所有</w:t>
      </w:r>
      <w:r>
        <w:rPr>
          <w:rFonts w:hint="eastAsia" w:ascii="仿宋_GB2312" w:hAnsi="仿宋_GB2312" w:eastAsia="仿宋_GB2312" w:cs="仿宋_GB2312"/>
          <w:b w:val="0"/>
          <w:bCs/>
          <w:kern w:val="2"/>
          <w:sz w:val="32"/>
          <w:szCs w:val="32"/>
          <w:lang w:eastAsia="zh-CN"/>
        </w:rPr>
        <w:t>食材应</w:t>
      </w:r>
      <w:r>
        <w:rPr>
          <w:rFonts w:hint="eastAsia" w:ascii="仿宋_GB2312" w:hAnsi="仿宋_GB2312" w:eastAsia="仿宋_GB2312" w:cs="仿宋_GB2312"/>
          <w:b w:val="0"/>
          <w:bCs/>
          <w:kern w:val="2"/>
          <w:sz w:val="32"/>
          <w:szCs w:val="32"/>
        </w:rPr>
        <w:t>做到100%可</w:t>
      </w:r>
      <w:r>
        <w:rPr>
          <w:rFonts w:hint="eastAsia" w:ascii="仿宋_GB2312" w:hAnsi="仿宋_GB2312" w:eastAsia="仿宋_GB2312" w:cs="仿宋_GB2312"/>
          <w:b w:val="0"/>
          <w:bCs/>
          <w:kern w:val="2"/>
          <w:sz w:val="32"/>
          <w:szCs w:val="32"/>
          <w:lang w:eastAsia="zh-CN"/>
        </w:rPr>
        <w:t>溯源，满足市监部门索证索票要求的全部证明</w:t>
      </w:r>
      <w:r>
        <w:rPr>
          <w:rFonts w:hint="eastAsia" w:ascii="仿宋_GB2312" w:hAnsi="仿宋_GB2312" w:eastAsia="仿宋_GB2312" w:cs="仿宋_GB2312"/>
          <w:b w:val="0"/>
          <w:bCs/>
          <w:kern w:val="2"/>
          <w:sz w:val="32"/>
          <w:szCs w:val="32"/>
        </w:rPr>
        <w:t>。</w:t>
      </w:r>
      <w:r>
        <w:rPr>
          <w:rFonts w:hint="eastAsia" w:ascii="仿宋_GB2312" w:hAnsi="仿宋_GB2312" w:eastAsia="仿宋_GB2312" w:cs="仿宋_GB2312"/>
          <w:b w:val="0"/>
          <w:bCs/>
          <w:color w:val="auto"/>
          <w:kern w:val="2"/>
          <w:sz w:val="32"/>
          <w:szCs w:val="32"/>
          <w:highlight w:val="none"/>
          <w:lang w:eastAsia="zh-CN"/>
        </w:rPr>
        <w:t>未经甲方允许，不得擅自调整配送产品。</w:t>
      </w:r>
      <w:r>
        <w:rPr>
          <w:rFonts w:hint="eastAsia" w:ascii="仿宋_GB2312" w:hAnsi="仿宋_GB2312" w:eastAsia="仿宋_GB2312" w:cs="仿宋_GB2312"/>
          <w:b w:val="0"/>
          <w:bCs/>
          <w:color w:val="auto"/>
          <w:spacing w:val="0"/>
          <w:kern w:val="2"/>
          <w:sz w:val="32"/>
          <w:szCs w:val="32"/>
          <w:highlight w:val="none"/>
        </w:rPr>
        <w:t>验收合格后</w:t>
      </w:r>
      <w:r>
        <w:rPr>
          <w:rFonts w:hint="eastAsia" w:ascii="仿宋_GB2312" w:hAnsi="仿宋_GB2312" w:eastAsia="仿宋_GB2312" w:cs="仿宋_GB2312"/>
          <w:b w:val="0"/>
          <w:bCs/>
          <w:color w:val="auto"/>
          <w:spacing w:val="0"/>
          <w:kern w:val="2"/>
          <w:sz w:val="32"/>
          <w:szCs w:val="32"/>
          <w:highlight w:val="none"/>
          <w:lang w:val="en-US" w:eastAsia="zh-CN"/>
        </w:rPr>
        <w:t>乙方和甲方指定学校</w:t>
      </w:r>
      <w:r>
        <w:rPr>
          <w:rFonts w:hint="eastAsia" w:ascii="仿宋_GB2312" w:hAnsi="仿宋_GB2312" w:eastAsia="仿宋_GB2312" w:cs="仿宋_GB2312"/>
          <w:b w:val="0"/>
          <w:bCs/>
          <w:color w:val="auto"/>
          <w:spacing w:val="0"/>
          <w:kern w:val="2"/>
          <w:sz w:val="32"/>
          <w:szCs w:val="32"/>
          <w:highlight w:val="none"/>
        </w:rPr>
        <w:t>在验收单(至少一式三份，甲方、乙方和学校均需留存)上签字确认且加盖公章，交货验收单和学校月报表作为结算货款的依据。</w:t>
      </w:r>
      <w:r>
        <w:rPr>
          <w:rFonts w:hint="eastAsia" w:ascii="仿宋_GB2312" w:hAnsi="仿宋_GB2312" w:eastAsia="仿宋_GB2312" w:cs="仿宋_GB2312"/>
          <w:b w:val="0"/>
          <w:bCs/>
          <w:color w:val="auto"/>
          <w:kern w:val="2"/>
          <w:sz w:val="32"/>
          <w:szCs w:val="32"/>
          <w:highlight w:val="none"/>
          <w:lang w:val="en-US" w:eastAsia="zh-CN"/>
        </w:rPr>
        <w:t>乙方供餐不符合合同约定</w:t>
      </w:r>
      <w:r>
        <w:rPr>
          <w:rFonts w:hint="eastAsia" w:ascii="仿宋_GB2312" w:hAnsi="仿宋_GB2312" w:eastAsia="仿宋_GB2312" w:cs="仿宋_GB2312"/>
          <w:b w:val="0"/>
          <w:bCs/>
          <w:color w:val="auto"/>
          <w:kern w:val="2"/>
          <w:sz w:val="32"/>
          <w:szCs w:val="32"/>
          <w:highlight w:val="none"/>
        </w:rPr>
        <w:t>的，学校有权拒收。</w:t>
      </w:r>
      <w:r>
        <w:rPr>
          <w:rFonts w:hint="eastAsia" w:ascii="仿宋_GB2312" w:hAnsi="仿宋_GB2312" w:eastAsia="仿宋_GB2312" w:cs="仿宋_GB2312"/>
          <w:b w:val="0"/>
          <w:bCs/>
          <w:color w:val="auto"/>
          <w:spacing w:val="0"/>
          <w:kern w:val="2"/>
          <w:sz w:val="32"/>
          <w:szCs w:val="32"/>
          <w:highlight w:val="none"/>
        </w:rPr>
        <w:t>所有损失由乙方承担。</w:t>
      </w:r>
    </w:p>
    <w:p w14:paraId="6AD91802">
      <w:pPr>
        <w:pStyle w:val="16"/>
        <w:pageBreakBefore w:val="0"/>
        <w:widowControl w:val="0"/>
        <w:tabs>
          <w:tab w:val="left" w:pos="540"/>
        </w:tabs>
        <w:kinsoku/>
        <w:wordWrap/>
        <w:overflowPunct/>
        <w:topLinePunct w:val="0"/>
        <w:bidi w:val="0"/>
        <w:snapToGrid/>
        <w:spacing w:before="0" w:line="560" w:lineRule="exact"/>
        <w:ind w:firstLine="640" w:firstLineChars="200"/>
        <w:jc w:val="left"/>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（五）乙方</w:t>
      </w:r>
      <w:r>
        <w:rPr>
          <w:rFonts w:hint="eastAsia" w:ascii="仿宋_GB2312" w:hAnsi="仿宋_GB2312" w:eastAsia="仿宋_GB2312" w:cs="仿宋_GB2312"/>
          <w:b w:val="0"/>
          <w:bCs/>
          <w:color w:val="auto"/>
          <w:kern w:val="2"/>
          <w:sz w:val="32"/>
          <w:szCs w:val="32"/>
          <w:highlight w:val="none"/>
        </w:rPr>
        <w:t>对每批次出厂的配送食品都留样备</w:t>
      </w:r>
      <w:r>
        <w:rPr>
          <w:rFonts w:hint="eastAsia" w:ascii="仿宋_GB2312" w:hAnsi="仿宋_GB2312" w:eastAsia="仿宋_GB2312" w:cs="仿宋_GB2312"/>
          <w:b w:val="0"/>
          <w:bCs/>
          <w:color w:val="auto"/>
          <w:spacing w:val="0"/>
          <w:kern w:val="2"/>
          <w:sz w:val="32"/>
          <w:szCs w:val="32"/>
          <w:highlight w:val="none"/>
        </w:rPr>
        <w:t>查</w:t>
      </w:r>
      <w:r>
        <w:rPr>
          <w:rFonts w:hint="eastAsia" w:ascii="仿宋_GB2312" w:hAnsi="仿宋_GB2312" w:eastAsia="仿宋_GB2312" w:cs="仿宋_GB2312"/>
          <w:b w:val="0"/>
          <w:bCs/>
          <w:color w:val="auto"/>
          <w:spacing w:val="0"/>
          <w:kern w:val="2"/>
          <w:sz w:val="32"/>
          <w:szCs w:val="32"/>
          <w:highlight w:val="none"/>
          <w:lang w:eastAsia="zh-CN"/>
        </w:rPr>
        <w:t>，在仓库或甲方学校留样后的食品应予以无害化处理，不得回收后再次使用</w:t>
      </w:r>
      <w:r>
        <w:rPr>
          <w:rFonts w:hint="eastAsia" w:ascii="仿宋_GB2312" w:hAnsi="仿宋_GB2312" w:eastAsia="仿宋_GB2312" w:cs="仿宋_GB2312"/>
          <w:b w:val="0"/>
          <w:bCs/>
          <w:color w:val="auto"/>
          <w:spacing w:val="0"/>
          <w:kern w:val="2"/>
          <w:sz w:val="32"/>
          <w:szCs w:val="32"/>
          <w:highlight w:val="none"/>
        </w:rPr>
        <w:t>，</w:t>
      </w:r>
      <w:r>
        <w:rPr>
          <w:rFonts w:hint="eastAsia" w:ascii="仿宋_GB2312" w:hAnsi="仿宋_GB2312" w:eastAsia="仿宋_GB2312" w:cs="仿宋_GB2312"/>
          <w:b w:val="0"/>
          <w:bCs/>
          <w:color w:val="auto"/>
          <w:spacing w:val="0"/>
          <w:kern w:val="2"/>
          <w:sz w:val="32"/>
          <w:szCs w:val="32"/>
          <w:highlight w:val="none"/>
          <w:lang w:eastAsia="zh-CN"/>
        </w:rPr>
        <w:t>乙方</w:t>
      </w:r>
      <w:r>
        <w:rPr>
          <w:rFonts w:hint="eastAsia" w:ascii="仿宋_GB2312" w:hAnsi="仿宋_GB2312" w:eastAsia="仿宋_GB2312" w:cs="仿宋_GB2312"/>
          <w:b w:val="0"/>
          <w:bCs/>
          <w:color w:val="auto"/>
          <w:spacing w:val="0"/>
          <w:kern w:val="2"/>
          <w:sz w:val="32"/>
          <w:szCs w:val="32"/>
          <w:highlight w:val="none"/>
          <w:lang w:val="en-US" w:eastAsia="zh-CN"/>
        </w:rPr>
        <w:t>无条件对学校足额提供配送当批次的留样产品（如同一次配送中有不同的生产批次的产品，则每批次都应留样），留样产品的费用由乙方承担</w:t>
      </w:r>
      <w:r>
        <w:rPr>
          <w:rFonts w:hint="eastAsia" w:ascii="仿宋_GB2312" w:hAnsi="仿宋_GB2312" w:eastAsia="仿宋_GB2312" w:cs="仿宋_GB2312"/>
          <w:b w:val="0"/>
          <w:bCs/>
          <w:color w:val="auto"/>
          <w:kern w:val="2"/>
          <w:sz w:val="32"/>
          <w:szCs w:val="32"/>
          <w:highlight w:val="none"/>
        </w:rPr>
        <w:t>。</w:t>
      </w:r>
    </w:p>
    <w:p w14:paraId="2CA9FAE4">
      <w:pPr>
        <w:pStyle w:val="16"/>
        <w:pageBreakBefore w:val="0"/>
        <w:widowControl w:val="0"/>
        <w:tabs>
          <w:tab w:val="left" w:pos="540"/>
        </w:tabs>
        <w:kinsoku/>
        <w:wordWrap/>
        <w:overflowPunct/>
        <w:topLinePunct w:val="0"/>
        <w:bidi w:val="0"/>
        <w:snapToGrid/>
        <w:spacing w:before="0" w:line="560" w:lineRule="exact"/>
        <w:ind w:firstLine="640" w:firstLineChars="200"/>
        <w:jc w:val="left"/>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（六）</w:t>
      </w:r>
      <w:r>
        <w:rPr>
          <w:rFonts w:hint="eastAsia" w:ascii="仿宋_GB2312" w:hAnsi="仿宋_GB2312" w:eastAsia="仿宋_GB2312" w:cs="仿宋_GB2312"/>
          <w:b w:val="0"/>
          <w:bCs/>
          <w:color w:val="auto"/>
          <w:kern w:val="2"/>
          <w:sz w:val="32"/>
          <w:szCs w:val="32"/>
          <w:highlight w:val="none"/>
        </w:rPr>
        <w:t>乙方应向社会保险机构购买责任保险以确保本项目的正常运行</w:t>
      </w:r>
      <w:r>
        <w:rPr>
          <w:rFonts w:hint="eastAsia" w:ascii="仿宋_GB2312" w:hAnsi="仿宋_GB2312" w:eastAsia="仿宋_GB2312" w:cs="仿宋_GB2312"/>
          <w:b w:val="0"/>
          <w:bCs/>
          <w:color w:val="auto"/>
          <w:kern w:val="2"/>
          <w:sz w:val="32"/>
          <w:szCs w:val="32"/>
          <w:highlight w:val="none"/>
          <w:lang w:eastAsia="zh-CN"/>
        </w:rPr>
        <w:t>，</w:t>
      </w:r>
      <w:r>
        <w:rPr>
          <w:rFonts w:hint="eastAsia" w:ascii="仿宋_GB2312" w:hAnsi="仿宋_GB2312" w:eastAsia="仿宋_GB2312" w:cs="仿宋_GB2312"/>
          <w:b w:val="0"/>
          <w:bCs/>
          <w:color w:val="auto"/>
          <w:kern w:val="2"/>
          <w:sz w:val="32"/>
          <w:szCs w:val="32"/>
          <w:highlight w:val="none"/>
        </w:rPr>
        <w:t>未购买保险所产生的风险和责任以及购买保险和需要保险金支付的相应费用均</w:t>
      </w:r>
      <w:r>
        <w:rPr>
          <w:rFonts w:hint="eastAsia" w:ascii="仿宋_GB2312" w:hAnsi="仿宋_GB2312" w:eastAsia="仿宋_GB2312" w:cs="仿宋_GB2312"/>
          <w:b w:val="0"/>
          <w:bCs/>
          <w:color w:val="auto"/>
          <w:kern w:val="2"/>
          <w:sz w:val="32"/>
          <w:szCs w:val="32"/>
          <w:highlight w:val="none"/>
          <w:lang w:eastAsia="zh-CN"/>
        </w:rPr>
        <w:t>由</w:t>
      </w:r>
      <w:r>
        <w:rPr>
          <w:rFonts w:hint="eastAsia" w:ascii="仿宋_GB2312" w:hAnsi="仿宋_GB2312" w:eastAsia="仿宋_GB2312" w:cs="仿宋_GB2312"/>
          <w:b w:val="0"/>
          <w:bCs/>
          <w:color w:val="auto"/>
          <w:kern w:val="2"/>
          <w:sz w:val="32"/>
          <w:szCs w:val="32"/>
          <w:highlight w:val="none"/>
        </w:rPr>
        <w:t>乙方承担。</w:t>
      </w:r>
    </w:p>
    <w:p w14:paraId="3F1819E4">
      <w:pPr>
        <w:pStyle w:val="16"/>
        <w:pageBreakBefore w:val="0"/>
        <w:widowControl w:val="0"/>
        <w:kinsoku/>
        <w:wordWrap/>
        <w:overflowPunct/>
        <w:topLinePunct w:val="0"/>
        <w:bidi w:val="0"/>
        <w:snapToGrid/>
        <w:spacing w:before="0" w:line="240" w:lineRule="auto"/>
        <w:ind w:firstLine="640" w:firstLineChars="200"/>
        <w:jc w:val="left"/>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2"/>
          <w:sz w:val="32"/>
          <w:szCs w:val="32"/>
          <w:lang w:eastAsia="zh-CN"/>
        </w:rPr>
        <w:t>（七）</w:t>
      </w:r>
      <w:r>
        <w:rPr>
          <w:rFonts w:hint="eastAsia" w:ascii="仿宋_GB2312" w:hAnsi="仿宋_GB2312" w:eastAsia="仿宋_GB2312" w:cs="仿宋_GB2312"/>
          <w:b w:val="0"/>
          <w:bCs/>
          <w:kern w:val="2"/>
          <w:sz w:val="32"/>
          <w:szCs w:val="32"/>
        </w:rPr>
        <w:t>所供应</w:t>
      </w:r>
      <w:r>
        <w:rPr>
          <w:rFonts w:hint="eastAsia" w:ascii="仿宋_GB2312" w:hAnsi="仿宋_GB2312" w:eastAsia="仿宋_GB2312" w:cs="仿宋_GB2312"/>
          <w:b w:val="0"/>
          <w:bCs/>
          <w:kern w:val="2"/>
          <w:sz w:val="32"/>
          <w:szCs w:val="32"/>
          <w:lang w:val="en-US" w:eastAsia="zh-CN"/>
        </w:rPr>
        <w:t>食材</w:t>
      </w:r>
      <w:r>
        <w:rPr>
          <w:rFonts w:hint="eastAsia" w:ascii="仿宋_GB2312" w:hAnsi="仿宋_GB2312" w:eastAsia="仿宋_GB2312" w:cs="仿宋_GB2312"/>
          <w:b w:val="0"/>
          <w:bCs/>
          <w:kern w:val="2"/>
          <w:sz w:val="32"/>
          <w:szCs w:val="32"/>
        </w:rPr>
        <w:t>符合国家食品安全及质量</w:t>
      </w:r>
      <w:r>
        <w:rPr>
          <w:rFonts w:hint="eastAsia" w:ascii="仿宋_GB2312" w:hAnsi="仿宋_GB2312" w:eastAsia="仿宋_GB2312" w:cs="仿宋_GB2312"/>
          <w:b w:val="0"/>
          <w:bCs/>
          <w:kern w:val="2"/>
          <w:sz w:val="32"/>
          <w:szCs w:val="32"/>
          <w:lang w:eastAsia="zh-CN"/>
        </w:rPr>
        <w:t>强制性</w:t>
      </w:r>
      <w:r>
        <w:rPr>
          <w:rFonts w:hint="eastAsia" w:ascii="仿宋_GB2312" w:hAnsi="仿宋_GB2312" w:eastAsia="仿宋_GB2312" w:cs="仿宋_GB2312"/>
          <w:b w:val="0"/>
          <w:bCs/>
          <w:kern w:val="2"/>
          <w:sz w:val="32"/>
          <w:szCs w:val="32"/>
        </w:rPr>
        <w:t>标准，</w:t>
      </w:r>
      <w:r>
        <w:rPr>
          <w:rFonts w:hint="eastAsia" w:ascii="仿宋_GB2312" w:hAnsi="仿宋_GB2312" w:eastAsia="仿宋_GB2312" w:cs="仿宋_GB2312"/>
          <w:b w:val="0"/>
          <w:bCs/>
          <w:kern w:val="0"/>
          <w:sz w:val="32"/>
          <w:szCs w:val="32"/>
        </w:rPr>
        <w:t>能按时</w:t>
      </w:r>
      <w:r>
        <w:rPr>
          <w:rFonts w:hint="eastAsia" w:ascii="仿宋_GB2312" w:hAnsi="仿宋_GB2312" w:eastAsia="仿宋_GB2312" w:cs="仿宋_GB2312"/>
          <w:b w:val="0"/>
          <w:bCs/>
          <w:kern w:val="0"/>
          <w:sz w:val="32"/>
          <w:szCs w:val="32"/>
          <w:lang w:eastAsia="zh-CN"/>
        </w:rPr>
        <w:t>随货物批次</w:t>
      </w:r>
      <w:r>
        <w:rPr>
          <w:rFonts w:hint="eastAsia" w:ascii="仿宋_GB2312" w:hAnsi="仿宋_GB2312" w:eastAsia="仿宋_GB2312" w:cs="仿宋_GB2312"/>
          <w:b w:val="0"/>
          <w:bCs/>
          <w:kern w:val="0"/>
          <w:sz w:val="32"/>
          <w:szCs w:val="32"/>
        </w:rPr>
        <w:t>提供</w:t>
      </w:r>
      <w:r>
        <w:rPr>
          <w:rFonts w:hint="eastAsia" w:ascii="仿宋_GB2312" w:hAnsi="仿宋_GB2312" w:eastAsia="仿宋_GB2312" w:cs="仿宋_GB2312"/>
          <w:b w:val="0"/>
          <w:bCs/>
          <w:kern w:val="0"/>
          <w:sz w:val="32"/>
          <w:szCs w:val="32"/>
          <w:lang w:eastAsia="zh-CN"/>
        </w:rPr>
        <w:t>国家标准认可的证明材料</w:t>
      </w:r>
      <w:r>
        <w:rPr>
          <w:rFonts w:hint="eastAsia" w:ascii="仿宋_GB2312" w:hAnsi="仿宋_GB2312" w:eastAsia="仿宋_GB2312" w:cs="仿宋_GB2312"/>
          <w:b w:val="0"/>
          <w:bCs/>
          <w:kern w:val="0"/>
          <w:sz w:val="32"/>
          <w:szCs w:val="32"/>
        </w:rPr>
        <w:t>。</w:t>
      </w:r>
      <w:r>
        <w:rPr>
          <w:rFonts w:hint="eastAsia" w:ascii="仿宋_GB2312" w:hAnsi="仿宋_GB2312" w:eastAsia="仿宋_GB2312" w:cs="仿宋_GB2312"/>
          <w:b w:val="0"/>
          <w:bCs/>
          <w:color w:val="auto"/>
          <w:spacing w:val="0"/>
          <w:sz w:val="32"/>
          <w:szCs w:val="32"/>
          <w:highlight w:val="none"/>
        </w:rPr>
        <w:t>对不合格货物，乙方必须在24小时内处理</w:t>
      </w:r>
      <w:r>
        <w:rPr>
          <w:rFonts w:hint="eastAsia" w:ascii="仿宋_GB2312" w:hAnsi="仿宋_GB2312" w:eastAsia="仿宋_GB2312" w:cs="仿宋_GB2312"/>
          <w:b w:val="0"/>
          <w:bCs/>
          <w:color w:val="auto"/>
          <w:spacing w:val="0"/>
          <w:sz w:val="32"/>
          <w:szCs w:val="32"/>
          <w:highlight w:val="none"/>
          <w:lang w:eastAsia="zh-CN"/>
        </w:rPr>
        <w:t>并不得回收后再次配送。</w:t>
      </w:r>
      <w:r>
        <w:rPr>
          <w:rFonts w:hint="eastAsia" w:ascii="仿宋_GB2312" w:hAnsi="仿宋_GB2312" w:eastAsia="仿宋_GB2312" w:cs="仿宋_GB2312"/>
          <w:b w:val="0"/>
          <w:bCs/>
          <w:color w:val="auto"/>
          <w:spacing w:val="0"/>
          <w:sz w:val="32"/>
          <w:szCs w:val="32"/>
          <w:highlight w:val="none"/>
          <w:lang w:val="en-US" w:eastAsia="zh-CN"/>
        </w:rPr>
        <w:t>同时乙方应继续供餐，</w:t>
      </w:r>
      <w:r>
        <w:rPr>
          <w:rFonts w:hint="eastAsia" w:ascii="仿宋_GB2312" w:hAnsi="仿宋_GB2312" w:eastAsia="仿宋_GB2312" w:cs="仿宋_GB2312"/>
          <w:b w:val="0"/>
          <w:bCs/>
          <w:color w:val="auto"/>
          <w:spacing w:val="0"/>
          <w:sz w:val="32"/>
          <w:szCs w:val="32"/>
          <w:highlight w:val="none"/>
        </w:rPr>
        <w:t>直至产品符合质量及供货数量等要求，由此产生的有关费用由乙方承担。</w:t>
      </w:r>
      <w:r>
        <w:rPr>
          <w:rFonts w:hint="eastAsia" w:ascii="仿宋_GB2312" w:hAnsi="仿宋_GB2312" w:eastAsia="仿宋_GB2312" w:cs="仿宋_GB2312"/>
          <w:b w:val="0"/>
          <w:bCs/>
          <w:color w:val="auto"/>
          <w:sz w:val="32"/>
          <w:szCs w:val="32"/>
          <w:highlight w:val="none"/>
        </w:rPr>
        <w:t>乙方对提供的食品破漏、胀包、霉包、坏包</w:t>
      </w:r>
      <w:r>
        <w:rPr>
          <w:rFonts w:hint="eastAsia" w:ascii="仿宋_GB2312" w:hAnsi="仿宋_GB2312" w:eastAsia="仿宋_GB2312" w:cs="仿宋_GB2312"/>
          <w:b w:val="0"/>
          <w:bCs/>
          <w:color w:val="auto"/>
          <w:sz w:val="32"/>
          <w:szCs w:val="32"/>
          <w:highlight w:val="none"/>
          <w:lang w:eastAsia="zh-CN"/>
        </w:rPr>
        <w:t>、包装内含有异物</w:t>
      </w:r>
      <w:r>
        <w:rPr>
          <w:rFonts w:hint="eastAsia" w:ascii="仿宋_GB2312" w:hAnsi="仿宋_GB2312" w:eastAsia="仿宋_GB2312" w:cs="仿宋_GB2312"/>
          <w:b w:val="0"/>
          <w:bCs/>
          <w:color w:val="auto"/>
          <w:sz w:val="32"/>
          <w:szCs w:val="32"/>
          <w:highlight w:val="none"/>
        </w:rPr>
        <w:t>等</w:t>
      </w:r>
      <w:r>
        <w:rPr>
          <w:rFonts w:hint="eastAsia" w:ascii="仿宋_GB2312" w:hAnsi="仿宋_GB2312" w:eastAsia="仿宋_GB2312" w:cs="仿宋_GB2312"/>
          <w:b w:val="0"/>
          <w:bCs/>
          <w:color w:val="auto"/>
          <w:sz w:val="32"/>
          <w:szCs w:val="32"/>
          <w:highlight w:val="none"/>
          <w:lang w:eastAsia="zh-CN"/>
        </w:rPr>
        <w:t>情况</w:t>
      </w:r>
      <w:r>
        <w:rPr>
          <w:rFonts w:hint="eastAsia" w:ascii="仿宋_GB2312" w:hAnsi="仿宋_GB2312" w:eastAsia="仿宋_GB2312" w:cs="仿宋_GB2312"/>
          <w:b w:val="0"/>
          <w:bCs/>
          <w:color w:val="auto"/>
          <w:sz w:val="32"/>
          <w:szCs w:val="32"/>
          <w:highlight w:val="none"/>
        </w:rPr>
        <w:t>应于当天无条件更换。</w:t>
      </w:r>
    </w:p>
    <w:p w14:paraId="2855CA30">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（八）乙方</w:t>
      </w:r>
      <w:r>
        <w:rPr>
          <w:rFonts w:hint="eastAsia" w:ascii="仿宋_GB2312" w:hAnsi="仿宋_GB2312" w:eastAsia="仿宋_GB2312" w:cs="仿宋_GB2312"/>
          <w:b w:val="0"/>
          <w:bCs/>
          <w:kern w:val="2"/>
          <w:sz w:val="32"/>
          <w:szCs w:val="32"/>
        </w:rPr>
        <w:t>应建立健全并执行食品安全管理制度，主要包括：食品安全知识培训制度，从业人员健康管理制度，食品原材料进货查验记录制度，食品原材料运输储存保管制度，不合格食品原材料退市、召回制度，食品原材料质量安全检测制度，食品原材料留样制度，食材安全事故处置方案，环境卫生管理制度，法律法规规定的其他制度。</w:t>
      </w:r>
    </w:p>
    <w:p w14:paraId="289CBF69">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（九）乙方</w:t>
      </w:r>
      <w:r>
        <w:rPr>
          <w:rFonts w:hint="eastAsia" w:ascii="仿宋_GB2312" w:hAnsi="仿宋_GB2312" w:eastAsia="仿宋_GB2312" w:cs="仿宋_GB2312"/>
          <w:b w:val="0"/>
          <w:bCs/>
          <w:kern w:val="2"/>
          <w:sz w:val="32"/>
          <w:szCs w:val="32"/>
        </w:rPr>
        <w:t>应设置符合条件的配送 (分拣) 中心，配备专用的库房和必要的食品贮存设施设备</w:t>
      </w:r>
      <w:r>
        <w:rPr>
          <w:rFonts w:hint="eastAsia" w:ascii="仿宋_GB2312" w:hAnsi="仿宋_GB2312" w:eastAsia="仿宋_GB2312" w:cs="仿宋_GB2312"/>
          <w:b w:val="0"/>
          <w:bCs/>
          <w:kern w:val="2"/>
          <w:sz w:val="32"/>
          <w:szCs w:val="32"/>
          <w:lang w:eastAsia="zh-CN"/>
        </w:rPr>
        <w:t>（如冷藏冷链设备和冷链冷藏运输车辆等）</w:t>
      </w:r>
      <w:r>
        <w:rPr>
          <w:rFonts w:hint="eastAsia" w:ascii="仿宋_GB2312" w:hAnsi="仿宋_GB2312" w:eastAsia="仿宋_GB2312" w:cs="仿宋_GB2312"/>
          <w:b w:val="0"/>
          <w:bCs/>
          <w:kern w:val="2"/>
          <w:sz w:val="32"/>
          <w:szCs w:val="32"/>
        </w:rPr>
        <w:t>，库房应符合</w:t>
      </w:r>
      <w:r>
        <w:rPr>
          <w:rFonts w:hint="eastAsia" w:ascii="仿宋_GB2312" w:hAnsi="仿宋_GB2312" w:eastAsia="仿宋_GB2312" w:cs="仿宋_GB2312"/>
          <w:b w:val="0"/>
          <w:bCs/>
          <w:kern w:val="2"/>
          <w:sz w:val="32"/>
          <w:szCs w:val="32"/>
          <w:lang w:eastAsia="zh-CN"/>
        </w:rPr>
        <w:t>国家强制标准，包括但不限于</w:t>
      </w:r>
      <w:r>
        <w:rPr>
          <w:rFonts w:hint="eastAsia" w:ascii="仿宋_GB2312" w:hAnsi="仿宋_GB2312" w:eastAsia="仿宋_GB2312" w:cs="仿宋_GB2312"/>
          <w:b w:val="0"/>
          <w:bCs/>
          <w:kern w:val="2"/>
          <w:sz w:val="32"/>
          <w:szCs w:val="32"/>
        </w:rPr>
        <w:t>以下要求：</w:t>
      </w:r>
    </w:p>
    <w:p w14:paraId="2EA432C6">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1.</w:t>
      </w:r>
      <w:r>
        <w:rPr>
          <w:rFonts w:hint="eastAsia" w:ascii="仿宋_GB2312" w:hAnsi="仿宋_GB2312" w:eastAsia="仿宋_GB2312" w:cs="仿宋_GB2312"/>
          <w:b w:val="0"/>
          <w:bCs/>
          <w:kern w:val="2"/>
          <w:sz w:val="32"/>
          <w:szCs w:val="32"/>
        </w:rPr>
        <w:t>库房周围应环境整洁，卫生状况良好，25米以内无暴露的垃圾场、旱厕、粪池等污染源</w:t>
      </w:r>
      <w:r>
        <w:rPr>
          <w:rFonts w:hint="eastAsia" w:ascii="仿宋_GB2312" w:hAnsi="仿宋_GB2312" w:eastAsia="仿宋_GB2312" w:cs="仿宋_GB2312"/>
          <w:b w:val="0"/>
          <w:bCs/>
          <w:kern w:val="2"/>
          <w:sz w:val="32"/>
          <w:szCs w:val="32"/>
          <w:lang w:eastAsia="zh-CN"/>
        </w:rPr>
        <w:t>。</w:t>
      </w:r>
    </w:p>
    <w:p w14:paraId="31A59367">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2.</w:t>
      </w:r>
      <w:r>
        <w:rPr>
          <w:rFonts w:hint="eastAsia" w:ascii="仿宋_GB2312" w:hAnsi="仿宋_GB2312" w:eastAsia="仿宋_GB2312" w:cs="仿宋_GB2312"/>
          <w:b w:val="0"/>
          <w:bCs/>
          <w:kern w:val="2"/>
          <w:sz w:val="32"/>
          <w:szCs w:val="32"/>
        </w:rPr>
        <w:t>库房地面应当干燥、平整，保持清洁；应有良好的通风、采光、照明，经营场所和仓储场所门窗、下水道出口等应闭合严密，加装必要的防蝇、防鼠</w:t>
      </w:r>
      <w:r>
        <w:rPr>
          <w:rFonts w:hint="eastAsia" w:ascii="仿宋_GB2312" w:hAnsi="仿宋_GB2312" w:eastAsia="仿宋_GB2312" w:cs="仿宋_GB2312"/>
          <w:b w:val="0"/>
          <w:bCs/>
          <w:kern w:val="2"/>
          <w:sz w:val="32"/>
          <w:szCs w:val="32"/>
          <w:lang w:eastAsia="zh-CN"/>
        </w:rPr>
        <w:t>（</w:t>
      </w:r>
      <w:r>
        <w:rPr>
          <w:rFonts w:hint="eastAsia" w:ascii="仿宋_GB2312" w:hAnsi="仿宋_GB2312" w:eastAsia="仿宋_GB2312" w:cs="仿宋_GB2312"/>
          <w:b w:val="0"/>
          <w:bCs/>
          <w:color w:val="auto"/>
          <w:kern w:val="2"/>
          <w:sz w:val="32"/>
          <w:szCs w:val="32"/>
          <w:highlight w:val="none"/>
        </w:rPr>
        <w:t>60cm</w:t>
      </w:r>
      <w:r>
        <w:rPr>
          <w:rFonts w:hint="eastAsia" w:ascii="仿宋_GB2312" w:hAnsi="仿宋_GB2312" w:eastAsia="仿宋_GB2312" w:cs="仿宋_GB2312"/>
          <w:b w:val="0"/>
          <w:bCs/>
          <w:color w:val="auto"/>
          <w:kern w:val="2"/>
          <w:sz w:val="32"/>
          <w:szCs w:val="32"/>
          <w:highlight w:val="none"/>
          <w:lang w:eastAsia="zh-CN"/>
        </w:rPr>
        <w:t>以上</w:t>
      </w:r>
      <w:r>
        <w:rPr>
          <w:rFonts w:hint="eastAsia" w:ascii="仿宋_GB2312" w:hAnsi="仿宋_GB2312" w:eastAsia="仿宋_GB2312" w:cs="仿宋_GB2312"/>
          <w:b w:val="0"/>
          <w:bCs/>
          <w:color w:val="auto"/>
          <w:kern w:val="2"/>
          <w:sz w:val="32"/>
          <w:szCs w:val="32"/>
          <w:highlight w:val="none"/>
        </w:rPr>
        <w:t>挡鼠板</w:t>
      </w:r>
      <w:r>
        <w:rPr>
          <w:rFonts w:hint="eastAsia" w:ascii="仿宋_GB2312" w:hAnsi="仿宋_GB2312" w:eastAsia="仿宋_GB2312" w:cs="仿宋_GB2312"/>
          <w:b w:val="0"/>
          <w:bCs/>
          <w:kern w:val="2"/>
          <w:sz w:val="32"/>
          <w:szCs w:val="32"/>
          <w:lang w:eastAsia="zh-CN"/>
        </w:rPr>
        <w:t>）等三防设备和</w:t>
      </w:r>
      <w:r>
        <w:rPr>
          <w:rFonts w:hint="eastAsia" w:ascii="仿宋_GB2312" w:hAnsi="仿宋_GB2312" w:eastAsia="仿宋_GB2312" w:cs="仿宋_GB2312"/>
          <w:b w:val="0"/>
          <w:bCs/>
          <w:kern w:val="2"/>
          <w:sz w:val="32"/>
          <w:szCs w:val="32"/>
        </w:rPr>
        <w:t>防火、防盗设施</w:t>
      </w:r>
      <w:r>
        <w:rPr>
          <w:rFonts w:hint="eastAsia" w:ascii="仿宋_GB2312" w:hAnsi="仿宋_GB2312" w:eastAsia="仿宋_GB2312" w:cs="仿宋_GB2312"/>
          <w:b w:val="0"/>
          <w:bCs/>
          <w:kern w:val="2"/>
          <w:sz w:val="32"/>
          <w:szCs w:val="32"/>
          <w:lang w:eastAsia="zh-CN"/>
        </w:rPr>
        <w:t>。仓库室内外关键部位应安装存储90天以上的24小时视频监控。确保</w:t>
      </w:r>
      <w:r>
        <w:rPr>
          <w:rFonts w:hint="eastAsia" w:ascii="仿宋_GB2312" w:hAnsi="仿宋_GB2312" w:eastAsia="仿宋_GB2312" w:cs="仿宋_GB2312"/>
          <w:b w:val="0"/>
          <w:bCs/>
          <w:color w:val="auto"/>
          <w:kern w:val="2"/>
          <w:sz w:val="32"/>
          <w:szCs w:val="32"/>
          <w:highlight w:val="none"/>
        </w:rPr>
        <w:t>空气流通，</w:t>
      </w:r>
      <w:r>
        <w:rPr>
          <w:rFonts w:hint="eastAsia" w:ascii="仿宋_GB2312" w:hAnsi="仿宋_GB2312" w:eastAsia="仿宋_GB2312" w:cs="仿宋_GB2312"/>
          <w:b w:val="0"/>
          <w:bCs/>
          <w:color w:val="auto"/>
          <w:kern w:val="2"/>
          <w:sz w:val="32"/>
          <w:szCs w:val="32"/>
          <w:highlight w:val="none"/>
          <w:lang w:val="en-US" w:eastAsia="zh-CN"/>
        </w:rPr>
        <w:t>温湿度适宜（温度26度以下），</w:t>
      </w:r>
      <w:r>
        <w:rPr>
          <w:rFonts w:hint="eastAsia" w:ascii="仿宋_GB2312" w:hAnsi="仿宋_GB2312" w:eastAsia="仿宋_GB2312" w:cs="仿宋_GB2312"/>
          <w:b w:val="0"/>
          <w:bCs/>
          <w:color w:val="auto"/>
          <w:kern w:val="2"/>
          <w:sz w:val="32"/>
          <w:szCs w:val="32"/>
          <w:highlight w:val="none"/>
        </w:rPr>
        <w:t>符合储存作业要求的照明、有效调控温湿度及室内外空气交换的设备(如空调等)。</w:t>
      </w:r>
    </w:p>
    <w:p w14:paraId="70BFAE7A">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3.</w:t>
      </w:r>
      <w:r>
        <w:rPr>
          <w:rFonts w:hint="eastAsia" w:ascii="仿宋_GB2312" w:hAnsi="仿宋_GB2312" w:eastAsia="仿宋_GB2312" w:cs="仿宋_GB2312"/>
          <w:b w:val="0"/>
          <w:bCs/>
          <w:kern w:val="2"/>
          <w:sz w:val="32"/>
          <w:szCs w:val="32"/>
        </w:rPr>
        <w:t>库房应具有满足供应食品品种、数量相适应的设施设备条件，食品仓储场所的货架(台)应与地、墙保持距离</w:t>
      </w:r>
      <w:r>
        <w:rPr>
          <w:rFonts w:hint="eastAsia" w:ascii="仿宋_GB2312" w:hAnsi="仿宋_GB2312" w:eastAsia="仿宋_GB2312" w:cs="仿宋_GB2312"/>
          <w:b w:val="0"/>
          <w:bCs/>
          <w:kern w:val="2"/>
          <w:sz w:val="32"/>
          <w:szCs w:val="32"/>
          <w:lang w:eastAsia="zh-CN"/>
        </w:rPr>
        <w:t>（</w:t>
      </w:r>
      <w:r>
        <w:rPr>
          <w:rFonts w:hint="eastAsia" w:ascii="仿宋_GB2312" w:hAnsi="仿宋_GB2312" w:eastAsia="仿宋_GB2312" w:cs="仿宋_GB2312"/>
          <w:b w:val="0"/>
          <w:bCs/>
          <w:kern w:val="2"/>
          <w:sz w:val="32"/>
          <w:szCs w:val="32"/>
          <w:lang w:val="en-US" w:eastAsia="zh-CN"/>
        </w:rPr>
        <w:t>10CM以上</w:t>
      </w:r>
      <w:r>
        <w:rPr>
          <w:rFonts w:hint="eastAsia" w:ascii="仿宋_GB2312" w:hAnsi="仿宋_GB2312" w:eastAsia="仿宋_GB2312" w:cs="仿宋_GB2312"/>
          <w:b w:val="0"/>
          <w:bCs/>
          <w:kern w:val="2"/>
          <w:sz w:val="32"/>
          <w:szCs w:val="32"/>
          <w:lang w:eastAsia="zh-CN"/>
        </w:rPr>
        <w:t>）</w:t>
      </w:r>
      <w:r>
        <w:rPr>
          <w:rFonts w:hint="eastAsia" w:ascii="仿宋_GB2312" w:hAnsi="仿宋_GB2312" w:eastAsia="仿宋_GB2312" w:cs="仿宋_GB2312"/>
          <w:b w:val="0"/>
          <w:bCs/>
          <w:kern w:val="2"/>
          <w:sz w:val="32"/>
          <w:szCs w:val="32"/>
        </w:rPr>
        <w:t>，能使食品应分类、分区、分架、遵循先进先出存放</w:t>
      </w:r>
      <w:r>
        <w:rPr>
          <w:rFonts w:hint="eastAsia" w:ascii="仿宋_GB2312" w:hAnsi="仿宋_GB2312" w:eastAsia="仿宋_GB2312" w:cs="仿宋_GB2312"/>
          <w:b w:val="0"/>
          <w:bCs/>
          <w:kern w:val="2"/>
          <w:sz w:val="32"/>
          <w:szCs w:val="32"/>
          <w:lang w:eastAsia="zh-CN"/>
        </w:rPr>
        <w:t>。</w:t>
      </w:r>
    </w:p>
    <w:p w14:paraId="714079E6">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4.</w:t>
      </w:r>
      <w:r>
        <w:rPr>
          <w:rFonts w:hint="eastAsia" w:ascii="仿宋_GB2312" w:hAnsi="仿宋_GB2312" w:eastAsia="仿宋_GB2312" w:cs="仿宋_GB2312"/>
          <w:b w:val="0"/>
          <w:bCs/>
          <w:kern w:val="2"/>
          <w:sz w:val="32"/>
          <w:szCs w:val="32"/>
        </w:rPr>
        <w:t>食品添加剂应做到“五专”管理，分类存放</w:t>
      </w:r>
      <w:r>
        <w:rPr>
          <w:rFonts w:hint="eastAsia" w:ascii="仿宋_GB2312" w:hAnsi="仿宋_GB2312" w:eastAsia="仿宋_GB2312" w:cs="仿宋_GB2312"/>
          <w:b w:val="0"/>
          <w:bCs/>
          <w:kern w:val="2"/>
          <w:sz w:val="32"/>
          <w:szCs w:val="32"/>
          <w:lang w:eastAsia="zh-CN"/>
        </w:rPr>
        <w:t>。</w:t>
      </w:r>
    </w:p>
    <w:p w14:paraId="3FD8C361">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5.</w:t>
      </w:r>
      <w:r>
        <w:rPr>
          <w:rFonts w:hint="eastAsia" w:ascii="仿宋_GB2312" w:hAnsi="仿宋_GB2312" w:eastAsia="仿宋_GB2312" w:cs="仿宋_GB2312"/>
          <w:b w:val="0"/>
          <w:bCs/>
          <w:kern w:val="2"/>
          <w:sz w:val="32"/>
          <w:szCs w:val="32"/>
        </w:rPr>
        <w:t>库房内不得有其他不相关物品混合存放，不得有兽药、农药及其他有毒有害的化工产品</w:t>
      </w:r>
      <w:r>
        <w:rPr>
          <w:rFonts w:hint="eastAsia" w:ascii="仿宋_GB2312" w:hAnsi="仿宋_GB2312" w:eastAsia="仿宋_GB2312" w:cs="仿宋_GB2312"/>
          <w:b w:val="0"/>
          <w:bCs/>
          <w:kern w:val="2"/>
          <w:sz w:val="32"/>
          <w:szCs w:val="32"/>
          <w:lang w:eastAsia="zh-CN"/>
        </w:rPr>
        <w:t>。</w:t>
      </w:r>
    </w:p>
    <w:p w14:paraId="4A15741D">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6.</w:t>
      </w:r>
      <w:r>
        <w:rPr>
          <w:rFonts w:hint="eastAsia" w:ascii="仿宋_GB2312" w:hAnsi="仿宋_GB2312" w:eastAsia="仿宋_GB2312" w:cs="仿宋_GB2312"/>
          <w:b w:val="0"/>
          <w:bCs/>
          <w:kern w:val="2"/>
          <w:sz w:val="32"/>
          <w:szCs w:val="32"/>
        </w:rPr>
        <w:t>库房配备必要的符合食品储藏条件的控温、控湿设施，根据需要配备恒温保鲜库(柜)、冷冻冷藏库(柜)和留样设备等</w:t>
      </w:r>
      <w:r>
        <w:rPr>
          <w:rFonts w:hint="eastAsia" w:ascii="仿宋_GB2312" w:hAnsi="仿宋_GB2312" w:eastAsia="仿宋_GB2312" w:cs="仿宋_GB2312"/>
          <w:b w:val="0"/>
          <w:bCs/>
          <w:kern w:val="2"/>
          <w:sz w:val="32"/>
          <w:szCs w:val="32"/>
          <w:lang w:eastAsia="zh-CN"/>
        </w:rPr>
        <w:t>。</w:t>
      </w:r>
    </w:p>
    <w:p w14:paraId="6A066830">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7.</w:t>
      </w:r>
      <w:r>
        <w:rPr>
          <w:rFonts w:hint="eastAsia" w:ascii="仿宋_GB2312" w:hAnsi="仿宋_GB2312" w:eastAsia="仿宋_GB2312" w:cs="仿宋_GB2312"/>
          <w:b w:val="0"/>
          <w:bCs/>
          <w:kern w:val="2"/>
          <w:sz w:val="32"/>
          <w:szCs w:val="32"/>
        </w:rPr>
        <w:t>出库原材料要做好记录，建立原材料二级追溯机制</w:t>
      </w:r>
      <w:r>
        <w:rPr>
          <w:rFonts w:hint="eastAsia" w:ascii="仿宋_GB2312" w:hAnsi="仿宋_GB2312" w:eastAsia="仿宋_GB2312" w:cs="仿宋_GB2312"/>
          <w:b w:val="0"/>
          <w:bCs/>
          <w:kern w:val="2"/>
          <w:sz w:val="32"/>
          <w:szCs w:val="32"/>
          <w:lang w:eastAsia="zh-CN"/>
        </w:rPr>
        <w:t>。</w:t>
      </w:r>
    </w:p>
    <w:p w14:paraId="25700F18">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8.</w:t>
      </w:r>
      <w:r>
        <w:rPr>
          <w:rFonts w:hint="eastAsia" w:ascii="仿宋_GB2312" w:hAnsi="仿宋_GB2312" w:eastAsia="仿宋_GB2312" w:cs="仿宋_GB2312"/>
          <w:b w:val="0"/>
          <w:bCs/>
          <w:kern w:val="2"/>
          <w:sz w:val="32"/>
          <w:szCs w:val="32"/>
        </w:rPr>
        <w:t>冷库应当配备温度自动监测、显示、记录、调控、报警的设备。</w:t>
      </w:r>
      <w:r>
        <w:rPr>
          <w:rFonts w:hint="eastAsia" w:ascii="仿宋_GB2312" w:hAnsi="仿宋_GB2312" w:eastAsia="仿宋_GB2312" w:cs="仿宋_GB2312"/>
          <w:b w:val="0"/>
          <w:bCs/>
          <w:kern w:val="2"/>
          <w:sz w:val="32"/>
          <w:szCs w:val="32"/>
          <w:lang w:eastAsia="zh-CN"/>
        </w:rPr>
        <w:t>乙方</w:t>
      </w:r>
      <w:r>
        <w:rPr>
          <w:rFonts w:hint="eastAsia" w:ascii="仿宋_GB2312" w:hAnsi="仿宋_GB2312" w:eastAsia="仿宋_GB2312" w:cs="仿宋_GB2312"/>
          <w:b w:val="0"/>
          <w:bCs/>
          <w:kern w:val="2"/>
          <w:sz w:val="32"/>
          <w:szCs w:val="32"/>
        </w:rPr>
        <w:t>应当对冷库、冷藏车、冷藏箱、保温箱以及温湿度自动监测系统(以下简称监测系统)等进行验证，确认相关设施、设备及监测系统能够符合规定的设计标准和要求，并能安全、有效地正常运行和使用，确保食品在储存、运输过程中的质量安全</w:t>
      </w:r>
      <w:r>
        <w:rPr>
          <w:rFonts w:hint="eastAsia" w:ascii="仿宋_GB2312" w:hAnsi="仿宋_GB2312" w:eastAsia="仿宋_GB2312" w:cs="仿宋_GB2312"/>
          <w:b w:val="0"/>
          <w:bCs/>
          <w:kern w:val="2"/>
          <w:sz w:val="32"/>
          <w:szCs w:val="32"/>
          <w:lang w:eastAsia="zh-CN"/>
        </w:rPr>
        <w:t>。</w:t>
      </w:r>
    </w:p>
    <w:p w14:paraId="7AA3C59C">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9.</w:t>
      </w:r>
      <w:r>
        <w:rPr>
          <w:rFonts w:hint="eastAsia" w:ascii="仿宋_GB2312" w:hAnsi="仿宋_GB2312" w:eastAsia="仿宋_GB2312" w:cs="仿宋_GB2312"/>
          <w:b w:val="0"/>
          <w:bCs/>
          <w:kern w:val="2"/>
          <w:sz w:val="32"/>
          <w:szCs w:val="32"/>
          <w:lang w:eastAsia="zh-CN"/>
        </w:rPr>
        <w:t>乙方</w:t>
      </w:r>
      <w:r>
        <w:rPr>
          <w:rFonts w:hint="eastAsia" w:ascii="仿宋_GB2312" w:hAnsi="仿宋_GB2312" w:eastAsia="仿宋_GB2312" w:cs="仿宋_GB2312"/>
          <w:b w:val="0"/>
          <w:bCs/>
          <w:kern w:val="2"/>
          <w:sz w:val="32"/>
          <w:szCs w:val="32"/>
        </w:rPr>
        <w:t>应当配备食品检测室，检测设施设备能满足企业所有食品原材料的自检项目的需要。</w:t>
      </w:r>
    </w:p>
    <w:p w14:paraId="27DF10DD">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lang w:eastAsia="zh-CN"/>
        </w:rPr>
      </w:pPr>
      <w:r>
        <w:rPr>
          <w:rFonts w:hint="eastAsia" w:ascii="仿宋_GB2312" w:hAnsi="仿宋_GB2312" w:eastAsia="仿宋_GB2312" w:cs="仿宋_GB2312"/>
          <w:b w:val="0"/>
          <w:bCs/>
          <w:kern w:val="2"/>
          <w:sz w:val="32"/>
          <w:szCs w:val="32"/>
          <w:lang w:eastAsia="zh-CN"/>
        </w:rPr>
        <w:t>（十）乙方</w:t>
      </w:r>
      <w:r>
        <w:rPr>
          <w:rFonts w:hint="eastAsia" w:ascii="仿宋_GB2312" w:hAnsi="仿宋_GB2312" w:eastAsia="仿宋_GB2312" w:cs="仿宋_GB2312"/>
          <w:b w:val="0"/>
          <w:bCs/>
          <w:kern w:val="2"/>
          <w:sz w:val="32"/>
          <w:szCs w:val="32"/>
        </w:rPr>
        <w:t>应配备足够数量的运送车辆和设备，具备按</w:t>
      </w:r>
      <w:r>
        <w:rPr>
          <w:rFonts w:hint="eastAsia" w:ascii="仿宋_GB2312" w:hAnsi="仿宋_GB2312" w:eastAsia="仿宋_GB2312" w:cs="仿宋_GB2312"/>
          <w:b w:val="0"/>
          <w:bCs/>
          <w:kern w:val="2"/>
          <w:sz w:val="32"/>
          <w:szCs w:val="32"/>
          <w:lang w:eastAsia="zh-CN"/>
        </w:rPr>
        <w:t>国家强制标准</w:t>
      </w:r>
      <w:r>
        <w:rPr>
          <w:rFonts w:hint="eastAsia" w:ascii="仿宋_GB2312" w:hAnsi="仿宋_GB2312" w:eastAsia="仿宋_GB2312" w:cs="仿宋_GB2312"/>
          <w:b w:val="0"/>
          <w:bCs/>
          <w:kern w:val="2"/>
          <w:sz w:val="32"/>
          <w:szCs w:val="32"/>
        </w:rPr>
        <w:t>要求进行物资配送的能力</w:t>
      </w:r>
      <w:r>
        <w:rPr>
          <w:rFonts w:hint="eastAsia" w:ascii="仿宋_GB2312" w:hAnsi="仿宋_GB2312" w:eastAsia="仿宋_GB2312" w:cs="仿宋_GB2312"/>
          <w:b w:val="0"/>
          <w:bCs/>
          <w:kern w:val="2"/>
          <w:sz w:val="32"/>
          <w:szCs w:val="32"/>
          <w:lang w:eastAsia="zh-CN"/>
        </w:rPr>
        <w:t>，包含但不限以下要求：</w:t>
      </w:r>
    </w:p>
    <w:p w14:paraId="09749201">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1.</w:t>
      </w:r>
      <w:r>
        <w:rPr>
          <w:rFonts w:hint="eastAsia" w:ascii="仿宋_GB2312" w:hAnsi="仿宋_GB2312" w:eastAsia="仿宋_GB2312" w:cs="仿宋_GB2312"/>
          <w:b w:val="0"/>
          <w:bCs/>
          <w:kern w:val="2"/>
          <w:sz w:val="32"/>
          <w:szCs w:val="32"/>
        </w:rPr>
        <w:t>应使用专车配送</w:t>
      </w:r>
      <w:r>
        <w:rPr>
          <w:rFonts w:hint="eastAsia" w:ascii="仿宋_GB2312" w:hAnsi="仿宋_GB2312" w:eastAsia="仿宋_GB2312" w:cs="仿宋_GB2312"/>
          <w:b w:val="0"/>
          <w:bCs/>
          <w:kern w:val="2"/>
          <w:sz w:val="32"/>
          <w:szCs w:val="32"/>
          <w:lang w:eastAsia="zh-CN"/>
        </w:rPr>
        <w:t>。乙方必须保证产品质量安全和运输安全，凡因产品质量收发的安全问题和向学校派送学生营养餐食品途中的一切安全问题以及其他因乙方导致的问题，均由乙方单独承担全部责任。</w:t>
      </w:r>
    </w:p>
    <w:p w14:paraId="482A2A44">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2.</w:t>
      </w:r>
      <w:r>
        <w:rPr>
          <w:rFonts w:hint="eastAsia" w:ascii="仿宋_GB2312" w:hAnsi="仿宋_GB2312" w:eastAsia="仿宋_GB2312" w:cs="仿宋_GB2312"/>
          <w:b w:val="0"/>
          <w:bCs/>
          <w:kern w:val="2"/>
          <w:sz w:val="32"/>
          <w:szCs w:val="32"/>
        </w:rPr>
        <w:t>在配送时应做到“三固定”，即司机和送货员相对固定、运送车辆相对固定、运送日期和时间相对固定</w:t>
      </w:r>
      <w:r>
        <w:rPr>
          <w:rFonts w:hint="eastAsia" w:ascii="仿宋_GB2312" w:hAnsi="仿宋_GB2312" w:eastAsia="仿宋_GB2312" w:cs="仿宋_GB2312"/>
          <w:b w:val="0"/>
          <w:bCs/>
          <w:kern w:val="2"/>
          <w:sz w:val="32"/>
          <w:szCs w:val="32"/>
          <w:lang w:eastAsia="zh-CN"/>
        </w:rPr>
        <w:t>。</w:t>
      </w:r>
    </w:p>
    <w:p w14:paraId="0B5ED9F2">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3.</w:t>
      </w:r>
      <w:r>
        <w:rPr>
          <w:rFonts w:hint="eastAsia" w:ascii="仿宋_GB2312" w:hAnsi="仿宋_GB2312" w:eastAsia="仿宋_GB2312" w:cs="仿宋_GB2312"/>
          <w:b w:val="0"/>
          <w:bCs/>
          <w:kern w:val="2"/>
          <w:sz w:val="32"/>
          <w:szCs w:val="32"/>
        </w:rPr>
        <w:t>应对配送人员进行食品安全知识和业务技能培训，配送人员应着装统一、干净、整齐，并佩戴健康证胸卡</w:t>
      </w:r>
      <w:r>
        <w:rPr>
          <w:rFonts w:hint="eastAsia" w:ascii="仿宋_GB2312" w:hAnsi="仿宋_GB2312" w:eastAsia="仿宋_GB2312" w:cs="仿宋_GB2312"/>
          <w:b w:val="0"/>
          <w:bCs/>
          <w:kern w:val="2"/>
          <w:sz w:val="32"/>
          <w:szCs w:val="32"/>
          <w:lang w:eastAsia="zh-CN"/>
        </w:rPr>
        <w:t>。</w:t>
      </w:r>
    </w:p>
    <w:p w14:paraId="348D66B8">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4.</w:t>
      </w:r>
      <w:r>
        <w:rPr>
          <w:rFonts w:hint="eastAsia" w:ascii="仿宋_GB2312" w:hAnsi="仿宋_GB2312" w:eastAsia="仿宋_GB2312" w:cs="仿宋_GB2312"/>
          <w:b w:val="0"/>
          <w:bCs/>
          <w:kern w:val="2"/>
          <w:sz w:val="32"/>
          <w:szCs w:val="32"/>
        </w:rPr>
        <w:t>配送人员应配合仓库管理人员在送货前查看该批次食品的检验报告书、合格证、生产商及生产地的证明文件</w:t>
      </w:r>
      <w:r>
        <w:rPr>
          <w:rFonts w:hint="eastAsia" w:ascii="仿宋_GB2312" w:hAnsi="仿宋_GB2312" w:eastAsia="仿宋_GB2312" w:cs="仿宋_GB2312"/>
          <w:b w:val="0"/>
          <w:bCs/>
          <w:kern w:val="2"/>
          <w:sz w:val="32"/>
          <w:szCs w:val="32"/>
          <w:lang w:eastAsia="zh-CN"/>
        </w:rPr>
        <w:t>（如有）</w:t>
      </w:r>
      <w:r>
        <w:rPr>
          <w:rFonts w:hint="eastAsia" w:ascii="仿宋_GB2312" w:hAnsi="仿宋_GB2312" w:eastAsia="仿宋_GB2312" w:cs="仿宋_GB2312"/>
          <w:b w:val="0"/>
          <w:bCs/>
          <w:kern w:val="2"/>
          <w:sz w:val="32"/>
          <w:szCs w:val="32"/>
        </w:rPr>
        <w:t>，查验货物保质期及外包装</w:t>
      </w:r>
      <w:r>
        <w:rPr>
          <w:rFonts w:hint="eastAsia" w:ascii="仿宋_GB2312" w:hAnsi="仿宋_GB2312" w:eastAsia="仿宋_GB2312" w:cs="仿宋_GB2312"/>
          <w:b w:val="0"/>
          <w:bCs/>
          <w:kern w:val="2"/>
          <w:sz w:val="32"/>
          <w:szCs w:val="32"/>
          <w:lang w:eastAsia="zh-CN"/>
        </w:rPr>
        <w:t>。</w:t>
      </w:r>
    </w:p>
    <w:p w14:paraId="149F5D60">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5.</w:t>
      </w:r>
      <w:r>
        <w:rPr>
          <w:rFonts w:hint="eastAsia" w:ascii="仿宋_GB2312" w:hAnsi="仿宋_GB2312" w:eastAsia="仿宋_GB2312" w:cs="仿宋_GB2312"/>
          <w:b w:val="0"/>
          <w:bCs/>
          <w:kern w:val="2"/>
          <w:sz w:val="32"/>
          <w:szCs w:val="32"/>
        </w:rPr>
        <w:t>装车过程中避免日晒、雨淋，不得与有毒、有害、有异味或能对</w:t>
      </w:r>
      <w:r>
        <w:rPr>
          <w:rFonts w:hint="eastAsia" w:ascii="仿宋_GB2312" w:hAnsi="仿宋_GB2312" w:eastAsia="仿宋_GB2312" w:cs="仿宋_GB2312"/>
          <w:b w:val="0"/>
          <w:bCs/>
          <w:sz w:val="32"/>
          <w:szCs w:val="32"/>
          <w:lang w:val="en-US" w:eastAsia="zh-CN"/>
        </w:rPr>
        <w:t>食材</w:t>
      </w:r>
      <w:r>
        <w:rPr>
          <w:rFonts w:hint="eastAsia" w:ascii="仿宋_GB2312" w:hAnsi="仿宋_GB2312" w:eastAsia="仿宋_GB2312" w:cs="仿宋_GB2312"/>
          <w:b w:val="0"/>
          <w:bCs/>
          <w:kern w:val="2"/>
          <w:sz w:val="32"/>
          <w:szCs w:val="32"/>
        </w:rPr>
        <w:t>产生不良影响的</w:t>
      </w:r>
      <w:r>
        <w:rPr>
          <w:rFonts w:hint="eastAsia" w:ascii="仿宋_GB2312" w:hAnsi="仿宋_GB2312" w:eastAsia="仿宋_GB2312" w:cs="仿宋_GB2312"/>
          <w:b w:val="0"/>
          <w:bCs/>
          <w:kern w:val="2"/>
          <w:sz w:val="32"/>
          <w:szCs w:val="32"/>
          <w:lang w:eastAsia="zh-CN"/>
        </w:rPr>
        <w:t>和非食材运输工作必须的</w:t>
      </w:r>
      <w:r>
        <w:rPr>
          <w:rFonts w:hint="eastAsia" w:ascii="仿宋_GB2312" w:hAnsi="仿宋_GB2312" w:eastAsia="仿宋_GB2312" w:cs="仿宋_GB2312"/>
          <w:b w:val="0"/>
          <w:bCs/>
          <w:kern w:val="2"/>
          <w:sz w:val="32"/>
          <w:szCs w:val="32"/>
        </w:rPr>
        <w:t>物品混装</w:t>
      </w:r>
      <w:r>
        <w:rPr>
          <w:rFonts w:hint="eastAsia" w:ascii="仿宋_GB2312" w:hAnsi="仿宋_GB2312" w:eastAsia="仿宋_GB2312" w:cs="仿宋_GB2312"/>
          <w:b w:val="0"/>
          <w:bCs/>
          <w:kern w:val="2"/>
          <w:sz w:val="32"/>
          <w:szCs w:val="32"/>
          <w:lang w:eastAsia="zh-CN"/>
        </w:rPr>
        <w:t>。</w:t>
      </w:r>
    </w:p>
    <w:p w14:paraId="14A30A27">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6.</w:t>
      </w:r>
      <w:r>
        <w:rPr>
          <w:rFonts w:hint="eastAsia" w:ascii="仿宋_GB2312" w:hAnsi="仿宋_GB2312" w:eastAsia="仿宋_GB2312" w:cs="仿宋_GB2312"/>
          <w:b w:val="0"/>
          <w:bCs/>
          <w:kern w:val="2"/>
          <w:sz w:val="32"/>
          <w:szCs w:val="32"/>
        </w:rPr>
        <w:t>装车时对产品要轻拿、轻放、整齐、平整摆放、不能倒置或侧立，杜绝野蛮操作等现象</w:t>
      </w:r>
      <w:r>
        <w:rPr>
          <w:rFonts w:hint="eastAsia" w:ascii="仿宋_GB2312" w:hAnsi="仿宋_GB2312" w:eastAsia="仿宋_GB2312" w:cs="仿宋_GB2312"/>
          <w:b w:val="0"/>
          <w:bCs/>
          <w:kern w:val="2"/>
          <w:sz w:val="32"/>
          <w:szCs w:val="32"/>
          <w:lang w:eastAsia="zh-CN"/>
        </w:rPr>
        <w:t>。</w:t>
      </w:r>
    </w:p>
    <w:p w14:paraId="482ED8E7">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7.</w:t>
      </w:r>
      <w:r>
        <w:rPr>
          <w:rFonts w:hint="eastAsia" w:ascii="仿宋_GB2312" w:hAnsi="仿宋_GB2312" w:eastAsia="仿宋_GB2312" w:cs="仿宋_GB2312"/>
          <w:b w:val="0"/>
          <w:bCs/>
          <w:kern w:val="2"/>
          <w:sz w:val="32"/>
          <w:szCs w:val="32"/>
        </w:rPr>
        <w:t>运输冷藏、冷冻食品的冷藏车及车载冷藏箱、保温箱应当符合食品运输过程中对温度控制的要求，冷藏车具有自动调控温度、显示温度、存储和读取温度监测数据的功能</w:t>
      </w:r>
      <w:r>
        <w:rPr>
          <w:rFonts w:hint="eastAsia" w:ascii="仿宋_GB2312" w:hAnsi="仿宋_GB2312" w:eastAsia="仿宋_GB2312" w:cs="仿宋_GB2312"/>
          <w:b w:val="0"/>
          <w:bCs/>
          <w:kern w:val="2"/>
          <w:sz w:val="32"/>
          <w:szCs w:val="32"/>
          <w:lang w:eastAsia="zh-CN"/>
        </w:rPr>
        <w:t>。</w:t>
      </w:r>
    </w:p>
    <w:p w14:paraId="29446C72">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8.</w:t>
      </w:r>
      <w:r>
        <w:rPr>
          <w:rFonts w:hint="eastAsia" w:ascii="仿宋_GB2312" w:hAnsi="仿宋_GB2312" w:eastAsia="仿宋_GB2312" w:cs="仿宋_GB2312"/>
          <w:b w:val="0"/>
          <w:bCs/>
          <w:kern w:val="2"/>
          <w:sz w:val="32"/>
          <w:szCs w:val="32"/>
        </w:rPr>
        <w:t>储存、运输设施设备的定期检查、清洁和维护应当由专人负责，并建立记录和档案</w:t>
      </w:r>
      <w:r>
        <w:rPr>
          <w:rFonts w:hint="eastAsia" w:ascii="仿宋_GB2312" w:hAnsi="仿宋_GB2312" w:eastAsia="仿宋_GB2312" w:cs="仿宋_GB2312"/>
          <w:b w:val="0"/>
          <w:bCs/>
          <w:kern w:val="2"/>
          <w:sz w:val="32"/>
          <w:szCs w:val="32"/>
          <w:lang w:eastAsia="zh-CN"/>
        </w:rPr>
        <w:t>。</w:t>
      </w:r>
    </w:p>
    <w:p w14:paraId="1F3722DB">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eastAsia="zh-CN"/>
        </w:rPr>
        <w:t>（十一）乙方</w:t>
      </w:r>
      <w:r>
        <w:rPr>
          <w:rFonts w:hint="eastAsia" w:ascii="仿宋_GB2312" w:hAnsi="仿宋_GB2312" w:eastAsia="仿宋_GB2312" w:cs="仿宋_GB2312"/>
          <w:b w:val="0"/>
          <w:bCs/>
          <w:kern w:val="2"/>
          <w:sz w:val="32"/>
          <w:szCs w:val="32"/>
        </w:rPr>
        <w:t>应具备应对台风等自然灾害的应急处置能力，确保受灾期间的原材料供应。</w:t>
      </w:r>
    </w:p>
    <w:p w14:paraId="689C1083">
      <w:pPr>
        <w:spacing w:line="600" w:lineRule="exact"/>
        <w:ind w:firstLine="640" w:firstLineChars="200"/>
        <w:rPr>
          <w:rFonts w:hint="eastAsia" w:ascii="仿宋_GB2312" w:hAnsi="仿宋_GB2312" w:eastAsia="仿宋_GB2312" w:cs="仿宋_GB2312"/>
          <w:bCs/>
          <w:kern w:val="2"/>
          <w:sz w:val="32"/>
          <w:szCs w:val="32"/>
          <w:lang w:eastAsia="zh-CN"/>
        </w:rPr>
      </w:pPr>
      <w:r>
        <w:rPr>
          <w:rFonts w:hint="eastAsia" w:ascii="仿宋_GB2312" w:hAnsi="仿宋_GB2312" w:eastAsia="仿宋_GB2312" w:cs="仿宋_GB2312"/>
          <w:b w:val="0"/>
          <w:bCs/>
          <w:kern w:val="2"/>
          <w:sz w:val="32"/>
          <w:szCs w:val="32"/>
          <w:lang w:eastAsia="zh-CN"/>
        </w:rPr>
        <w:t>（十二）</w:t>
      </w:r>
      <w:r>
        <w:rPr>
          <w:rFonts w:hint="eastAsia" w:ascii="仿宋_GB2312" w:hAnsi="仿宋_GB2312" w:eastAsia="仿宋_GB2312" w:cs="仿宋_GB2312"/>
          <w:color w:val="000000"/>
          <w:sz w:val="32"/>
          <w:szCs w:val="32"/>
        </w:rPr>
        <w:t>合同签订之日起</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日内，</w:t>
      </w:r>
      <w:r>
        <w:rPr>
          <w:rFonts w:hint="eastAsia" w:ascii="仿宋_GB2312" w:hAnsi="仿宋_GB2312" w:eastAsia="仿宋_GB2312" w:cs="仿宋_GB2312"/>
          <w:color w:val="000000"/>
          <w:sz w:val="32"/>
          <w:szCs w:val="32"/>
          <w:highlight w:val="none"/>
        </w:rPr>
        <w:t>乙方应向甲方支付</w:t>
      </w:r>
      <w:r>
        <w:rPr>
          <w:rFonts w:hint="eastAsia" w:ascii="仿宋_GB2312" w:hAnsi="仿宋_GB2312" w:eastAsia="仿宋_GB2312" w:cs="仿宋_GB2312"/>
          <w:color w:val="000000"/>
          <w:sz w:val="32"/>
          <w:szCs w:val="32"/>
          <w:highlight w:val="none"/>
          <w:lang w:val="en-US" w:eastAsia="zh-CN"/>
        </w:rPr>
        <w:t>中标金额</w:t>
      </w:r>
      <w:r>
        <w:rPr>
          <w:rFonts w:hint="eastAsia" w:ascii="仿宋_GB2312" w:hAnsi="仿宋_GB2312" w:eastAsia="仿宋_GB2312" w:cs="仿宋_GB2312"/>
          <w:color w:val="000000"/>
          <w:sz w:val="32"/>
          <w:szCs w:val="32"/>
          <w:lang w:val="en-US" w:eastAsia="zh-CN"/>
        </w:rPr>
        <w:t>的3%，即（人民币）</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lang w:val="en-US" w:eastAsia="zh-CN"/>
        </w:rPr>
        <w:t>****元整(￥****.00)</w:t>
      </w:r>
      <w:r>
        <w:rPr>
          <w:rFonts w:hint="eastAsia" w:ascii="仿宋_GB2312" w:hAnsi="仿宋_GB2312" w:eastAsia="仿宋_GB2312" w:cs="仿宋_GB2312"/>
          <w:color w:val="000000"/>
          <w:sz w:val="32"/>
          <w:szCs w:val="32"/>
        </w:rPr>
        <w:t>作为履约保证金</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乙方未支付履约保证金之前，食材供应服务暂不履行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乙方履约完毕</w:t>
      </w:r>
      <w:r>
        <w:rPr>
          <w:rFonts w:hint="eastAsia" w:ascii="仿宋_GB2312" w:hAnsi="仿宋_GB2312" w:eastAsia="仿宋_GB2312" w:cs="仿宋_GB2312"/>
          <w:color w:val="000000"/>
          <w:sz w:val="32"/>
          <w:szCs w:val="32"/>
          <w:lang w:val="en-US" w:eastAsia="zh-CN"/>
        </w:rPr>
        <w:t>且</w:t>
      </w:r>
      <w:r>
        <w:rPr>
          <w:rFonts w:hint="eastAsia" w:ascii="仿宋_GB2312" w:hAnsi="仿宋_GB2312" w:eastAsia="仿宋_GB2312" w:cs="仿宋_GB2312"/>
          <w:color w:val="000000"/>
          <w:sz w:val="32"/>
          <w:szCs w:val="32"/>
        </w:rPr>
        <w:t>没有违约情形的，甲方无息退还，如因乙方原因导致的违约或发生食品安全等问题造成甲方损失的，甲方有权</w:t>
      </w:r>
      <w:r>
        <w:rPr>
          <w:rFonts w:hint="eastAsia" w:ascii="仿宋_GB2312" w:hAnsi="仿宋_GB2312" w:eastAsia="仿宋_GB2312" w:cs="仿宋_GB2312"/>
          <w:color w:val="000000"/>
          <w:sz w:val="32"/>
          <w:szCs w:val="32"/>
          <w:lang w:eastAsia="zh-CN"/>
        </w:rPr>
        <w:t>按照合同约定的违约金额</w:t>
      </w:r>
      <w:r>
        <w:rPr>
          <w:rFonts w:hint="eastAsia" w:ascii="仿宋_GB2312" w:hAnsi="仿宋_GB2312" w:eastAsia="仿宋_GB2312" w:cs="仿宋_GB2312"/>
          <w:color w:val="000000"/>
          <w:sz w:val="32"/>
          <w:szCs w:val="32"/>
        </w:rPr>
        <w:t>直接从该履约保证金中扣除违约金、赔偿金</w:t>
      </w:r>
      <w:r>
        <w:rPr>
          <w:rFonts w:hint="eastAsia" w:ascii="仿宋_GB2312" w:hAnsi="仿宋_GB2312" w:eastAsia="仿宋_GB2312" w:cs="仿宋_GB2312"/>
          <w:color w:val="000000"/>
          <w:sz w:val="32"/>
          <w:szCs w:val="32"/>
          <w:lang w:eastAsia="zh-CN"/>
        </w:rPr>
        <w:t>和其它应由乙方支付的费用，履约保证金不足以</w:t>
      </w:r>
      <w:r>
        <w:rPr>
          <w:rFonts w:hint="eastAsia" w:ascii="仿宋_GB2312" w:hAnsi="仿宋_GB2312" w:eastAsia="仿宋_GB2312" w:cs="仿宋_GB2312"/>
          <w:bCs/>
          <w:color w:val="000000"/>
          <w:kern w:val="2"/>
          <w:sz w:val="32"/>
          <w:szCs w:val="32"/>
          <w:lang w:eastAsia="zh-CN"/>
        </w:rPr>
        <w:t>支付的部分，甲方有权从应支付给乙方的货款中</w:t>
      </w:r>
      <w:r>
        <w:rPr>
          <w:rFonts w:hint="eastAsia" w:ascii="仿宋_GB2312" w:hAnsi="仿宋_GB2312" w:eastAsia="仿宋_GB2312" w:cs="仿宋_GB2312"/>
          <w:bCs/>
          <w:color w:val="000000"/>
          <w:kern w:val="2"/>
          <w:sz w:val="32"/>
          <w:szCs w:val="32"/>
          <w:lang w:val="en-US" w:eastAsia="zh-CN"/>
        </w:rPr>
        <w:t>扣除。乙方货款仍不足弥补甲方的，甲方有权另外向乙方追索相关赔偿。</w:t>
      </w:r>
    </w:p>
    <w:p w14:paraId="73DC4D89">
      <w:pPr>
        <w:pageBreakBefore w:val="0"/>
        <w:widowControl w:val="0"/>
        <w:kinsoku/>
        <w:wordWrap/>
        <w:overflowPunct/>
        <w:topLinePunct w:val="0"/>
        <w:bidi w:val="0"/>
        <w:snapToGrid/>
        <w:spacing w:before="0" w:line="600" w:lineRule="exact"/>
        <w:ind w:firstLine="640" w:firstLineChars="200"/>
        <w:jc w:val="both"/>
        <w:rPr>
          <w:rFonts w:hint="eastAsia" w:ascii="仿宋_GB2312" w:hAnsi="仿宋_GB2312" w:eastAsia="仿宋_GB2312" w:cs="仿宋_GB2312"/>
          <w:bCs/>
          <w:color w:val="000000"/>
          <w:kern w:val="2"/>
          <w:sz w:val="32"/>
          <w:szCs w:val="32"/>
          <w:lang w:eastAsia="zh-CN"/>
        </w:rPr>
      </w:pPr>
      <w:r>
        <w:rPr>
          <w:rFonts w:hint="eastAsia" w:ascii="仿宋_GB2312" w:hAnsi="仿宋_GB2312" w:eastAsia="仿宋_GB2312" w:cs="仿宋_GB2312"/>
          <w:b w:val="0"/>
          <w:bCs/>
          <w:kern w:val="2"/>
          <w:sz w:val="32"/>
          <w:szCs w:val="32"/>
          <w:lang w:val="en-US" w:eastAsia="zh-CN"/>
        </w:rPr>
        <w:t>（十三）</w:t>
      </w:r>
      <w:r>
        <w:rPr>
          <w:rFonts w:hint="eastAsia" w:ascii="仿宋_GB2312" w:hAnsi="仿宋_GB2312" w:eastAsia="仿宋_GB2312" w:cs="仿宋_GB2312"/>
          <w:bCs/>
          <w:color w:val="auto"/>
          <w:kern w:val="2"/>
          <w:sz w:val="32"/>
          <w:szCs w:val="32"/>
          <w:highlight w:val="none"/>
          <w:lang w:eastAsia="zh-CN"/>
        </w:rPr>
        <w:t>乙方每学期免费对</w:t>
      </w:r>
      <w:r>
        <w:rPr>
          <w:rFonts w:hint="eastAsia" w:ascii="仿宋_GB2312" w:hAnsi="仿宋_GB2312" w:eastAsia="仿宋_GB2312" w:cs="仿宋_GB2312"/>
          <w:bCs/>
          <w:color w:val="000000"/>
          <w:kern w:val="2"/>
          <w:sz w:val="32"/>
          <w:szCs w:val="32"/>
          <w:lang w:eastAsia="zh-CN"/>
        </w:rPr>
        <w:t>营养</w:t>
      </w:r>
      <w:r>
        <w:rPr>
          <w:rFonts w:hint="eastAsia" w:ascii="仿宋_GB2312" w:hAnsi="仿宋_GB2312" w:eastAsia="仿宋_GB2312" w:cs="仿宋_GB2312"/>
          <w:bCs/>
          <w:color w:val="auto"/>
          <w:kern w:val="2"/>
          <w:sz w:val="32"/>
          <w:szCs w:val="32"/>
          <w:highlight w:val="none"/>
          <w:lang w:eastAsia="zh-CN"/>
        </w:rPr>
        <w:t>餐项目的供餐学校管理人员进行一次储存管理、</w:t>
      </w:r>
      <w:r>
        <w:rPr>
          <w:rFonts w:hint="eastAsia" w:ascii="仿宋_GB2312" w:hAnsi="仿宋_GB2312" w:eastAsia="仿宋_GB2312" w:cs="仿宋_GB2312"/>
          <w:bCs/>
          <w:color w:val="000000"/>
          <w:kern w:val="2"/>
          <w:sz w:val="32"/>
          <w:szCs w:val="32"/>
          <w:lang w:eastAsia="zh-CN"/>
        </w:rPr>
        <w:t>验收等</w:t>
      </w:r>
      <w:r>
        <w:rPr>
          <w:rFonts w:hint="eastAsia" w:ascii="仿宋_GB2312" w:hAnsi="仿宋_GB2312" w:eastAsia="仿宋_GB2312" w:cs="仿宋_GB2312"/>
          <w:bCs/>
          <w:color w:val="auto"/>
          <w:kern w:val="2"/>
          <w:sz w:val="32"/>
          <w:szCs w:val="32"/>
          <w:highlight w:val="none"/>
          <w:lang w:eastAsia="zh-CN"/>
        </w:rPr>
        <w:t>业务培训。</w:t>
      </w:r>
    </w:p>
    <w:p w14:paraId="7BF90BF4">
      <w:pPr>
        <w:pageBreakBefore w:val="0"/>
        <w:widowControl w:val="0"/>
        <w:kinsoku/>
        <w:wordWrap/>
        <w:overflowPunct/>
        <w:topLinePunct w:val="0"/>
        <w:bidi w:val="0"/>
        <w:snapToGrid/>
        <w:spacing w:before="0" w:line="600" w:lineRule="exact"/>
        <w:ind w:firstLine="640" w:firstLineChars="200"/>
        <w:jc w:val="both"/>
        <w:rPr>
          <w:rFonts w:hint="eastAsia" w:ascii="仿宋_GB2312" w:hAnsi="仿宋_GB2312" w:eastAsia="仿宋_GB2312" w:cs="仿宋_GB2312"/>
          <w:bCs/>
          <w:kern w:val="2"/>
          <w:sz w:val="32"/>
          <w:szCs w:val="32"/>
          <w:lang w:eastAsia="zh-CN"/>
        </w:rPr>
      </w:pPr>
      <w:r>
        <w:rPr>
          <w:rFonts w:hint="eastAsia" w:ascii="仿宋_GB2312" w:hAnsi="仿宋_GB2312" w:eastAsia="仿宋_GB2312" w:cs="仿宋_GB2312"/>
          <w:bCs/>
          <w:color w:val="000000"/>
          <w:kern w:val="2"/>
          <w:sz w:val="32"/>
          <w:szCs w:val="32"/>
          <w:lang w:eastAsia="zh-CN"/>
        </w:rPr>
        <w:t>（十四）</w:t>
      </w:r>
      <w:r>
        <w:rPr>
          <w:rFonts w:hint="eastAsia" w:ascii="仿宋_GB2312" w:hAnsi="仿宋_GB2312" w:eastAsia="仿宋_GB2312" w:cs="仿宋_GB2312"/>
          <w:b w:val="0"/>
          <w:bCs/>
          <w:kern w:val="2"/>
          <w:sz w:val="32"/>
          <w:szCs w:val="32"/>
          <w:lang w:val="en-US" w:eastAsia="zh-CN"/>
        </w:rPr>
        <w:t>法律法规和相关政策规定</w:t>
      </w:r>
      <w:r>
        <w:rPr>
          <w:rFonts w:hint="eastAsia" w:ascii="仿宋_GB2312" w:hAnsi="仿宋_GB2312" w:eastAsia="仿宋_GB2312" w:cs="仿宋_GB2312"/>
          <w:b w:val="0"/>
          <w:bCs/>
          <w:kern w:val="2"/>
          <w:sz w:val="32"/>
          <w:szCs w:val="32"/>
          <w:lang w:val="en-US" w:eastAsia="zh-CN"/>
        </w:rPr>
        <w:t>乙方应尽到的其它食品安全责任</w:t>
      </w:r>
      <w:r>
        <w:rPr>
          <w:rFonts w:hint="eastAsia" w:ascii="仿宋_GB2312" w:hAnsi="仿宋_GB2312" w:eastAsia="仿宋_GB2312" w:cs="仿宋_GB2312"/>
          <w:b w:val="0"/>
          <w:bCs/>
          <w:kern w:val="2"/>
          <w:sz w:val="32"/>
          <w:szCs w:val="32"/>
          <w:lang w:eastAsia="zh-CN"/>
        </w:rPr>
        <w:t>。</w:t>
      </w:r>
    </w:p>
    <w:p w14:paraId="626A9BAB">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lang w:eastAsia="zh-CN"/>
        </w:rPr>
      </w:pPr>
      <w:r>
        <w:rPr>
          <w:rFonts w:hint="eastAsia" w:ascii="黑体" w:hAnsi="黑体" w:eastAsia="黑体" w:cs="黑体"/>
          <w:b w:val="0"/>
          <w:bCs/>
          <w:kern w:val="2"/>
          <w:sz w:val="32"/>
          <w:szCs w:val="32"/>
          <w:lang w:eastAsia="zh-CN"/>
        </w:rPr>
        <w:t>八</w:t>
      </w:r>
      <w:r>
        <w:rPr>
          <w:rFonts w:hint="eastAsia" w:ascii="黑体" w:hAnsi="黑体" w:eastAsia="黑体" w:cs="黑体"/>
          <w:b w:val="0"/>
          <w:bCs/>
          <w:kern w:val="2"/>
          <w:sz w:val="32"/>
          <w:szCs w:val="32"/>
        </w:rPr>
        <w:t>、质量</w:t>
      </w:r>
      <w:r>
        <w:rPr>
          <w:rFonts w:hint="eastAsia" w:ascii="黑体" w:hAnsi="黑体" w:eastAsia="黑体" w:cs="黑体"/>
          <w:b w:val="0"/>
          <w:bCs/>
          <w:kern w:val="2"/>
          <w:sz w:val="32"/>
          <w:szCs w:val="32"/>
          <w:lang w:eastAsia="zh-CN"/>
        </w:rPr>
        <w:t>要求</w:t>
      </w:r>
    </w:p>
    <w:p w14:paraId="37717B3C">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（一）采购品类及要求：</w:t>
      </w:r>
    </w:p>
    <w:tbl>
      <w:tblPr>
        <w:tblStyle w:val="12"/>
        <w:tblW w:w="9636" w:type="dxa"/>
        <w:jc w:val="center"/>
        <w:tblLayout w:type="fixed"/>
        <w:tblCellMar>
          <w:top w:w="0" w:type="dxa"/>
          <w:left w:w="108" w:type="dxa"/>
          <w:bottom w:w="0" w:type="dxa"/>
          <w:right w:w="108" w:type="dxa"/>
        </w:tblCellMar>
      </w:tblPr>
      <w:tblGrid>
        <w:gridCol w:w="1098"/>
        <w:gridCol w:w="1770"/>
        <w:gridCol w:w="4044"/>
        <w:gridCol w:w="1382"/>
        <w:gridCol w:w="1342"/>
      </w:tblGrid>
      <w:tr w14:paraId="556FFFE7">
        <w:tblPrEx>
          <w:tblCellMar>
            <w:top w:w="0" w:type="dxa"/>
            <w:left w:w="108" w:type="dxa"/>
            <w:bottom w:w="0" w:type="dxa"/>
            <w:right w:w="108" w:type="dxa"/>
          </w:tblCellMar>
        </w:tblPrEx>
        <w:trPr>
          <w:trHeight w:val="490" w:hRule="atLeast"/>
          <w:jc w:val="center"/>
        </w:trPr>
        <w:tc>
          <w:tcPr>
            <w:tcW w:w="1098" w:type="dxa"/>
            <w:tcBorders>
              <w:top w:val="single" w:color="000000" w:sz="8" w:space="0"/>
              <w:left w:val="single" w:color="000000" w:sz="8" w:space="0"/>
              <w:bottom w:val="nil"/>
              <w:right w:val="single" w:color="000000" w:sz="8" w:space="0"/>
            </w:tcBorders>
            <w:shd w:val="clear" w:color="auto" w:fill="auto"/>
            <w:vAlign w:val="center"/>
          </w:tcPr>
          <w:p w14:paraId="7F7497FC">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eastAsia" w:ascii="黑体" w:hAnsi="黑体" w:eastAsia="黑体" w:cs="黑体"/>
                <w:color w:val="000000"/>
                <w:sz w:val="22"/>
                <w:szCs w:val="22"/>
              </w:rPr>
            </w:pPr>
            <w:r>
              <w:rPr>
                <w:rStyle w:val="18"/>
                <w:rFonts w:hint="eastAsia" w:ascii="黑体" w:hAnsi="黑体" w:eastAsia="黑体" w:cs="黑体"/>
                <w:sz w:val="22"/>
                <w:szCs w:val="22"/>
                <w:lang w:bidi="ar"/>
              </w:rPr>
              <w:t>采购品类</w:t>
            </w:r>
          </w:p>
        </w:tc>
        <w:tc>
          <w:tcPr>
            <w:tcW w:w="1770" w:type="dxa"/>
            <w:tcBorders>
              <w:top w:val="single" w:color="000000" w:sz="8" w:space="0"/>
              <w:left w:val="single" w:color="000000" w:sz="8" w:space="0"/>
              <w:bottom w:val="nil"/>
              <w:right w:val="single" w:color="000000" w:sz="8" w:space="0"/>
            </w:tcBorders>
            <w:shd w:val="clear" w:color="auto" w:fill="auto"/>
            <w:vAlign w:val="center"/>
          </w:tcPr>
          <w:p w14:paraId="5090A24F">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eastAsia" w:ascii="黑体" w:hAnsi="黑体" w:eastAsia="黑体" w:cs="黑体"/>
                <w:color w:val="000000"/>
                <w:sz w:val="22"/>
                <w:szCs w:val="22"/>
              </w:rPr>
            </w:pPr>
            <w:r>
              <w:rPr>
                <w:rStyle w:val="18"/>
                <w:rFonts w:hint="eastAsia" w:ascii="黑体" w:hAnsi="黑体" w:eastAsia="黑体" w:cs="黑体"/>
                <w:sz w:val="22"/>
                <w:szCs w:val="22"/>
                <w:lang w:bidi="ar"/>
              </w:rPr>
              <w:t>采购资金预算</w:t>
            </w:r>
          </w:p>
        </w:tc>
        <w:tc>
          <w:tcPr>
            <w:tcW w:w="4044" w:type="dxa"/>
            <w:tcBorders>
              <w:top w:val="single" w:color="000000" w:sz="8" w:space="0"/>
              <w:left w:val="single" w:color="000000" w:sz="8" w:space="0"/>
              <w:bottom w:val="nil"/>
              <w:right w:val="single" w:color="000000" w:sz="8" w:space="0"/>
            </w:tcBorders>
            <w:shd w:val="clear" w:color="auto" w:fill="auto"/>
            <w:vAlign w:val="center"/>
          </w:tcPr>
          <w:p w14:paraId="0583D99F">
            <w:pPr>
              <w:keepNext w:val="0"/>
              <w:keepLines w:val="0"/>
              <w:pageBreakBefore w:val="0"/>
              <w:widowControl/>
              <w:kinsoku/>
              <w:wordWrap/>
              <w:overflowPunct/>
              <w:topLinePunct w:val="0"/>
              <w:autoSpaceDE/>
              <w:autoSpaceDN/>
              <w:bidi w:val="0"/>
              <w:adjustRightInd/>
              <w:snapToGrid/>
              <w:spacing w:line="240" w:lineRule="atLeast"/>
              <w:ind w:firstLine="440" w:firstLineChars="200"/>
              <w:jc w:val="center"/>
              <w:textAlignment w:val="center"/>
              <w:rPr>
                <w:rFonts w:hint="eastAsia" w:ascii="黑体" w:hAnsi="黑体" w:eastAsia="黑体" w:cs="黑体"/>
                <w:color w:val="000000"/>
                <w:sz w:val="22"/>
                <w:szCs w:val="22"/>
              </w:rPr>
            </w:pPr>
            <w:r>
              <w:rPr>
                <w:rStyle w:val="18"/>
                <w:rFonts w:hint="eastAsia" w:ascii="黑体" w:hAnsi="黑体" w:eastAsia="黑体" w:cs="黑体"/>
                <w:sz w:val="22"/>
                <w:szCs w:val="22"/>
                <w:lang w:bidi="ar"/>
              </w:rPr>
              <w:t>规格技术要求</w:t>
            </w:r>
          </w:p>
        </w:tc>
        <w:tc>
          <w:tcPr>
            <w:tcW w:w="1382" w:type="dxa"/>
            <w:tcBorders>
              <w:top w:val="single" w:color="000000" w:sz="8" w:space="0"/>
              <w:left w:val="single" w:color="000000" w:sz="8" w:space="0"/>
              <w:bottom w:val="nil"/>
              <w:right w:val="single" w:color="000000" w:sz="8" w:space="0"/>
            </w:tcBorders>
            <w:shd w:val="clear" w:color="auto" w:fill="auto"/>
            <w:vAlign w:val="center"/>
          </w:tcPr>
          <w:p w14:paraId="7225306F">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eastAsia" w:ascii="黑体" w:hAnsi="黑体" w:eastAsia="黑体" w:cs="黑体"/>
                <w:color w:val="000000"/>
                <w:sz w:val="22"/>
                <w:szCs w:val="22"/>
              </w:rPr>
            </w:pPr>
            <w:r>
              <w:rPr>
                <w:rStyle w:val="18"/>
                <w:rFonts w:hint="eastAsia" w:ascii="黑体" w:hAnsi="黑体" w:eastAsia="黑体" w:cs="黑体"/>
                <w:sz w:val="22"/>
                <w:szCs w:val="22"/>
                <w:lang w:bidi="ar"/>
              </w:rPr>
              <w:t>质量标准</w:t>
            </w:r>
          </w:p>
        </w:tc>
        <w:tc>
          <w:tcPr>
            <w:tcW w:w="1342" w:type="dxa"/>
            <w:tcBorders>
              <w:top w:val="single" w:color="000000" w:sz="8" w:space="0"/>
              <w:left w:val="single" w:color="000000" w:sz="8" w:space="0"/>
              <w:bottom w:val="nil"/>
              <w:right w:val="single" w:color="000000" w:sz="8" w:space="0"/>
            </w:tcBorders>
            <w:shd w:val="clear" w:color="auto" w:fill="auto"/>
            <w:vAlign w:val="center"/>
          </w:tcPr>
          <w:p w14:paraId="2F531660">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eastAsia" w:ascii="黑体" w:hAnsi="黑体" w:eastAsia="黑体" w:cs="黑体"/>
                <w:color w:val="000000"/>
                <w:sz w:val="22"/>
                <w:szCs w:val="22"/>
              </w:rPr>
            </w:pPr>
            <w:r>
              <w:rPr>
                <w:rStyle w:val="18"/>
                <w:rFonts w:hint="eastAsia" w:ascii="黑体" w:hAnsi="黑体" w:eastAsia="黑体" w:cs="黑体"/>
                <w:sz w:val="22"/>
                <w:szCs w:val="22"/>
                <w:lang w:bidi="ar"/>
              </w:rPr>
              <w:t>其他要求</w:t>
            </w:r>
          </w:p>
        </w:tc>
      </w:tr>
      <w:tr w14:paraId="6BD6E09D">
        <w:tblPrEx>
          <w:tblCellMar>
            <w:top w:w="0" w:type="dxa"/>
            <w:left w:w="108" w:type="dxa"/>
            <w:bottom w:w="0" w:type="dxa"/>
            <w:right w:w="108" w:type="dxa"/>
          </w:tblCellMar>
        </w:tblPrEx>
        <w:trPr>
          <w:trHeight w:val="756"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7CC66">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肉类</w:t>
            </w:r>
          </w:p>
        </w:tc>
        <w:tc>
          <w:tcPr>
            <w:tcW w:w="1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28B60C">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资金预算</w:t>
            </w:r>
            <w:r>
              <w:rPr>
                <w:rStyle w:val="19"/>
                <w:rFonts w:hint="eastAsia" w:ascii="仿宋" w:hAnsi="仿宋" w:eastAsia="仿宋" w:cs="仿宋"/>
                <w:lang w:val="en-US" w:eastAsia="zh-CN" w:bidi="ar"/>
              </w:rPr>
              <w:t>**</w:t>
            </w:r>
            <w:r>
              <w:rPr>
                <w:rStyle w:val="19"/>
                <w:rFonts w:hint="eastAsia" w:ascii="仿宋" w:hAnsi="仿宋" w:eastAsia="仿宋" w:cs="仿宋"/>
                <w:lang w:bidi="ar"/>
              </w:rPr>
              <w:t>万元，补助标准5元/人/天</w:t>
            </w: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EF83">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热鲜优质肉类，其中禽类必须整只供应，不含瘦肉精、无激素、无质变</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5D0E56">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符合</w:t>
            </w:r>
            <w:r>
              <w:rPr>
                <w:rFonts w:hint="eastAsia" w:ascii="仿宋" w:hAnsi="仿宋" w:eastAsia="仿宋" w:cs="仿宋"/>
                <w:b w:val="0"/>
                <w:bCs w:val="0"/>
                <w:color w:val="000000"/>
                <w:sz w:val="22"/>
                <w:szCs w:val="22"/>
                <w:lang w:bidi="ar"/>
              </w:rPr>
              <w:t>《中华人民共和国食品安全法》和</w:t>
            </w:r>
            <w:r>
              <w:rPr>
                <w:rFonts w:hint="eastAsia" w:ascii="仿宋" w:hAnsi="仿宋" w:eastAsia="仿宋" w:cs="仿宋"/>
                <w:b w:val="0"/>
                <w:bCs w:val="0"/>
                <w:color w:val="000000"/>
                <w:sz w:val="22"/>
                <w:szCs w:val="22"/>
                <w:lang w:val="en-US" w:eastAsia="zh-CN" w:bidi="ar"/>
              </w:rPr>
              <w:t>国家标准或相关合格证明</w:t>
            </w:r>
            <w:r>
              <w:rPr>
                <w:rFonts w:hint="eastAsia" w:ascii="仿宋" w:hAnsi="仿宋" w:eastAsia="仿宋" w:cs="仿宋"/>
                <w:color w:val="000000"/>
                <w:kern w:val="0"/>
                <w:sz w:val="22"/>
                <w:szCs w:val="22"/>
                <w:lang w:bidi="ar"/>
              </w:rPr>
              <w:t>等国家现行法律法规</w:t>
            </w:r>
            <w:r>
              <w:rPr>
                <w:rFonts w:hint="eastAsia" w:ascii="仿宋" w:hAnsi="仿宋" w:eastAsia="仿宋" w:cs="仿宋"/>
                <w:b w:val="0"/>
                <w:bCs w:val="0"/>
                <w:color w:val="000000"/>
                <w:sz w:val="22"/>
                <w:szCs w:val="22"/>
                <w:lang w:bidi="ar"/>
              </w:rPr>
              <w:t>和政策</w:t>
            </w:r>
            <w:r>
              <w:rPr>
                <w:rFonts w:hint="eastAsia" w:ascii="仿宋" w:hAnsi="仿宋" w:eastAsia="仿宋" w:cs="仿宋"/>
                <w:b w:val="0"/>
                <w:bCs w:val="0"/>
                <w:color w:val="000000"/>
                <w:sz w:val="22"/>
                <w:szCs w:val="22"/>
                <w:lang w:eastAsia="zh-CN" w:bidi="ar"/>
              </w:rPr>
              <w:t>规定</w:t>
            </w:r>
            <w:r>
              <w:rPr>
                <w:rFonts w:hint="eastAsia" w:ascii="仿宋" w:hAnsi="仿宋" w:eastAsia="仿宋" w:cs="仿宋"/>
                <w:b w:val="0"/>
                <w:bCs w:val="0"/>
                <w:color w:val="000000"/>
                <w:sz w:val="22"/>
                <w:szCs w:val="22"/>
                <w:lang w:bidi="ar"/>
              </w:rPr>
              <w:t>的</w:t>
            </w:r>
            <w:r>
              <w:rPr>
                <w:rFonts w:hint="eastAsia" w:ascii="仿宋" w:hAnsi="仿宋" w:eastAsia="仿宋" w:cs="仿宋"/>
                <w:b w:val="0"/>
                <w:bCs w:val="0"/>
                <w:color w:val="000000"/>
                <w:sz w:val="22"/>
                <w:szCs w:val="22"/>
                <w:lang w:eastAsia="zh-CN" w:bidi="ar"/>
              </w:rPr>
              <w:t>质量</w:t>
            </w:r>
            <w:r>
              <w:rPr>
                <w:rFonts w:hint="eastAsia" w:ascii="仿宋" w:hAnsi="仿宋" w:eastAsia="仿宋" w:cs="仿宋"/>
                <w:b w:val="0"/>
                <w:bCs w:val="0"/>
                <w:color w:val="000000"/>
                <w:sz w:val="22"/>
                <w:szCs w:val="22"/>
                <w:lang w:bidi="ar"/>
              </w:rPr>
              <w:t>要求</w:t>
            </w:r>
          </w:p>
        </w:tc>
        <w:tc>
          <w:tcPr>
            <w:tcW w:w="13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570C4E">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双方可根据生产季节、天气等情况协商调整每期采购计划中的品种。</w:t>
            </w:r>
            <w:r>
              <w:rPr>
                <w:rStyle w:val="19"/>
                <w:rFonts w:hint="eastAsia" w:ascii="仿宋" w:hAnsi="仿宋" w:eastAsia="仿宋" w:cs="仿宋"/>
                <w:lang w:eastAsia="zh-CN" w:bidi="ar"/>
              </w:rPr>
              <w:t>乙方</w:t>
            </w:r>
            <w:r>
              <w:rPr>
                <w:rStyle w:val="19"/>
                <w:rFonts w:hint="eastAsia" w:ascii="仿宋" w:hAnsi="仿宋" w:eastAsia="仿宋" w:cs="仿宋"/>
                <w:lang w:bidi="ar"/>
              </w:rPr>
              <w:t>必须能保证提供丰富的品种供</w:t>
            </w:r>
            <w:r>
              <w:rPr>
                <w:rStyle w:val="19"/>
                <w:rFonts w:hint="eastAsia" w:ascii="仿宋" w:hAnsi="仿宋" w:eastAsia="仿宋" w:cs="仿宋"/>
                <w:lang w:eastAsia="zh-CN" w:bidi="ar"/>
              </w:rPr>
              <w:t>甲方或甲方指定供应的学校</w:t>
            </w:r>
            <w:r>
              <w:rPr>
                <w:rStyle w:val="19"/>
                <w:rFonts w:hint="eastAsia" w:ascii="仿宋" w:hAnsi="仿宋" w:eastAsia="仿宋" w:cs="仿宋"/>
                <w:lang w:bidi="ar"/>
              </w:rPr>
              <w:t>选择。</w:t>
            </w:r>
          </w:p>
        </w:tc>
      </w:tr>
      <w:tr w14:paraId="7CE4800A">
        <w:tblPrEx>
          <w:tblCellMar>
            <w:top w:w="0" w:type="dxa"/>
            <w:left w:w="108" w:type="dxa"/>
            <w:bottom w:w="0" w:type="dxa"/>
            <w:right w:w="108" w:type="dxa"/>
          </w:tblCellMar>
        </w:tblPrEx>
        <w:trPr>
          <w:trHeight w:val="480"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172A">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lang w:val="en-US" w:eastAsia="zh-CN"/>
              </w:rPr>
            </w:pPr>
            <w:r>
              <w:rPr>
                <w:rStyle w:val="19"/>
                <w:rFonts w:hint="eastAsia" w:ascii="仿宋" w:hAnsi="仿宋" w:eastAsia="仿宋" w:cs="仿宋"/>
                <w:lang w:bidi="ar"/>
              </w:rPr>
              <w:t>水</w:t>
            </w:r>
            <w:r>
              <w:rPr>
                <w:rStyle w:val="19"/>
                <w:rFonts w:hint="eastAsia" w:ascii="仿宋" w:hAnsi="仿宋" w:eastAsia="仿宋" w:cs="仿宋"/>
                <w:lang w:val="en-US" w:eastAsia="zh-CN" w:bidi="ar"/>
              </w:rPr>
              <w:t>产</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A6B42">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7DA33">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各类优质水产品</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EFCB3B">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46BE9">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74C6695F">
        <w:tblPrEx>
          <w:tblCellMar>
            <w:top w:w="0" w:type="dxa"/>
            <w:left w:w="108" w:type="dxa"/>
            <w:bottom w:w="0" w:type="dxa"/>
            <w:right w:w="108" w:type="dxa"/>
          </w:tblCellMar>
        </w:tblPrEx>
        <w:trPr>
          <w:trHeight w:val="480"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6DB7">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禽蛋</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2BB8F">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06E3">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新鲜优质家禽蛋、无质变和破损</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4FAC7">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3DF5B">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7214AF0A">
        <w:tblPrEx>
          <w:tblCellMar>
            <w:top w:w="0" w:type="dxa"/>
            <w:left w:w="108" w:type="dxa"/>
            <w:bottom w:w="0" w:type="dxa"/>
            <w:right w:w="108" w:type="dxa"/>
          </w:tblCellMar>
        </w:tblPrEx>
        <w:trPr>
          <w:trHeight w:val="480"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A53D1">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蔬菜瓜果</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4C4BA">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0D7F">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新鲜绿色蔬菜瓜果、无超标农药残余</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32114">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ED1F6">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4E645883">
        <w:tblPrEx>
          <w:tblCellMar>
            <w:top w:w="0" w:type="dxa"/>
            <w:left w:w="108" w:type="dxa"/>
            <w:bottom w:w="0" w:type="dxa"/>
            <w:right w:w="108" w:type="dxa"/>
          </w:tblCellMar>
        </w:tblPrEx>
        <w:trPr>
          <w:trHeight w:val="756"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B2D6">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豆制品和半成品</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7507E">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566F4">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新鲜干净无质变豆制品和半成品</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483C5">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144DF">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6C73CEE2">
        <w:tblPrEx>
          <w:tblCellMar>
            <w:top w:w="0" w:type="dxa"/>
            <w:left w:w="108" w:type="dxa"/>
            <w:bottom w:w="0" w:type="dxa"/>
            <w:right w:w="108" w:type="dxa"/>
          </w:tblCellMar>
        </w:tblPrEx>
        <w:trPr>
          <w:trHeight w:val="495"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D208F">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米</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0135A">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D5876">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非陈米，无质变，优质大米</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D8976">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3BF9D">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2A0A8FF0">
        <w:tblPrEx>
          <w:tblCellMar>
            <w:top w:w="0" w:type="dxa"/>
            <w:left w:w="108" w:type="dxa"/>
            <w:bottom w:w="0" w:type="dxa"/>
            <w:right w:w="108" w:type="dxa"/>
          </w:tblCellMar>
        </w:tblPrEx>
        <w:trPr>
          <w:trHeight w:val="940"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84FBF">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油</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D74FA">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1231E">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非转基因、无勾兑原厂封装优质食用油，营养成分符合国家标准</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CAEE7">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8A90E">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319FD47C">
        <w:tblPrEx>
          <w:tblCellMar>
            <w:top w:w="0" w:type="dxa"/>
            <w:left w:w="108" w:type="dxa"/>
            <w:bottom w:w="0" w:type="dxa"/>
            <w:right w:w="108" w:type="dxa"/>
          </w:tblCellMar>
        </w:tblPrEx>
        <w:trPr>
          <w:trHeight w:val="480"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3AFEB">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干货类</w:t>
            </w: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0A142">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EEA18">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Style w:val="19"/>
                <w:rFonts w:hint="eastAsia" w:ascii="仿宋" w:hAnsi="仿宋" w:eastAsia="仿宋" w:cs="仿宋"/>
                <w:lang w:bidi="ar"/>
              </w:rPr>
              <w:t>安全无质变干货</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F47D9">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375E5">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2985C6BA">
        <w:tblPrEx>
          <w:tblCellMar>
            <w:top w:w="0" w:type="dxa"/>
            <w:left w:w="108" w:type="dxa"/>
            <w:bottom w:w="0" w:type="dxa"/>
            <w:right w:w="108" w:type="dxa"/>
          </w:tblCellMar>
        </w:tblPrEx>
        <w:trPr>
          <w:trHeight w:val="505" w:hRule="atLeast"/>
          <w:jc w:val="center"/>
        </w:trPr>
        <w:tc>
          <w:tcPr>
            <w:tcW w:w="10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69DF">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4"/>
              </w:rPr>
            </w:pPr>
            <w:r>
              <w:rPr>
                <w:rStyle w:val="20"/>
                <w:rFonts w:hint="eastAsia" w:ascii="仿宋" w:hAnsi="仿宋" w:eastAsia="仿宋" w:cs="仿宋"/>
                <w:lang w:bidi="ar"/>
              </w:rPr>
              <w:t>调味品</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AF15E">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4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653CB">
            <w:pPr>
              <w:keepNext w:val="0"/>
              <w:keepLines w:val="0"/>
              <w:pageBreakBefore w:val="0"/>
              <w:widowControl/>
              <w:kinsoku/>
              <w:wordWrap/>
              <w:overflowPunct/>
              <w:topLinePunct w:val="0"/>
              <w:autoSpaceDE/>
              <w:autoSpaceDN/>
              <w:bidi w:val="0"/>
              <w:adjustRightInd/>
              <w:snapToGrid/>
              <w:spacing w:line="240" w:lineRule="atLeast"/>
              <w:jc w:val="both"/>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保质期内安全无质变调味品</w:t>
            </w: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94B92">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7210E">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p>
        </w:tc>
      </w:tr>
      <w:tr w14:paraId="2C4CF04B">
        <w:tblPrEx>
          <w:tblCellMar>
            <w:top w:w="0" w:type="dxa"/>
            <w:left w:w="108" w:type="dxa"/>
            <w:bottom w:w="0" w:type="dxa"/>
            <w:right w:w="108" w:type="dxa"/>
          </w:tblCellMar>
        </w:tblPrEx>
        <w:trPr>
          <w:trHeight w:val="766" w:hRule="atLeast"/>
          <w:jc w:val="center"/>
        </w:trPr>
        <w:tc>
          <w:tcPr>
            <w:tcW w:w="963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tbl>
            <w:tblPr>
              <w:tblStyle w:val="12"/>
              <w:tblpPr w:leftFromText="180" w:rightFromText="180" w:vertAnchor="text" w:horzAnchor="page" w:tblpX="19" w:tblpY="1788"/>
              <w:tblOverlap w:val="never"/>
              <w:tblW w:w="92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7"/>
              <w:gridCol w:w="762"/>
              <w:gridCol w:w="1468"/>
              <w:gridCol w:w="2174"/>
              <w:gridCol w:w="1052"/>
              <w:gridCol w:w="982"/>
              <w:gridCol w:w="1023"/>
              <w:gridCol w:w="1377"/>
            </w:tblGrid>
            <w:tr w14:paraId="1ABEB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0" w:hRule="atLeast"/>
              </w:trPr>
              <w:tc>
                <w:tcPr>
                  <w:tcW w:w="9245" w:type="dxa"/>
                  <w:gridSpan w:val="8"/>
                  <w:tcBorders>
                    <w:top w:val="nil"/>
                    <w:left w:val="nil"/>
                    <w:bottom w:val="nil"/>
                    <w:right w:val="nil"/>
                  </w:tcBorders>
                  <w:shd w:val="clear" w:color="auto" w:fill="auto"/>
                  <w:noWrap/>
                  <w:tcMar>
                    <w:top w:w="15" w:type="dxa"/>
                    <w:left w:w="15" w:type="dxa"/>
                    <w:right w:w="15" w:type="dxa"/>
                  </w:tcMar>
                  <w:vAlign w:val="center"/>
                </w:tcPr>
                <w:p w14:paraId="03C3F941">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4"/>
                      <w:szCs w:val="24"/>
                      <w:u w:val="none"/>
                      <w:lang w:val="en-US" w:eastAsia="zh-Hans" w:bidi="ar"/>
                    </w:rPr>
                    <w:t>农村义务教育学生营养改善计划食堂供餐热餐（中午餐）食物种类及数量</w:t>
                  </w:r>
                </w:p>
              </w:tc>
            </w:tr>
            <w:tr w14:paraId="2882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407" w:type="dxa"/>
                  <w:tcBorders>
                    <w:top w:val="nil"/>
                    <w:left w:val="nil"/>
                    <w:bottom w:val="nil"/>
                    <w:right w:val="nil"/>
                  </w:tcBorders>
                  <w:shd w:val="clear" w:color="auto" w:fill="auto"/>
                  <w:noWrap/>
                  <w:tcMar>
                    <w:top w:w="15" w:type="dxa"/>
                    <w:left w:w="15" w:type="dxa"/>
                    <w:right w:w="15" w:type="dxa"/>
                  </w:tcMar>
                  <w:vAlign w:val="center"/>
                </w:tcPr>
                <w:p w14:paraId="176E55FC">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762" w:type="dxa"/>
                  <w:tcBorders>
                    <w:top w:val="nil"/>
                    <w:left w:val="nil"/>
                    <w:bottom w:val="nil"/>
                    <w:right w:val="nil"/>
                  </w:tcBorders>
                  <w:shd w:val="clear" w:color="auto" w:fill="auto"/>
                  <w:noWrap/>
                  <w:tcMar>
                    <w:top w:w="15" w:type="dxa"/>
                    <w:left w:w="15" w:type="dxa"/>
                    <w:right w:w="15" w:type="dxa"/>
                  </w:tcMar>
                  <w:vAlign w:val="center"/>
                </w:tcPr>
                <w:p w14:paraId="5A88DED2">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1468" w:type="dxa"/>
                  <w:tcBorders>
                    <w:top w:val="nil"/>
                    <w:left w:val="nil"/>
                    <w:bottom w:val="nil"/>
                    <w:right w:val="nil"/>
                  </w:tcBorders>
                  <w:shd w:val="clear" w:color="auto" w:fill="auto"/>
                  <w:tcMar>
                    <w:top w:w="15" w:type="dxa"/>
                    <w:left w:w="15" w:type="dxa"/>
                    <w:right w:w="15" w:type="dxa"/>
                  </w:tcMar>
                  <w:vAlign w:val="center"/>
                </w:tcPr>
                <w:p w14:paraId="3EEADF30">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2174" w:type="dxa"/>
                  <w:tcBorders>
                    <w:top w:val="nil"/>
                    <w:left w:val="nil"/>
                    <w:bottom w:val="nil"/>
                    <w:right w:val="nil"/>
                  </w:tcBorders>
                  <w:shd w:val="clear" w:color="auto" w:fill="auto"/>
                  <w:tcMar>
                    <w:top w:w="15" w:type="dxa"/>
                    <w:left w:w="15" w:type="dxa"/>
                    <w:right w:w="15" w:type="dxa"/>
                  </w:tcMar>
                  <w:vAlign w:val="center"/>
                </w:tcPr>
                <w:p w14:paraId="36295939">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1052" w:type="dxa"/>
                  <w:tcBorders>
                    <w:top w:val="nil"/>
                    <w:left w:val="nil"/>
                    <w:bottom w:val="nil"/>
                    <w:right w:val="nil"/>
                  </w:tcBorders>
                  <w:shd w:val="clear" w:color="auto" w:fill="auto"/>
                  <w:tcMar>
                    <w:top w:w="15" w:type="dxa"/>
                    <w:left w:w="15" w:type="dxa"/>
                    <w:right w:w="15" w:type="dxa"/>
                  </w:tcMar>
                  <w:vAlign w:val="center"/>
                </w:tcPr>
                <w:p w14:paraId="5C057324">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982" w:type="dxa"/>
                  <w:tcBorders>
                    <w:top w:val="nil"/>
                    <w:left w:val="nil"/>
                    <w:bottom w:val="nil"/>
                    <w:right w:val="nil"/>
                  </w:tcBorders>
                  <w:shd w:val="clear" w:color="auto" w:fill="auto"/>
                  <w:tcMar>
                    <w:top w:w="15" w:type="dxa"/>
                    <w:left w:w="15" w:type="dxa"/>
                    <w:right w:w="15" w:type="dxa"/>
                  </w:tcMar>
                  <w:vAlign w:val="center"/>
                </w:tcPr>
                <w:p w14:paraId="4EFFD9C9">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1023" w:type="dxa"/>
                  <w:tcBorders>
                    <w:top w:val="nil"/>
                    <w:left w:val="nil"/>
                    <w:bottom w:val="nil"/>
                    <w:right w:val="nil"/>
                  </w:tcBorders>
                  <w:shd w:val="clear" w:color="auto" w:fill="auto"/>
                  <w:tcMar>
                    <w:top w:w="15" w:type="dxa"/>
                    <w:left w:w="15" w:type="dxa"/>
                    <w:right w:w="15" w:type="dxa"/>
                  </w:tcMar>
                  <w:vAlign w:val="center"/>
                </w:tcPr>
                <w:p w14:paraId="2E5E817D">
                  <w:pPr>
                    <w:adjustRightInd w:val="0"/>
                    <w:snapToGrid w:val="0"/>
                    <w:spacing w:line="360" w:lineRule="auto"/>
                    <w:ind w:firstLine="400" w:firstLineChars="200"/>
                    <w:jc w:val="left"/>
                    <w:rPr>
                      <w:rFonts w:hint="eastAsia" w:ascii="仿宋_GB2312" w:hAnsi="仿宋_GB2312" w:eastAsia="仿宋_GB2312" w:cs="仿宋_GB2312"/>
                      <w:b w:val="0"/>
                      <w:i w:val="0"/>
                      <w:kern w:val="0"/>
                      <w:sz w:val="20"/>
                      <w:szCs w:val="20"/>
                      <w:u w:val="none"/>
                      <w:lang w:eastAsia="zh-Hans"/>
                    </w:rPr>
                  </w:pPr>
                </w:p>
              </w:tc>
              <w:tc>
                <w:tcPr>
                  <w:tcW w:w="1377" w:type="dxa"/>
                  <w:tcBorders>
                    <w:top w:val="nil"/>
                    <w:left w:val="nil"/>
                    <w:bottom w:val="nil"/>
                    <w:right w:val="nil"/>
                  </w:tcBorders>
                  <w:shd w:val="clear" w:color="auto" w:fill="auto"/>
                  <w:tcMar>
                    <w:top w:w="15" w:type="dxa"/>
                    <w:left w:w="15" w:type="dxa"/>
                    <w:right w:w="15" w:type="dxa"/>
                  </w:tcMar>
                  <w:vAlign w:val="center"/>
                </w:tcPr>
                <w:p w14:paraId="48CD72F2">
                  <w:pPr>
                    <w:keepNext w:val="0"/>
                    <w:keepLines w:val="0"/>
                    <w:widowControl w:val="0"/>
                    <w:suppressLineNumbers w:val="0"/>
                    <w:adjustRightInd w:val="0"/>
                    <w:snapToGrid w:val="0"/>
                    <w:spacing w:line="360" w:lineRule="auto"/>
                    <w:ind w:firstLine="400" w:firstLineChars="200"/>
                    <w:jc w:val="left"/>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单位：g</w:t>
                  </w:r>
                </w:p>
              </w:tc>
            </w:tr>
            <w:tr w14:paraId="6B697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407"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80CE07">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序号</w:t>
                  </w: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084D4A">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餐次</w:t>
                  </w:r>
                </w:p>
              </w:tc>
              <w:tc>
                <w:tcPr>
                  <w:tcW w:w="14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B4376">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食物种类</w:t>
                  </w:r>
                </w:p>
              </w:tc>
              <w:tc>
                <w:tcPr>
                  <w:tcW w:w="21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EC6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食物名称（建议</w:t>
                  </w:r>
                  <w:r>
                    <w:rPr>
                      <w:rFonts w:hint="eastAsia" w:ascii="仿宋_GB2312" w:hAnsi="仿宋_GB2312" w:eastAsia="仿宋_GB2312" w:cs="仿宋_GB2312"/>
                      <w:i w:val="0"/>
                      <w:kern w:val="0"/>
                      <w:sz w:val="20"/>
                      <w:szCs w:val="20"/>
                      <w:u w:val="none"/>
                      <w:lang w:val="en-US" w:eastAsia="zh-CN" w:bidi="ar"/>
                    </w:rPr>
                    <w:t>，包括但不限于</w:t>
                  </w:r>
                  <w:r>
                    <w:rPr>
                      <w:rFonts w:hint="eastAsia" w:ascii="仿宋_GB2312" w:hAnsi="仿宋_GB2312" w:eastAsia="仿宋_GB2312" w:cs="仿宋_GB2312"/>
                      <w:i w:val="0"/>
                      <w:kern w:val="0"/>
                      <w:sz w:val="20"/>
                      <w:szCs w:val="20"/>
                      <w:u w:val="none"/>
                      <w:lang w:val="en-US" w:eastAsia="zh-Hans" w:bidi="ar"/>
                    </w:rPr>
                    <w:t>）</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83A8A">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用量</w:t>
                  </w:r>
                  <w:r>
                    <w:rPr>
                      <w:rFonts w:hint="eastAsia" w:ascii="仿宋_GB2312" w:hAnsi="仿宋_GB2312" w:eastAsia="仿宋_GB2312" w:cs="仿宋_GB2312"/>
                      <w:i w:val="0"/>
                      <w:kern w:val="0"/>
                      <w:sz w:val="20"/>
                      <w:szCs w:val="20"/>
                      <w:u w:val="none"/>
                      <w:lang w:val="en-US" w:eastAsia="zh-Hans" w:bidi="ar"/>
                    </w:rPr>
                    <w:br w:type="textWrapping"/>
                  </w:r>
                  <w:r>
                    <w:rPr>
                      <w:rFonts w:hint="eastAsia" w:ascii="仿宋_GB2312" w:hAnsi="仿宋_GB2312" w:eastAsia="仿宋_GB2312" w:cs="仿宋_GB2312"/>
                      <w:i w:val="0"/>
                      <w:kern w:val="0"/>
                      <w:sz w:val="20"/>
                      <w:szCs w:val="20"/>
                      <w:u w:val="none"/>
                      <w:lang w:val="en-US" w:eastAsia="zh-Hans" w:bidi="ar"/>
                    </w:rPr>
                    <w:t>(克/人)</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20766">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小学组（中餐最低供应量克/人)</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BF8A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中学组（中餐最低供应量克/人)</w:t>
                  </w:r>
                </w:p>
              </w:tc>
              <w:tc>
                <w:tcPr>
                  <w:tcW w:w="13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65AC7">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备注</w:t>
                  </w:r>
                </w:p>
              </w:tc>
            </w:tr>
            <w:tr w14:paraId="43237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39" w:hRule="atLeast"/>
              </w:trPr>
              <w:tc>
                <w:tcPr>
                  <w:tcW w:w="407"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AFAB9F">
                  <w:pPr>
                    <w:adjustRightInd w:val="0"/>
                    <w:snapToGrid w:val="0"/>
                    <w:spacing w:line="360" w:lineRule="auto"/>
                    <w:ind w:firstLine="400" w:firstLineChars="200"/>
                    <w:jc w:val="left"/>
                    <w:rPr>
                      <w:rFonts w:hint="eastAsia" w:ascii="仿宋_GB2312" w:hAnsi="仿宋_GB2312" w:eastAsia="仿宋_GB2312" w:cs="仿宋_GB2312"/>
                      <w:i w:val="0"/>
                      <w:color w:val="000000"/>
                      <w:kern w:val="0"/>
                      <w:sz w:val="20"/>
                      <w:szCs w:val="20"/>
                      <w:u w:val="none"/>
                      <w:lang w:eastAsia="zh-Hans"/>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8EE9C8">
                  <w:pPr>
                    <w:adjustRightInd w:val="0"/>
                    <w:snapToGrid w:val="0"/>
                    <w:spacing w:line="360" w:lineRule="auto"/>
                    <w:ind w:firstLine="400" w:firstLineChars="200"/>
                    <w:jc w:val="left"/>
                    <w:rPr>
                      <w:rFonts w:hint="eastAsia" w:ascii="仿宋_GB2312" w:hAnsi="仿宋_GB2312" w:eastAsia="仿宋_GB2312" w:cs="仿宋_GB2312"/>
                      <w:i w:val="0"/>
                      <w:color w:val="000000"/>
                      <w:kern w:val="0"/>
                      <w:sz w:val="20"/>
                      <w:szCs w:val="20"/>
                      <w:u w:val="none"/>
                      <w:lang w:eastAsia="zh-Hans"/>
                    </w:rPr>
                  </w:pPr>
                </w:p>
              </w:tc>
              <w:tc>
                <w:tcPr>
                  <w:tcW w:w="14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32BE5">
                  <w:pPr>
                    <w:adjustRightInd w:val="0"/>
                    <w:snapToGrid w:val="0"/>
                    <w:spacing w:line="360" w:lineRule="auto"/>
                    <w:ind w:firstLine="400" w:firstLineChars="200"/>
                    <w:jc w:val="center"/>
                    <w:rPr>
                      <w:rFonts w:hint="eastAsia" w:ascii="仿宋_GB2312" w:hAnsi="仿宋_GB2312" w:eastAsia="仿宋_GB2312" w:cs="仿宋_GB2312"/>
                      <w:i w:val="0"/>
                      <w:color w:val="000000"/>
                      <w:kern w:val="0"/>
                      <w:sz w:val="20"/>
                      <w:szCs w:val="20"/>
                      <w:u w:val="none"/>
                      <w:lang w:eastAsia="zh-Hans"/>
                    </w:rPr>
                  </w:pPr>
                </w:p>
              </w:tc>
              <w:tc>
                <w:tcPr>
                  <w:tcW w:w="21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E0B1">
                  <w:pPr>
                    <w:adjustRightInd w:val="0"/>
                    <w:snapToGrid w:val="0"/>
                    <w:spacing w:line="360" w:lineRule="auto"/>
                    <w:ind w:firstLine="400" w:firstLineChars="200"/>
                    <w:jc w:val="center"/>
                    <w:rPr>
                      <w:rFonts w:hint="eastAsia" w:ascii="仿宋_GB2312" w:hAnsi="仿宋_GB2312" w:eastAsia="仿宋_GB2312" w:cs="仿宋_GB2312"/>
                      <w:i w:val="0"/>
                      <w:color w:val="000000"/>
                      <w:kern w:val="0"/>
                      <w:sz w:val="20"/>
                      <w:szCs w:val="20"/>
                      <w:u w:val="none"/>
                      <w:lang w:eastAsia="zh-Hans"/>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72315">
                  <w:pPr>
                    <w:adjustRightInd w:val="0"/>
                    <w:snapToGrid w:val="0"/>
                    <w:spacing w:line="360" w:lineRule="auto"/>
                    <w:ind w:firstLine="400" w:firstLineChars="200"/>
                    <w:jc w:val="center"/>
                    <w:rPr>
                      <w:rFonts w:hint="eastAsia" w:ascii="仿宋_GB2312" w:hAnsi="仿宋_GB2312" w:eastAsia="仿宋_GB2312" w:cs="仿宋_GB2312"/>
                      <w:i w:val="0"/>
                      <w:color w:val="000000"/>
                      <w:kern w:val="0"/>
                      <w:sz w:val="20"/>
                      <w:szCs w:val="20"/>
                      <w:u w:val="none"/>
                      <w:lang w:eastAsia="zh-Hans"/>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326C9">
                  <w:pPr>
                    <w:adjustRightInd w:val="0"/>
                    <w:snapToGrid w:val="0"/>
                    <w:spacing w:line="360" w:lineRule="auto"/>
                    <w:ind w:firstLine="400" w:firstLineChars="200"/>
                    <w:jc w:val="center"/>
                    <w:rPr>
                      <w:rFonts w:hint="eastAsia" w:ascii="仿宋_GB2312" w:hAnsi="仿宋_GB2312" w:eastAsia="仿宋_GB2312" w:cs="仿宋_GB2312"/>
                      <w:i w:val="0"/>
                      <w:color w:val="000000"/>
                      <w:kern w:val="0"/>
                      <w:sz w:val="20"/>
                      <w:szCs w:val="20"/>
                      <w:u w:val="none"/>
                      <w:lang w:eastAsia="zh-Hans"/>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25C52">
                  <w:pPr>
                    <w:adjustRightInd w:val="0"/>
                    <w:snapToGrid w:val="0"/>
                    <w:spacing w:line="360" w:lineRule="auto"/>
                    <w:ind w:firstLine="400" w:firstLineChars="200"/>
                    <w:jc w:val="center"/>
                    <w:rPr>
                      <w:rFonts w:hint="eastAsia" w:ascii="仿宋_GB2312" w:hAnsi="仿宋_GB2312" w:eastAsia="仿宋_GB2312" w:cs="仿宋_GB2312"/>
                      <w:i w:val="0"/>
                      <w:color w:val="000000"/>
                      <w:kern w:val="0"/>
                      <w:sz w:val="20"/>
                      <w:szCs w:val="20"/>
                      <w:u w:val="none"/>
                      <w:lang w:eastAsia="zh-Hans"/>
                    </w:rPr>
                  </w:pPr>
                </w:p>
              </w:tc>
              <w:tc>
                <w:tcPr>
                  <w:tcW w:w="13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C9F17">
                  <w:pPr>
                    <w:adjustRightInd w:val="0"/>
                    <w:snapToGrid w:val="0"/>
                    <w:spacing w:line="360" w:lineRule="auto"/>
                    <w:ind w:firstLine="400" w:firstLineChars="200"/>
                    <w:jc w:val="center"/>
                    <w:rPr>
                      <w:rFonts w:hint="eastAsia" w:ascii="仿宋_GB2312" w:hAnsi="仿宋_GB2312" w:eastAsia="仿宋_GB2312" w:cs="仿宋_GB2312"/>
                      <w:i w:val="0"/>
                      <w:color w:val="000000"/>
                      <w:kern w:val="0"/>
                      <w:sz w:val="20"/>
                      <w:szCs w:val="20"/>
                      <w:u w:val="none"/>
                      <w:lang w:eastAsia="zh-Hans"/>
                    </w:rPr>
                  </w:pPr>
                </w:p>
              </w:tc>
            </w:tr>
            <w:tr w14:paraId="17943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6"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7188F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w:t>
                  </w: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6A439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中餐</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13D7A">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谷薯类</w:t>
                  </w:r>
                </w:p>
              </w:tc>
              <w:tc>
                <w:tcPr>
                  <w:tcW w:w="21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A68D0">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米饭、玉米、红薯等</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022EB">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100-160</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B72B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120</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A1B5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140</w:t>
                  </w: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D5445">
                  <w:pPr>
                    <w:adjustRightInd w:val="0"/>
                    <w:snapToGrid w:val="0"/>
                    <w:spacing w:line="360" w:lineRule="auto"/>
                    <w:ind w:firstLine="400" w:firstLineChars="200"/>
                    <w:jc w:val="center"/>
                    <w:rPr>
                      <w:rFonts w:hint="eastAsia" w:ascii="仿宋_GB2312" w:hAnsi="仿宋_GB2312" w:eastAsia="仿宋_GB2312" w:cs="仿宋_GB2312"/>
                      <w:i w:val="0"/>
                      <w:kern w:val="0"/>
                      <w:sz w:val="20"/>
                      <w:szCs w:val="20"/>
                      <w:u w:val="none"/>
                      <w:lang w:eastAsia="zh-Hans"/>
                    </w:rPr>
                  </w:pPr>
                </w:p>
              </w:tc>
            </w:tr>
            <w:tr w14:paraId="227C7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6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B8489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2</w:t>
                  </w: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277949">
                  <w:pPr>
                    <w:adjustRightInd w:val="0"/>
                    <w:snapToGrid w:val="0"/>
                    <w:spacing w:line="360" w:lineRule="auto"/>
                    <w:ind w:firstLine="400" w:firstLineChars="200"/>
                    <w:jc w:val="left"/>
                    <w:rPr>
                      <w:rFonts w:hint="eastAsia" w:ascii="仿宋_GB2312" w:hAnsi="仿宋_GB2312" w:eastAsia="仿宋_GB2312" w:cs="仿宋_GB2312"/>
                      <w:i w:val="0"/>
                      <w:kern w:val="0"/>
                      <w:sz w:val="20"/>
                      <w:szCs w:val="20"/>
                      <w:u w:val="none"/>
                      <w:lang w:eastAsia="zh-Hans"/>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395BB">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蔬菜水果类</w:t>
                  </w:r>
                </w:p>
              </w:tc>
              <w:tc>
                <w:tcPr>
                  <w:tcW w:w="21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1544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白萝卜、胡萝卜、番茄、南瓜、青菜、茄子、冬瓜、青瓜、苹果等</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BCD15">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140-2</w:t>
                  </w:r>
                  <w:r>
                    <w:rPr>
                      <w:rFonts w:hint="eastAsia" w:ascii="仿宋_GB2312" w:hAnsi="仿宋_GB2312" w:eastAsia="仿宋_GB2312" w:cs="仿宋_GB2312"/>
                      <w:i w:val="0"/>
                      <w:kern w:val="0"/>
                      <w:sz w:val="20"/>
                      <w:szCs w:val="20"/>
                      <w:u w:val="none"/>
                      <w:lang w:val="en-US" w:eastAsia="zh-CN" w:bidi="ar"/>
                    </w:rPr>
                    <w:t>2</w:t>
                  </w:r>
                  <w:r>
                    <w:rPr>
                      <w:rFonts w:hint="eastAsia" w:ascii="仿宋_GB2312" w:hAnsi="仿宋_GB2312" w:eastAsia="仿宋_GB2312" w:cs="仿宋_GB2312"/>
                      <w:i w:val="0"/>
                      <w:kern w:val="0"/>
                      <w:sz w:val="20"/>
                      <w:szCs w:val="20"/>
                      <w:u w:val="none"/>
                      <w:lang w:val="en-US" w:eastAsia="zh-Hans" w:bidi="ar"/>
                    </w:rPr>
                    <w:t>0</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74F7C">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160</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865F3">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180</w:t>
                  </w: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58717">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任选2种以上新鲜蔬菜水果，结合实际采购。</w:t>
                  </w:r>
                </w:p>
              </w:tc>
            </w:tr>
            <w:tr w14:paraId="1D4AF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52"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7DA47">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3</w:t>
                  </w: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B77301">
                  <w:pPr>
                    <w:adjustRightInd w:val="0"/>
                    <w:snapToGrid w:val="0"/>
                    <w:spacing w:line="360" w:lineRule="auto"/>
                    <w:ind w:firstLine="400" w:firstLineChars="200"/>
                    <w:jc w:val="left"/>
                    <w:rPr>
                      <w:rFonts w:hint="eastAsia" w:ascii="仿宋_GB2312" w:hAnsi="仿宋_GB2312" w:eastAsia="仿宋_GB2312" w:cs="仿宋_GB2312"/>
                      <w:i w:val="0"/>
                      <w:kern w:val="0"/>
                      <w:sz w:val="20"/>
                      <w:szCs w:val="20"/>
                      <w:u w:val="none"/>
                      <w:lang w:eastAsia="zh-Hans"/>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CC11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鱼禽肉蛋类</w:t>
                  </w:r>
                </w:p>
              </w:tc>
              <w:tc>
                <w:tcPr>
                  <w:tcW w:w="21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83C6F">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猪肉、牛肉、羊肉、鸡肉、鸭肉、各类海鱼、虾、鸡蛋、鸭蛋等</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30976">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44-82</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967D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52</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BCEF1">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70</w:t>
                  </w: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C3476">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任选1-2种新鲜鱼禽肉蛋，结合实际采购。其中蛋类均不得超过30g</w:t>
                  </w:r>
                </w:p>
              </w:tc>
            </w:tr>
            <w:tr w14:paraId="43366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9"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EF888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4</w:t>
                  </w: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C023F0">
                  <w:pPr>
                    <w:adjustRightInd w:val="0"/>
                    <w:snapToGrid w:val="0"/>
                    <w:spacing w:line="360" w:lineRule="auto"/>
                    <w:ind w:firstLine="400" w:firstLineChars="200"/>
                    <w:jc w:val="left"/>
                    <w:rPr>
                      <w:rFonts w:hint="eastAsia" w:ascii="仿宋_GB2312" w:hAnsi="仿宋_GB2312" w:eastAsia="仿宋_GB2312" w:cs="仿宋_GB2312"/>
                      <w:i w:val="0"/>
                      <w:kern w:val="0"/>
                      <w:sz w:val="20"/>
                      <w:szCs w:val="20"/>
                      <w:u w:val="none"/>
                      <w:lang w:eastAsia="zh-Hans"/>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FF1C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植物油</w:t>
                  </w:r>
                </w:p>
              </w:tc>
              <w:tc>
                <w:tcPr>
                  <w:tcW w:w="21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B5546">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花生油等</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6E658">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10-15</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4626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10</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08DF1">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10</w:t>
                  </w: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53CC4">
                  <w:pPr>
                    <w:adjustRightInd w:val="0"/>
                    <w:snapToGrid w:val="0"/>
                    <w:spacing w:line="360" w:lineRule="auto"/>
                    <w:ind w:firstLine="400" w:firstLineChars="200"/>
                    <w:jc w:val="center"/>
                    <w:rPr>
                      <w:rFonts w:hint="eastAsia" w:ascii="仿宋_GB2312" w:hAnsi="仿宋_GB2312" w:eastAsia="仿宋_GB2312" w:cs="仿宋_GB2312"/>
                      <w:i w:val="0"/>
                      <w:kern w:val="0"/>
                      <w:sz w:val="20"/>
                      <w:szCs w:val="20"/>
                      <w:u w:val="none"/>
                      <w:lang w:eastAsia="zh-Hans"/>
                    </w:rPr>
                  </w:pPr>
                </w:p>
              </w:tc>
            </w:tr>
            <w:tr w14:paraId="7574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3"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B9917">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5</w:t>
                  </w: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97509E">
                  <w:pPr>
                    <w:adjustRightInd w:val="0"/>
                    <w:snapToGrid w:val="0"/>
                    <w:spacing w:line="360" w:lineRule="auto"/>
                    <w:ind w:firstLine="400" w:firstLineChars="200"/>
                    <w:jc w:val="left"/>
                    <w:rPr>
                      <w:rFonts w:hint="eastAsia" w:ascii="仿宋_GB2312" w:hAnsi="仿宋_GB2312" w:eastAsia="仿宋_GB2312" w:cs="仿宋_GB2312"/>
                      <w:i w:val="0"/>
                      <w:kern w:val="0"/>
                      <w:sz w:val="20"/>
                      <w:szCs w:val="20"/>
                      <w:u w:val="none"/>
                      <w:lang w:eastAsia="zh-Hans"/>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F2D35">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盐</w:t>
                  </w:r>
                </w:p>
              </w:tc>
              <w:tc>
                <w:tcPr>
                  <w:tcW w:w="21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40F9">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碘盐</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D3BED">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2-2.5</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80AD4">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2E321">
                  <w:pPr>
                    <w:keepNext w:val="0"/>
                    <w:keepLines w:val="0"/>
                    <w:widowControl w:val="0"/>
                    <w:suppressLineNumbers w:val="0"/>
                    <w:adjustRightInd w:val="0"/>
                    <w:snapToGrid w:val="0"/>
                    <w:spacing w:line="360" w:lineRule="auto"/>
                    <w:ind w:firstLine="0" w:firstLineChars="0"/>
                    <w:jc w:val="center"/>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2</w:t>
                  </w:r>
                </w:p>
              </w:tc>
              <w:tc>
                <w:tcPr>
                  <w:tcW w:w="13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B9C59">
                  <w:pPr>
                    <w:adjustRightInd w:val="0"/>
                    <w:snapToGrid w:val="0"/>
                    <w:spacing w:line="360" w:lineRule="auto"/>
                    <w:ind w:firstLine="400" w:firstLineChars="200"/>
                    <w:jc w:val="center"/>
                    <w:rPr>
                      <w:rFonts w:hint="eastAsia" w:ascii="仿宋_GB2312" w:hAnsi="仿宋_GB2312" w:eastAsia="仿宋_GB2312" w:cs="仿宋_GB2312"/>
                      <w:i w:val="0"/>
                      <w:kern w:val="0"/>
                      <w:sz w:val="20"/>
                      <w:szCs w:val="20"/>
                      <w:u w:val="none"/>
                      <w:lang w:eastAsia="zh-Hans"/>
                    </w:rPr>
                  </w:pPr>
                </w:p>
              </w:tc>
            </w:tr>
            <w:tr w14:paraId="29FF7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924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7AE5A">
                  <w:pPr>
                    <w:keepNext w:val="0"/>
                    <w:keepLines w:val="0"/>
                    <w:widowControl w:val="0"/>
                    <w:suppressLineNumbers w:val="0"/>
                    <w:adjustRightInd w:val="0"/>
                    <w:snapToGrid w:val="0"/>
                    <w:spacing w:line="360" w:lineRule="auto"/>
                    <w:ind w:firstLine="0" w:firstLineChars="0"/>
                    <w:jc w:val="left"/>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注1：均为可食部分生重，例如莴笋仅算去皮后的重量，鱼仅算除去内脏、鱼鳞鱼鳃、鱼骨后的重量。</w:t>
                  </w:r>
                </w:p>
              </w:tc>
            </w:tr>
            <w:tr w14:paraId="0375B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24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A90D5">
                  <w:pPr>
                    <w:keepNext w:val="0"/>
                    <w:keepLines w:val="0"/>
                    <w:widowControl w:val="0"/>
                    <w:suppressLineNumbers w:val="0"/>
                    <w:adjustRightInd w:val="0"/>
                    <w:snapToGrid w:val="0"/>
                    <w:spacing w:line="360" w:lineRule="auto"/>
                    <w:ind w:firstLine="0" w:firstLineChars="0"/>
                    <w:jc w:val="left"/>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注2：谷薯类包括各种米、面、杂粮、杂豆及薯类等。</w:t>
                  </w:r>
                </w:p>
              </w:tc>
            </w:tr>
            <w:tr w14:paraId="4556D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924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4987A">
                  <w:pPr>
                    <w:keepNext w:val="0"/>
                    <w:keepLines w:val="0"/>
                    <w:widowControl w:val="0"/>
                    <w:suppressLineNumbers w:val="0"/>
                    <w:adjustRightInd w:val="0"/>
                    <w:snapToGrid w:val="0"/>
                    <w:spacing w:line="360" w:lineRule="auto"/>
                    <w:ind w:firstLine="0" w:firstLineChars="0"/>
                    <w:jc w:val="left"/>
                    <w:textAlignment w:val="auto"/>
                    <w:rPr>
                      <w:rFonts w:hint="eastAsia" w:ascii="仿宋_GB2312" w:hAnsi="仿宋_GB2312" w:eastAsia="仿宋_GB2312" w:cs="仿宋_GB2312"/>
                      <w:i w:val="0"/>
                      <w:kern w:val="0"/>
                      <w:sz w:val="20"/>
                      <w:szCs w:val="20"/>
                      <w:u w:val="none"/>
                      <w:lang w:eastAsia="zh-Hans"/>
                    </w:rPr>
                  </w:pPr>
                  <w:r>
                    <w:rPr>
                      <w:rFonts w:hint="eastAsia" w:ascii="仿宋_GB2312" w:hAnsi="仿宋_GB2312" w:eastAsia="仿宋_GB2312" w:cs="仿宋_GB2312"/>
                      <w:i w:val="0"/>
                      <w:kern w:val="0"/>
                      <w:sz w:val="20"/>
                      <w:szCs w:val="20"/>
                      <w:u w:val="none"/>
                      <w:lang w:val="en-US" w:eastAsia="zh-Hans" w:bidi="ar"/>
                    </w:rPr>
                    <w:t>注3：各供餐单位可根据本地市场食材供应等情况，结合实际情况，制定带量食谱，中餐最低供应量小学组按照9至11岁、中学组按照12至14岁标准结合实际估算。</w:t>
                  </w:r>
                  <w:r>
                    <w:rPr>
                      <w:rFonts w:hint="eastAsia" w:ascii="仿宋" w:hAnsi="仿宋" w:eastAsia="仿宋" w:cs="仿宋"/>
                      <w:i w:val="0"/>
                      <w:iCs w:val="0"/>
                      <w:color w:val="000000"/>
                      <w:kern w:val="0"/>
                      <w:sz w:val="20"/>
                      <w:szCs w:val="20"/>
                      <w:u w:val="none"/>
                      <w:lang w:val="en-US" w:eastAsia="zh-CN" w:bidi="ar"/>
                    </w:rPr>
                    <w:t>以上为县卫健委制定的指导食谱，指定学校可根据本地市场食材供应等情况，结合实际情况，制定带量食谱，并在征求师生意见后执行。</w:t>
                  </w:r>
                </w:p>
              </w:tc>
            </w:tr>
          </w:tbl>
          <w:p w14:paraId="02582A40">
            <w:pPr>
              <w:keepNext w:val="0"/>
              <w:keepLines w:val="0"/>
              <w:pageBreakBefore w:val="0"/>
              <w:kinsoku/>
              <w:wordWrap/>
              <w:overflowPunct/>
              <w:topLinePunct w:val="0"/>
              <w:autoSpaceDE/>
              <w:autoSpaceDN/>
              <w:bidi w:val="0"/>
              <w:adjustRightInd/>
              <w:snapToGrid/>
              <w:spacing w:line="240" w:lineRule="atLeast"/>
              <w:ind w:firstLine="440" w:firstLineChars="200"/>
              <w:jc w:val="both"/>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注：以上</w:t>
            </w:r>
            <w:r>
              <w:rPr>
                <w:rFonts w:hint="eastAsia" w:ascii="仿宋" w:hAnsi="仿宋" w:eastAsia="仿宋" w:cs="仿宋"/>
                <w:color w:val="000000"/>
                <w:kern w:val="0"/>
                <w:sz w:val="22"/>
                <w:szCs w:val="22"/>
                <w:lang w:eastAsia="zh-CN" w:bidi="ar"/>
              </w:rPr>
              <w:t>肉类、水产、蔬菜等</w:t>
            </w:r>
            <w:r>
              <w:rPr>
                <w:rFonts w:hint="eastAsia" w:ascii="仿宋" w:hAnsi="仿宋" w:eastAsia="仿宋" w:cs="仿宋"/>
                <w:color w:val="000000"/>
                <w:kern w:val="0"/>
                <w:sz w:val="22"/>
                <w:szCs w:val="22"/>
                <w:lang w:bidi="ar"/>
              </w:rPr>
              <w:t>食材配送要求，必须为</w:t>
            </w:r>
            <w:r>
              <w:rPr>
                <w:rFonts w:hint="eastAsia" w:ascii="仿宋" w:hAnsi="仿宋" w:eastAsia="仿宋" w:cs="仿宋"/>
                <w:color w:val="000000"/>
                <w:kern w:val="0"/>
                <w:sz w:val="22"/>
                <w:szCs w:val="22"/>
                <w:lang w:eastAsia="zh-CN" w:bidi="ar"/>
              </w:rPr>
              <w:t>新鲜食材且</w:t>
            </w:r>
            <w:r>
              <w:rPr>
                <w:rFonts w:hint="eastAsia" w:ascii="仿宋" w:hAnsi="仿宋" w:eastAsia="仿宋" w:cs="仿宋"/>
                <w:color w:val="000000"/>
                <w:kern w:val="0"/>
                <w:sz w:val="22"/>
                <w:szCs w:val="22"/>
                <w:lang w:bidi="ar"/>
              </w:rPr>
              <w:t>每日配送；</w:t>
            </w:r>
            <w:r>
              <w:rPr>
                <w:rFonts w:hint="eastAsia" w:ascii="仿宋" w:hAnsi="仿宋" w:eastAsia="仿宋" w:cs="仿宋"/>
                <w:color w:val="000000"/>
                <w:kern w:val="0"/>
                <w:sz w:val="22"/>
                <w:szCs w:val="22"/>
                <w:lang w:eastAsia="zh-CN" w:bidi="ar"/>
              </w:rPr>
              <w:t>米</w:t>
            </w:r>
            <w:r>
              <w:rPr>
                <w:rFonts w:hint="eastAsia" w:ascii="仿宋" w:hAnsi="仿宋" w:eastAsia="仿宋" w:cs="仿宋"/>
                <w:color w:val="000000"/>
                <w:kern w:val="0"/>
                <w:sz w:val="22"/>
                <w:szCs w:val="22"/>
                <w:lang w:bidi="ar"/>
              </w:rPr>
              <w:t>、油、调味品</w:t>
            </w:r>
            <w:r>
              <w:rPr>
                <w:rFonts w:hint="eastAsia" w:ascii="仿宋" w:hAnsi="仿宋" w:eastAsia="仿宋" w:cs="仿宋"/>
                <w:color w:val="000000"/>
                <w:kern w:val="0"/>
                <w:sz w:val="22"/>
                <w:szCs w:val="22"/>
                <w:lang w:eastAsia="zh-CN" w:bidi="ar"/>
              </w:rPr>
              <w:t>等食材或经甲方许可的其它食材</w:t>
            </w:r>
            <w:r>
              <w:rPr>
                <w:rFonts w:hint="eastAsia" w:ascii="仿宋" w:hAnsi="仿宋" w:eastAsia="仿宋" w:cs="仿宋"/>
                <w:color w:val="000000"/>
                <w:kern w:val="0"/>
                <w:sz w:val="22"/>
                <w:szCs w:val="22"/>
                <w:lang w:bidi="ar"/>
              </w:rPr>
              <w:t>可无需每日配送。</w:t>
            </w:r>
          </w:p>
        </w:tc>
      </w:tr>
    </w:tbl>
    <w:p w14:paraId="1E13940C">
      <w:pPr>
        <w:pStyle w:val="16"/>
        <w:keepNext w:val="0"/>
        <w:keepLines w:val="0"/>
        <w:pageBreakBefore w:val="0"/>
        <w:widowControl w:val="0"/>
        <w:numPr>
          <w:ilvl w:val="-1"/>
          <w:numId w:val="0"/>
        </w:numPr>
        <w:tabs>
          <w:tab w:val="left" w:pos="540"/>
        </w:tabs>
        <w:kinsoku/>
        <w:wordWrap/>
        <w:overflowPunct/>
        <w:topLinePunct w:val="0"/>
        <w:autoSpaceDE/>
        <w:autoSpaceDN/>
        <w:bidi w:val="0"/>
        <w:adjustRightInd/>
        <w:snapToGrid/>
        <w:spacing w:before="0" w:line="240" w:lineRule="atLeast"/>
        <w:ind w:leftChars="200" w:firstLine="0" w:firstLineChars="0"/>
        <w:jc w:val="both"/>
        <w:textAlignment w:val="auto"/>
        <w:rPr>
          <w:rFonts w:hint="eastAsia" w:ascii="仿宋_GB2312" w:hAnsi="仿宋_GB2312" w:eastAsia="仿宋_GB2312" w:cs="仿宋_GB2312"/>
          <w:b w:val="0"/>
          <w:bCs/>
          <w:kern w:val="2"/>
          <w:sz w:val="32"/>
          <w:szCs w:val="32"/>
          <w:lang w:val="en-US" w:eastAsia="zh-CN"/>
        </w:rPr>
      </w:pPr>
    </w:p>
    <w:p w14:paraId="1038BAEF">
      <w:pPr>
        <w:pStyle w:val="16"/>
        <w:tabs>
          <w:tab w:val="left" w:pos="540"/>
        </w:tabs>
        <w:spacing w:line="240" w:lineRule="atLeast"/>
        <w:ind w:firstLine="640" w:firstLineChars="200"/>
        <w:jc w:val="both"/>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lang w:eastAsia="zh-CN"/>
        </w:rPr>
        <w:t>乙方</w:t>
      </w:r>
      <w:r>
        <w:rPr>
          <w:rFonts w:hint="eastAsia" w:ascii="仿宋" w:hAnsi="仿宋" w:eastAsia="仿宋" w:cs="仿宋"/>
          <w:b w:val="0"/>
          <w:bCs/>
          <w:sz w:val="32"/>
          <w:szCs w:val="32"/>
        </w:rPr>
        <w:t>供应的产品必须符合《中华人民共和国食品安全法》和相关法律法规和政策</w:t>
      </w:r>
      <w:r>
        <w:rPr>
          <w:rFonts w:hint="eastAsia" w:ascii="仿宋" w:hAnsi="仿宋" w:eastAsia="仿宋" w:cs="仿宋"/>
          <w:b w:val="0"/>
          <w:bCs/>
          <w:sz w:val="32"/>
          <w:szCs w:val="32"/>
          <w:lang w:eastAsia="zh-CN"/>
        </w:rPr>
        <w:t>规定</w:t>
      </w:r>
      <w:r>
        <w:rPr>
          <w:rFonts w:hint="eastAsia" w:ascii="仿宋" w:hAnsi="仿宋" w:eastAsia="仿宋" w:cs="仿宋"/>
          <w:b w:val="0"/>
          <w:bCs/>
          <w:sz w:val="32"/>
          <w:szCs w:val="32"/>
        </w:rPr>
        <w:t>的</w:t>
      </w:r>
      <w:r>
        <w:rPr>
          <w:rFonts w:hint="eastAsia" w:ascii="仿宋" w:hAnsi="仿宋" w:eastAsia="仿宋" w:cs="仿宋"/>
          <w:b w:val="0"/>
          <w:bCs/>
          <w:sz w:val="32"/>
          <w:szCs w:val="32"/>
          <w:lang w:eastAsia="zh-CN"/>
        </w:rPr>
        <w:t>质量</w:t>
      </w:r>
      <w:r>
        <w:rPr>
          <w:rFonts w:hint="eastAsia" w:ascii="仿宋" w:hAnsi="仿宋" w:eastAsia="仿宋" w:cs="仿宋"/>
          <w:b w:val="0"/>
          <w:bCs/>
          <w:sz w:val="32"/>
          <w:szCs w:val="32"/>
        </w:rPr>
        <w:t>要求，确保所供食品原材料优质新鲜，并有完整</w:t>
      </w:r>
      <w:r>
        <w:rPr>
          <w:rFonts w:hint="eastAsia" w:ascii="仿宋" w:hAnsi="仿宋" w:eastAsia="仿宋" w:cs="仿宋"/>
          <w:b w:val="0"/>
          <w:bCs/>
          <w:sz w:val="32"/>
          <w:szCs w:val="32"/>
          <w:lang w:eastAsia="zh-CN"/>
        </w:rPr>
        <w:t>、合格的生产或</w:t>
      </w:r>
      <w:r>
        <w:rPr>
          <w:rFonts w:hint="eastAsia" w:ascii="仿宋" w:hAnsi="仿宋" w:eastAsia="仿宋" w:cs="仿宋"/>
          <w:b w:val="0"/>
          <w:bCs/>
          <w:sz w:val="32"/>
          <w:szCs w:val="32"/>
        </w:rPr>
        <w:t>销售</w:t>
      </w:r>
      <w:r>
        <w:rPr>
          <w:rFonts w:hint="eastAsia" w:ascii="仿宋" w:hAnsi="仿宋" w:eastAsia="仿宋" w:cs="仿宋"/>
          <w:b w:val="0"/>
          <w:bCs/>
          <w:sz w:val="32"/>
          <w:szCs w:val="32"/>
          <w:lang w:eastAsia="zh-CN"/>
        </w:rPr>
        <w:t>标志</w:t>
      </w:r>
      <w:r>
        <w:rPr>
          <w:rFonts w:hint="eastAsia" w:ascii="仿宋" w:hAnsi="仿宋" w:eastAsia="仿宋" w:cs="仿宋"/>
          <w:b w:val="0"/>
          <w:bCs/>
          <w:sz w:val="32"/>
          <w:szCs w:val="32"/>
        </w:rPr>
        <w:t>或证</w:t>
      </w:r>
      <w:r>
        <w:rPr>
          <w:rFonts w:hint="eastAsia" w:ascii="仿宋" w:hAnsi="仿宋" w:eastAsia="仿宋" w:cs="仿宋"/>
          <w:b w:val="0"/>
          <w:bCs/>
          <w:sz w:val="32"/>
          <w:szCs w:val="32"/>
          <w:lang w:eastAsia="zh-CN"/>
        </w:rPr>
        <w:t>明</w:t>
      </w:r>
      <w:r>
        <w:rPr>
          <w:rFonts w:hint="eastAsia" w:ascii="仿宋" w:hAnsi="仿宋" w:eastAsia="仿宋" w:cs="仿宋"/>
          <w:b w:val="0"/>
          <w:bCs/>
          <w:sz w:val="32"/>
          <w:szCs w:val="32"/>
        </w:rPr>
        <w:t>，符合</w:t>
      </w:r>
      <w:r>
        <w:rPr>
          <w:rFonts w:hint="eastAsia" w:ascii="仿宋" w:hAnsi="仿宋" w:eastAsia="仿宋" w:cs="仿宋"/>
          <w:b w:val="0"/>
          <w:bCs/>
          <w:sz w:val="32"/>
          <w:szCs w:val="32"/>
          <w:lang w:eastAsia="zh-CN"/>
        </w:rPr>
        <w:t>甲方和甲方指定学校（下同）</w:t>
      </w:r>
      <w:r>
        <w:rPr>
          <w:rFonts w:hint="eastAsia" w:ascii="仿宋" w:hAnsi="仿宋" w:eastAsia="仿宋" w:cs="仿宋"/>
          <w:b w:val="0"/>
          <w:bCs/>
          <w:sz w:val="32"/>
          <w:szCs w:val="32"/>
        </w:rPr>
        <w:t>提出的合理的特殊要求和质量标准。</w:t>
      </w:r>
    </w:p>
    <w:p w14:paraId="426CDF62">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所有</w:t>
      </w:r>
      <w:r>
        <w:rPr>
          <w:rFonts w:hint="eastAsia" w:ascii="仿宋" w:hAnsi="仿宋" w:eastAsia="仿宋" w:cs="仿宋"/>
          <w:sz w:val="32"/>
          <w:szCs w:val="32"/>
          <w:lang w:eastAsia="zh-CN"/>
        </w:rPr>
        <w:t>食材</w:t>
      </w:r>
      <w:r>
        <w:rPr>
          <w:rFonts w:hint="eastAsia" w:ascii="仿宋" w:hAnsi="仿宋" w:eastAsia="仿宋" w:cs="仿宋"/>
          <w:sz w:val="32"/>
          <w:szCs w:val="32"/>
        </w:rPr>
        <w:t>的采购都须做到索证</w:t>
      </w:r>
      <w:r>
        <w:rPr>
          <w:rFonts w:hint="eastAsia" w:ascii="仿宋" w:hAnsi="仿宋" w:eastAsia="仿宋" w:cs="仿宋"/>
          <w:sz w:val="32"/>
          <w:szCs w:val="32"/>
          <w:lang w:eastAsia="zh-CN"/>
        </w:rPr>
        <w:t>索票</w:t>
      </w:r>
      <w:r>
        <w:rPr>
          <w:rFonts w:hint="eastAsia" w:ascii="仿宋" w:hAnsi="仿宋" w:eastAsia="仿宋" w:cs="仿宋"/>
          <w:sz w:val="32"/>
          <w:szCs w:val="32"/>
        </w:rPr>
        <w:t>无误，并把索证记录表和有关证明提供给</w:t>
      </w:r>
      <w:r>
        <w:rPr>
          <w:rFonts w:hint="eastAsia" w:ascii="仿宋" w:hAnsi="仿宋" w:eastAsia="仿宋" w:cs="仿宋"/>
          <w:sz w:val="32"/>
          <w:szCs w:val="32"/>
          <w:lang w:eastAsia="zh-CN"/>
        </w:rPr>
        <w:t>甲方或甲方指定学校</w:t>
      </w:r>
      <w:r>
        <w:rPr>
          <w:rFonts w:hint="eastAsia" w:ascii="仿宋" w:hAnsi="仿宋" w:eastAsia="仿宋" w:cs="仿宋"/>
          <w:sz w:val="32"/>
          <w:szCs w:val="32"/>
        </w:rPr>
        <w:t>。</w:t>
      </w:r>
    </w:p>
    <w:p w14:paraId="6BE8356A">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对</w:t>
      </w:r>
      <w:r>
        <w:rPr>
          <w:rFonts w:hint="eastAsia" w:ascii="仿宋" w:hAnsi="仿宋" w:eastAsia="仿宋" w:cs="仿宋"/>
          <w:sz w:val="32"/>
          <w:szCs w:val="32"/>
          <w:lang w:eastAsia="zh-CN"/>
        </w:rPr>
        <w:t>食材</w:t>
      </w:r>
      <w:r>
        <w:rPr>
          <w:rFonts w:hint="eastAsia" w:ascii="仿宋" w:hAnsi="仿宋" w:eastAsia="仿宋" w:cs="仿宋"/>
          <w:sz w:val="32"/>
          <w:szCs w:val="32"/>
        </w:rPr>
        <w:t>的品质的具体要求(必须符合国家相关食品主管部门的相关标准，非转基因产品</w:t>
      </w:r>
      <w:r>
        <w:rPr>
          <w:rFonts w:hint="eastAsia" w:ascii="仿宋" w:hAnsi="仿宋" w:eastAsia="仿宋" w:cs="仿宋"/>
          <w:sz w:val="32"/>
          <w:szCs w:val="32"/>
          <w:lang w:eastAsia="zh-CN"/>
        </w:rPr>
        <w:t>，</w:t>
      </w:r>
      <w:r>
        <w:rPr>
          <w:rFonts w:hint="eastAsia" w:ascii="仿宋_GB2312" w:hAnsi="仿宋_GB2312" w:eastAsia="仿宋_GB2312" w:cs="仿宋_GB2312"/>
          <w:sz w:val="32"/>
          <w:szCs w:val="32"/>
        </w:rPr>
        <w:t>农</w:t>
      </w:r>
      <w:r>
        <w:rPr>
          <w:rFonts w:hint="eastAsia" w:ascii="仿宋_GB2312" w:hAnsi="仿宋_GB2312" w:eastAsia="仿宋_GB2312" w:cs="仿宋_GB2312"/>
          <w:sz w:val="32"/>
          <w:szCs w:val="32"/>
          <w:lang w:eastAsia="zh-CN"/>
        </w:rPr>
        <w:t>兽</w:t>
      </w:r>
      <w:r>
        <w:rPr>
          <w:rFonts w:hint="eastAsia" w:ascii="仿宋_GB2312" w:hAnsi="仿宋_GB2312" w:eastAsia="仿宋_GB2312" w:cs="仿宋_GB2312"/>
          <w:sz w:val="32"/>
          <w:szCs w:val="32"/>
        </w:rPr>
        <w:t>药</w:t>
      </w:r>
      <w:r>
        <w:rPr>
          <w:rFonts w:hint="eastAsia" w:ascii="仿宋_GB2312" w:hAnsi="仿宋_GB2312" w:eastAsia="仿宋_GB2312" w:cs="仿宋_GB2312"/>
          <w:sz w:val="32"/>
          <w:szCs w:val="32"/>
          <w:lang w:eastAsia="zh-CN"/>
        </w:rPr>
        <w:t>残留</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有害物质</w:t>
      </w:r>
      <w:r>
        <w:rPr>
          <w:rFonts w:hint="eastAsia" w:ascii="仿宋_GB2312" w:hAnsi="仿宋_GB2312" w:eastAsia="仿宋_GB2312" w:cs="仿宋_GB2312"/>
          <w:sz w:val="32"/>
          <w:szCs w:val="32"/>
        </w:rPr>
        <w:t>严格控制在国家标准范围内</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lang w:eastAsia="zh-CN"/>
        </w:rPr>
        <w:t>不得违规使用食品添加剂，不得添加非食用产品或者同一产品中混装其他不同产品</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包装箱</w:t>
      </w:r>
      <w:r>
        <w:rPr>
          <w:rFonts w:hint="eastAsia" w:ascii="仿宋" w:hAnsi="仿宋" w:eastAsia="仿宋" w:cs="仿宋"/>
          <w:sz w:val="32"/>
          <w:szCs w:val="32"/>
          <w:lang w:eastAsia="zh-CN"/>
        </w:rPr>
        <w:t>、包装袋</w:t>
      </w:r>
      <w:r>
        <w:rPr>
          <w:rFonts w:hint="eastAsia" w:ascii="仿宋" w:hAnsi="仿宋" w:eastAsia="仿宋" w:cs="仿宋"/>
          <w:sz w:val="32"/>
          <w:szCs w:val="32"/>
        </w:rPr>
        <w:t>完整</w:t>
      </w:r>
      <w:r>
        <w:rPr>
          <w:rFonts w:hint="eastAsia" w:ascii="仿宋" w:hAnsi="仿宋" w:eastAsia="仿宋" w:cs="仿宋"/>
          <w:sz w:val="32"/>
          <w:szCs w:val="32"/>
          <w:lang w:eastAsia="zh-CN"/>
        </w:rPr>
        <w:t>（如有）</w:t>
      </w:r>
      <w:r>
        <w:rPr>
          <w:rFonts w:hint="eastAsia" w:ascii="仿宋" w:hAnsi="仿宋" w:eastAsia="仿宋" w:cs="仿宋"/>
          <w:sz w:val="32"/>
          <w:szCs w:val="32"/>
        </w:rPr>
        <w:t>，同时要印有生产厂家名称、厂址、出厂日期、保质期限、产品合格证、产品成份、</w:t>
      </w:r>
      <w:r>
        <w:rPr>
          <w:rFonts w:hint="eastAsia" w:ascii="仿宋" w:hAnsi="仿宋" w:eastAsia="仿宋" w:cs="仿宋"/>
          <w:sz w:val="32"/>
          <w:szCs w:val="32"/>
          <w:lang w:eastAsia="zh-CN"/>
        </w:rPr>
        <w:t>厂家联系方式等一切法定必备信息（如无包装则应由乙方另行提供）</w:t>
      </w:r>
      <w:r>
        <w:rPr>
          <w:rFonts w:hint="eastAsia" w:ascii="仿宋" w:hAnsi="仿宋" w:eastAsia="仿宋" w:cs="仿宋"/>
          <w:sz w:val="32"/>
          <w:szCs w:val="32"/>
        </w:rPr>
        <w:t>:</w:t>
      </w:r>
    </w:p>
    <w:p w14:paraId="18E8F5BE">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4.1</w:t>
      </w:r>
      <w:r>
        <w:rPr>
          <w:rFonts w:hint="eastAsia" w:ascii="仿宋" w:hAnsi="仿宋" w:eastAsia="仿宋" w:cs="仿宋"/>
          <w:sz w:val="32"/>
          <w:szCs w:val="32"/>
        </w:rPr>
        <w:t>肉</w:t>
      </w:r>
      <w:r>
        <w:rPr>
          <w:rFonts w:hint="eastAsia" w:ascii="仿宋" w:hAnsi="仿宋" w:eastAsia="仿宋" w:cs="仿宋"/>
          <w:sz w:val="32"/>
          <w:szCs w:val="32"/>
          <w:lang w:eastAsia="zh-CN"/>
        </w:rPr>
        <w:t>类</w:t>
      </w:r>
      <w:r>
        <w:rPr>
          <w:rFonts w:hint="eastAsia" w:ascii="仿宋" w:hAnsi="仿宋" w:eastAsia="仿宋" w:cs="仿宋"/>
          <w:sz w:val="32"/>
          <w:szCs w:val="32"/>
        </w:rPr>
        <w:t>、水产</w:t>
      </w:r>
      <w:r>
        <w:rPr>
          <w:rFonts w:hint="eastAsia" w:ascii="仿宋" w:hAnsi="仿宋" w:eastAsia="仿宋" w:cs="仿宋"/>
          <w:sz w:val="32"/>
          <w:szCs w:val="32"/>
          <w:lang w:eastAsia="zh-CN"/>
        </w:rPr>
        <w:t>（海产）</w:t>
      </w:r>
      <w:r>
        <w:rPr>
          <w:rFonts w:hint="eastAsia" w:ascii="仿宋" w:hAnsi="仿宋" w:eastAsia="仿宋" w:cs="仿宋"/>
          <w:sz w:val="32"/>
          <w:szCs w:val="32"/>
        </w:rPr>
        <w:t>类</w:t>
      </w:r>
      <w:r>
        <w:rPr>
          <w:rFonts w:hint="eastAsia" w:ascii="仿宋" w:hAnsi="仿宋" w:eastAsia="仿宋" w:cs="仿宋"/>
          <w:sz w:val="32"/>
          <w:szCs w:val="32"/>
          <w:lang w:eastAsia="zh-CN"/>
        </w:rPr>
        <w:t>：</w:t>
      </w:r>
    </w:p>
    <w:p w14:paraId="37BE7FA4">
      <w:pPr>
        <w:pageBreakBefore w:val="0"/>
        <w:wordWrap/>
        <w:topLinePunct w:val="0"/>
        <w:bidi w:val="0"/>
        <w:snapToGrid/>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4.1.1肉类</w:t>
      </w:r>
      <w:r>
        <w:rPr>
          <w:rFonts w:hint="eastAsia" w:ascii="仿宋" w:hAnsi="仿宋" w:eastAsia="仿宋" w:cs="仿宋"/>
          <w:sz w:val="32"/>
          <w:szCs w:val="32"/>
        </w:rPr>
        <w:t>必须符合相应的国家或行业食品安全标准。</w:t>
      </w:r>
      <w:r>
        <w:rPr>
          <w:rFonts w:hint="eastAsia" w:ascii="仿宋" w:hAnsi="仿宋" w:eastAsia="仿宋" w:cs="仿宋"/>
          <w:sz w:val="32"/>
          <w:szCs w:val="32"/>
          <w:lang w:eastAsia="zh-CN"/>
        </w:rPr>
        <w:t>应提供以下证明：</w:t>
      </w:r>
      <w:r>
        <w:rPr>
          <w:rFonts w:hint="eastAsia" w:ascii="仿宋" w:hAnsi="仿宋" w:eastAsia="仿宋" w:cs="仿宋"/>
          <w:sz w:val="32"/>
          <w:szCs w:val="32"/>
        </w:rPr>
        <w:t>《动物检疫合格证明》</w:t>
      </w:r>
      <w:r>
        <w:rPr>
          <w:rFonts w:hint="eastAsia" w:ascii="仿宋" w:hAnsi="仿宋" w:eastAsia="仿宋" w:cs="仿宋"/>
          <w:sz w:val="32"/>
          <w:szCs w:val="32"/>
          <w:lang w:eastAsia="zh-CN"/>
        </w:rPr>
        <w:t>，</w:t>
      </w:r>
      <w:r>
        <w:rPr>
          <w:rFonts w:hint="eastAsia" w:ascii="仿宋" w:hAnsi="仿宋" w:eastAsia="仿宋" w:cs="仿宋"/>
          <w:sz w:val="32"/>
          <w:szCs w:val="32"/>
        </w:rPr>
        <w:t>必须随货同行，无此证属违法经营</w:t>
      </w:r>
      <w:r>
        <w:rPr>
          <w:rFonts w:hint="eastAsia" w:ascii="仿宋" w:hAnsi="仿宋" w:eastAsia="仿宋" w:cs="仿宋"/>
          <w:sz w:val="32"/>
          <w:szCs w:val="32"/>
          <w:lang w:eastAsia="zh-CN"/>
        </w:rPr>
        <w:t>，</w:t>
      </w:r>
      <w:r>
        <w:rPr>
          <w:rFonts w:hint="eastAsia" w:ascii="仿宋" w:hAnsi="仿宋" w:eastAsia="仿宋" w:cs="仿宋"/>
          <w:sz w:val="32"/>
          <w:szCs w:val="32"/>
        </w:rPr>
        <w:t>有效时间：县境内运输24小时内有效（从开具时间起算）</w:t>
      </w:r>
      <w:r>
        <w:rPr>
          <w:rFonts w:hint="eastAsia" w:ascii="仿宋" w:hAnsi="仿宋" w:eastAsia="仿宋" w:cs="仿宋"/>
          <w:sz w:val="32"/>
          <w:szCs w:val="32"/>
          <w:lang w:eastAsia="zh-CN"/>
        </w:rPr>
        <w:t>，</w:t>
      </w:r>
      <w:r>
        <w:rPr>
          <w:rFonts w:hint="eastAsia" w:ascii="仿宋" w:hAnsi="仿宋" w:eastAsia="仿宋" w:cs="仿宋"/>
          <w:sz w:val="32"/>
          <w:szCs w:val="32"/>
        </w:rPr>
        <w:t>跨县/省运输</w:t>
      </w:r>
      <w:r>
        <w:rPr>
          <w:rFonts w:hint="eastAsia" w:ascii="仿宋" w:hAnsi="仿宋" w:eastAsia="仿宋" w:cs="仿宋"/>
          <w:sz w:val="32"/>
          <w:szCs w:val="32"/>
          <w:lang w:eastAsia="zh-CN"/>
        </w:rPr>
        <w:t>原则</w:t>
      </w:r>
      <w:r>
        <w:rPr>
          <w:rFonts w:hint="eastAsia" w:ascii="仿宋" w:hAnsi="仿宋" w:eastAsia="仿宋" w:cs="仿宋"/>
          <w:sz w:val="32"/>
          <w:szCs w:val="32"/>
        </w:rPr>
        <w:t>不超过48小时</w:t>
      </w:r>
      <w:r>
        <w:rPr>
          <w:rFonts w:hint="eastAsia" w:ascii="仿宋" w:hAnsi="仿宋" w:eastAsia="仿宋" w:cs="仿宋"/>
          <w:sz w:val="32"/>
          <w:szCs w:val="32"/>
          <w:lang w:eastAsia="zh-CN"/>
        </w:rPr>
        <w:t>；</w:t>
      </w:r>
      <w:r>
        <w:rPr>
          <w:rFonts w:hint="eastAsia" w:ascii="仿宋" w:hAnsi="仿宋" w:eastAsia="仿宋" w:cs="仿宋"/>
          <w:sz w:val="32"/>
          <w:szCs w:val="32"/>
        </w:rPr>
        <w:t>《肉品品质检验合格证》</w:t>
      </w:r>
      <w:r>
        <w:rPr>
          <w:rFonts w:hint="eastAsia" w:ascii="仿宋" w:hAnsi="仿宋" w:eastAsia="仿宋" w:cs="仿宋"/>
          <w:sz w:val="32"/>
          <w:szCs w:val="32"/>
          <w:lang w:eastAsia="zh-CN"/>
        </w:rPr>
        <w:t>，</w:t>
      </w:r>
      <w:r>
        <w:rPr>
          <w:rFonts w:hint="eastAsia" w:ascii="仿宋" w:hAnsi="仿宋" w:eastAsia="仿宋" w:cs="仿宋"/>
          <w:sz w:val="32"/>
          <w:szCs w:val="32"/>
        </w:rPr>
        <w:t>有效时间</w:t>
      </w:r>
      <w:r>
        <w:rPr>
          <w:rFonts w:hint="eastAsia" w:ascii="仿宋" w:hAnsi="仿宋" w:eastAsia="仿宋" w:cs="仿宋"/>
          <w:sz w:val="32"/>
          <w:szCs w:val="32"/>
          <w:lang w:eastAsia="zh-CN"/>
        </w:rPr>
        <w:t>与</w:t>
      </w:r>
      <w:r>
        <w:rPr>
          <w:rFonts w:hint="eastAsia" w:ascii="仿宋" w:hAnsi="仿宋" w:eastAsia="仿宋" w:cs="仿宋"/>
          <w:sz w:val="32"/>
          <w:szCs w:val="32"/>
        </w:rPr>
        <w:t>《动物检疫合格证明》检疫证批次一致</w:t>
      </w:r>
      <w:r>
        <w:rPr>
          <w:rFonts w:hint="eastAsia" w:ascii="仿宋" w:hAnsi="仿宋" w:eastAsia="仿宋" w:cs="仿宋"/>
          <w:sz w:val="32"/>
          <w:szCs w:val="32"/>
          <w:lang w:eastAsia="zh-CN"/>
        </w:rPr>
        <w:t>。</w:t>
      </w:r>
    </w:p>
    <w:p w14:paraId="7374D3DC">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4.1.2</w:t>
      </w:r>
      <w:r>
        <w:rPr>
          <w:rFonts w:hint="eastAsia" w:ascii="仿宋" w:hAnsi="仿宋" w:eastAsia="仿宋" w:cs="仿宋"/>
          <w:sz w:val="32"/>
          <w:szCs w:val="32"/>
          <w:lang w:eastAsia="zh-CN"/>
        </w:rPr>
        <w:t>乙方</w:t>
      </w:r>
      <w:r>
        <w:rPr>
          <w:rFonts w:hint="eastAsia" w:ascii="仿宋" w:hAnsi="仿宋" w:eastAsia="仿宋" w:cs="仿宋"/>
          <w:sz w:val="32"/>
          <w:szCs w:val="32"/>
        </w:rPr>
        <w:t>所供肉类、水产类不得提供宰杀前已死亡的产品，不得提供冷冻</w:t>
      </w:r>
      <w:r>
        <w:rPr>
          <w:rFonts w:hint="eastAsia" w:ascii="仿宋" w:hAnsi="仿宋" w:eastAsia="仿宋" w:cs="仿宋"/>
          <w:sz w:val="32"/>
          <w:szCs w:val="32"/>
          <w:lang w:eastAsia="zh-CN"/>
        </w:rPr>
        <w:t>食材</w:t>
      </w:r>
      <w:r>
        <w:rPr>
          <w:rFonts w:hint="eastAsia" w:ascii="仿宋" w:hAnsi="仿宋" w:eastAsia="仿宋" w:cs="仿宋"/>
          <w:sz w:val="32"/>
          <w:szCs w:val="32"/>
        </w:rPr>
        <w:t>或预制食品</w:t>
      </w:r>
      <w:r>
        <w:rPr>
          <w:rFonts w:hint="eastAsia" w:ascii="仿宋" w:hAnsi="仿宋" w:eastAsia="仿宋" w:cs="仿宋"/>
          <w:sz w:val="32"/>
          <w:szCs w:val="32"/>
          <w:lang w:eastAsia="zh-CN"/>
        </w:rPr>
        <w:t>，肉类不得提供淋巴肉等边角料肉类</w:t>
      </w:r>
      <w:r>
        <w:rPr>
          <w:rFonts w:hint="eastAsia" w:ascii="仿宋" w:hAnsi="仿宋" w:eastAsia="仿宋" w:cs="仿宋"/>
          <w:sz w:val="32"/>
          <w:szCs w:val="32"/>
        </w:rPr>
        <w:t>;</w:t>
      </w:r>
    </w:p>
    <w:p w14:paraId="515CBB5E">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4.2</w:t>
      </w:r>
      <w:r>
        <w:rPr>
          <w:rFonts w:hint="eastAsia" w:ascii="仿宋" w:hAnsi="仿宋" w:eastAsia="仿宋" w:cs="仿宋"/>
          <w:sz w:val="32"/>
          <w:szCs w:val="32"/>
        </w:rPr>
        <w:t>禽蛋:必须符合相关国家标准</w:t>
      </w:r>
      <w:r>
        <w:rPr>
          <w:rFonts w:hint="eastAsia" w:ascii="仿宋" w:hAnsi="仿宋" w:eastAsia="仿宋" w:cs="仿宋"/>
          <w:sz w:val="32"/>
          <w:szCs w:val="32"/>
          <w:lang w:eastAsia="zh-CN"/>
        </w:rPr>
        <w:t>，</w:t>
      </w:r>
      <w:r>
        <w:rPr>
          <w:rFonts w:hint="eastAsia" w:ascii="仿宋" w:hAnsi="仿宋" w:eastAsia="仿宋" w:cs="仿宋"/>
          <w:sz w:val="32"/>
          <w:szCs w:val="32"/>
        </w:rPr>
        <w:t>并拥有“SC”</w:t>
      </w:r>
      <w:r>
        <w:rPr>
          <w:rFonts w:hint="eastAsia" w:ascii="仿宋" w:hAnsi="仿宋" w:eastAsia="仿宋" w:cs="仿宋"/>
          <w:sz w:val="32"/>
          <w:szCs w:val="32"/>
          <w:lang w:eastAsia="zh-CN"/>
        </w:rPr>
        <w:t>编码确保可追溯</w:t>
      </w:r>
      <w:r>
        <w:rPr>
          <w:rFonts w:hint="eastAsia" w:ascii="仿宋" w:hAnsi="仿宋" w:eastAsia="仿宋" w:cs="仿宋"/>
          <w:sz w:val="32"/>
          <w:szCs w:val="32"/>
        </w:rPr>
        <w:t>，非</w:t>
      </w:r>
      <w:r>
        <w:rPr>
          <w:rFonts w:hint="eastAsia" w:ascii="仿宋" w:hAnsi="仿宋" w:eastAsia="仿宋" w:cs="仿宋"/>
          <w:sz w:val="32"/>
          <w:szCs w:val="32"/>
          <w:lang w:eastAsia="zh-CN"/>
        </w:rPr>
        <w:t>人造蛋</w:t>
      </w:r>
      <w:r>
        <w:rPr>
          <w:rFonts w:hint="eastAsia" w:ascii="仿宋" w:hAnsi="仿宋" w:eastAsia="仿宋" w:cs="仿宋"/>
          <w:sz w:val="32"/>
          <w:szCs w:val="32"/>
        </w:rPr>
        <w:t>。</w:t>
      </w:r>
    </w:p>
    <w:p w14:paraId="4B1D2BCC">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4.3</w:t>
      </w:r>
      <w:r>
        <w:rPr>
          <w:rFonts w:hint="eastAsia" w:ascii="仿宋" w:hAnsi="仿宋" w:eastAsia="仿宋" w:cs="仿宋"/>
          <w:sz w:val="32"/>
          <w:szCs w:val="32"/>
        </w:rPr>
        <w:t>蔬菜瓜果:</w:t>
      </w:r>
      <w:r>
        <w:rPr>
          <w:rFonts w:hint="eastAsia" w:ascii="仿宋" w:hAnsi="仿宋" w:eastAsia="仿宋" w:cs="仿宋"/>
          <w:sz w:val="32"/>
          <w:szCs w:val="32"/>
          <w:lang w:eastAsia="zh-CN"/>
        </w:rPr>
        <w:t>乙方</w:t>
      </w:r>
      <w:r>
        <w:rPr>
          <w:rFonts w:hint="eastAsia" w:ascii="仿宋" w:hAnsi="仿宋" w:eastAsia="仿宋" w:cs="仿宋"/>
          <w:sz w:val="32"/>
          <w:szCs w:val="32"/>
        </w:rPr>
        <w:t>供应的蔬菜瓜果必须为新鲜时令蔬菜，</w:t>
      </w:r>
      <w:r>
        <w:rPr>
          <w:rFonts w:hint="eastAsia" w:ascii="仿宋" w:hAnsi="仿宋" w:eastAsia="仿宋" w:cs="仿宋"/>
          <w:sz w:val="32"/>
          <w:szCs w:val="32"/>
          <w:lang w:eastAsia="zh-CN"/>
        </w:rPr>
        <w:t>应随食材配送提供对应批次的农残检测结果，</w:t>
      </w:r>
      <w:r>
        <w:rPr>
          <w:rFonts w:hint="eastAsia" w:ascii="仿宋" w:hAnsi="仿宋" w:eastAsia="仿宋" w:cs="仿宋"/>
          <w:sz w:val="32"/>
          <w:szCs w:val="32"/>
        </w:rPr>
        <w:t>所供蔬菜必须经过粗加工，</w:t>
      </w:r>
      <w:r>
        <w:rPr>
          <w:rFonts w:hint="eastAsia" w:ascii="仿宋" w:hAnsi="仿宋" w:eastAsia="仿宋" w:cs="仿宋"/>
          <w:sz w:val="32"/>
          <w:szCs w:val="32"/>
          <w:lang w:eastAsia="zh-CN"/>
        </w:rPr>
        <w:t>可</w:t>
      </w:r>
      <w:r>
        <w:rPr>
          <w:rFonts w:hint="eastAsia" w:ascii="仿宋" w:hAnsi="仿宋" w:eastAsia="仿宋" w:cs="仿宋"/>
          <w:sz w:val="32"/>
          <w:szCs w:val="32"/>
        </w:rPr>
        <w:t>食用率达95%以上。</w:t>
      </w:r>
    </w:p>
    <w:p w14:paraId="5AB9F079">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4.4</w:t>
      </w:r>
      <w:r>
        <w:rPr>
          <w:rFonts w:hint="eastAsia" w:ascii="仿宋" w:hAnsi="仿宋" w:eastAsia="仿宋" w:cs="仿宋"/>
          <w:sz w:val="32"/>
          <w:szCs w:val="32"/>
        </w:rPr>
        <w:t>豆制品</w:t>
      </w:r>
      <w:r>
        <w:rPr>
          <w:rFonts w:hint="eastAsia" w:ascii="仿宋" w:hAnsi="仿宋" w:eastAsia="仿宋" w:cs="仿宋"/>
          <w:sz w:val="32"/>
          <w:szCs w:val="32"/>
          <w:lang w:eastAsia="zh-CN"/>
        </w:rPr>
        <w:t>和半成品</w:t>
      </w:r>
      <w:r>
        <w:rPr>
          <w:rFonts w:hint="eastAsia" w:ascii="仿宋" w:hAnsi="仿宋" w:eastAsia="仿宋" w:cs="仿宋"/>
          <w:sz w:val="32"/>
          <w:szCs w:val="32"/>
        </w:rPr>
        <w:t>:确保所采购的豆制品是由纯黄豆加工而成，拥有“SC”</w:t>
      </w:r>
      <w:r>
        <w:rPr>
          <w:rFonts w:hint="eastAsia" w:ascii="仿宋" w:hAnsi="仿宋" w:eastAsia="仿宋" w:cs="仿宋"/>
          <w:sz w:val="32"/>
          <w:szCs w:val="32"/>
          <w:lang w:eastAsia="zh-CN"/>
        </w:rPr>
        <w:t>编码确保可追溯</w:t>
      </w:r>
      <w:r>
        <w:rPr>
          <w:rFonts w:hint="eastAsia" w:ascii="仿宋" w:hAnsi="仿宋" w:eastAsia="仿宋" w:cs="仿宋"/>
          <w:sz w:val="32"/>
          <w:szCs w:val="32"/>
        </w:rPr>
        <w:t>。</w:t>
      </w:r>
    </w:p>
    <w:p w14:paraId="6733CE6A">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4.5</w:t>
      </w:r>
      <w:r>
        <w:rPr>
          <w:rFonts w:hint="eastAsia" w:ascii="仿宋" w:hAnsi="仿宋" w:eastAsia="仿宋" w:cs="仿宋"/>
          <w:sz w:val="32"/>
          <w:szCs w:val="32"/>
        </w:rPr>
        <w:t>大米:</w:t>
      </w:r>
      <w:r>
        <w:rPr>
          <w:rFonts w:hint="eastAsia" w:ascii="仿宋" w:hAnsi="仿宋" w:eastAsia="仿宋" w:cs="仿宋"/>
          <w:sz w:val="32"/>
          <w:szCs w:val="32"/>
          <w:lang w:eastAsia="zh-CN"/>
        </w:rPr>
        <w:t>出具符合</w:t>
      </w:r>
      <w:r>
        <w:rPr>
          <w:rFonts w:hint="eastAsia" w:ascii="仿宋" w:hAnsi="仿宋" w:eastAsia="仿宋" w:cs="仿宋"/>
          <w:sz w:val="32"/>
          <w:szCs w:val="32"/>
          <w:lang w:val="en-US" w:eastAsia="zh-CN"/>
        </w:rPr>
        <w:t>国家标准的检测报告</w:t>
      </w:r>
      <w:r>
        <w:rPr>
          <w:rFonts w:hint="eastAsia" w:ascii="仿宋" w:hAnsi="仿宋" w:eastAsia="仿宋" w:cs="仿宋"/>
          <w:sz w:val="32"/>
          <w:szCs w:val="32"/>
          <w:lang w:eastAsia="zh-CN"/>
        </w:rPr>
        <w:t>，</w:t>
      </w:r>
      <w:r>
        <w:rPr>
          <w:rFonts w:hint="eastAsia" w:ascii="仿宋" w:hAnsi="仿宋" w:eastAsia="仿宋" w:cs="仿宋"/>
          <w:sz w:val="32"/>
          <w:szCs w:val="32"/>
        </w:rPr>
        <w:t>并拥有“SC”</w:t>
      </w:r>
      <w:r>
        <w:rPr>
          <w:rFonts w:hint="eastAsia" w:ascii="仿宋" w:hAnsi="仿宋" w:eastAsia="仿宋" w:cs="仿宋"/>
          <w:sz w:val="32"/>
          <w:szCs w:val="32"/>
          <w:lang w:eastAsia="zh-CN"/>
        </w:rPr>
        <w:t>编码确保可追溯</w:t>
      </w:r>
      <w:r>
        <w:rPr>
          <w:rFonts w:hint="eastAsia" w:ascii="仿宋" w:hAnsi="仿宋" w:eastAsia="仿宋" w:cs="仿宋"/>
          <w:sz w:val="32"/>
          <w:szCs w:val="32"/>
        </w:rPr>
        <w:t>，供货时剩余保质期不少于三分二</w:t>
      </w:r>
      <w:r>
        <w:rPr>
          <w:rFonts w:hint="eastAsia" w:ascii="仿宋" w:hAnsi="仿宋" w:eastAsia="仿宋" w:cs="仿宋"/>
          <w:sz w:val="32"/>
          <w:szCs w:val="32"/>
          <w:lang w:eastAsia="zh-CN"/>
        </w:rPr>
        <w:t>，</w:t>
      </w:r>
      <w:r>
        <w:rPr>
          <w:rFonts w:hint="eastAsia" w:ascii="仿宋" w:hAnsi="仿宋" w:eastAsia="仿宋" w:cs="仿宋"/>
          <w:sz w:val="32"/>
          <w:szCs w:val="32"/>
        </w:rPr>
        <w:t>要求为标准一等米</w:t>
      </w:r>
      <w:r>
        <w:rPr>
          <w:rFonts w:hint="eastAsia" w:ascii="仿宋" w:hAnsi="仿宋" w:eastAsia="仿宋" w:cs="仿宋"/>
          <w:sz w:val="32"/>
          <w:szCs w:val="32"/>
          <w:lang w:eastAsia="zh-CN"/>
        </w:rPr>
        <w:t>以上质量</w:t>
      </w:r>
      <w:r>
        <w:rPr>
          <w:rFonts w:hint="eastAsia" w:ascii="仿宋" w:hAnsi="仿宋" w:eastAsia="仿宋" w:cs="仿宋"/>
          <w:sz w:val="32"/>
          <w:szCs w:val="32"/>
        </w:rPr>
        <w:t>。</w:t>
      </w:r>
    </w:p>
    <w:p w14:paraId="3E177ED4">
      <w:pPr>
        <w:pageBreakBefore w:val="0"/>
        <w:wordWrap/>
        <w:topLinePunct w:val="0"/>
        <w:bidi w:val="0"/>
        <w:snapToGrid/>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b w:val="0"/>
          <w:bCs w:val="0"/>
          <w:sz w:val="32"/>
          <w:szCs w:val="32"/>
          <w:lang w:val="en-US" w:eastAsia="zh-CN"/>
        </w:rPr>
        <w:t>4</w:t>
      </w:r>
      <w:r>
        <w:rPr>
          <w:rFonts w:hint="eastAsia" w:ascii="仿宋_GB2312" w:hAnsi="仿宋_GB2312" w:eastAsia="仿宋_GB2312" w:cs="仿宋_GB2312"/>
          <w:b w:val="0"/>
          <w:bCs w:val="0"/>
          <w:sz w:val="32"/>
          <w:szCs w:val="32"/>
          <w:lang w:val="en-US" w:eastAsia="zh-CN"/>
        </w:rPr>
        <w:t>.6</w:t>
      </w:r>
      <w:r>
        <w:rPr>
          <w:rFonts w:hint="eastAsia" w:ascii="仿宋" w:hAnsi="仿宋" w:eastAsia="仿宋" w:cs="仿宋"/>
          <w:sz w:val="32"/>
          <w:szCs w:val="32"/>
        </w:rPr>
        <w:t>食用油:</w:t>
      </w:r>
      <w:r>
        <w:rPr>
          <w:rFonts w:hint="eastAsia" w:ascii="仿宋" w:hAnsi="仿宋" w:eastAsia="仿宋" w:cs="仿宋"/>
          <w:sz w:val="32"/>
          <w:szCs w:val="32"/>
          <w:lang w:eastAsia="zh-CN"/>
        </w:rPr>
        <w:t>出具符合</w:t>
      </w:r>
      <w:r>
        <w:rPr>
          <w:rFonts w:hint="eastAsia" w:ascii="仿宋" w:hAnsi="仿宋" w:eastAsia="仿宋" w:cs="仿宋"/>
          <w:sz w:val="32"/>
          <w:szCs w:val="32"/>
          <w:lang w:val="en-US" w:eastAsia="zh-CN"/>
        </w:rPr>
        <w:t>国家标准的检测报告</w:t>
      </w:r>
      <w:r>
        <w:rPr>
          <w:rFonts w:hint="eastAsia" w:ascii="仿宋" w:hAnsi="仿宋" w:eastAsia="仿宋" w:cs="仿宋"/>
          <w:sz w:val="32"/>
          <w:szCs w:val="32"/>
          <w:lang w:eastAsia="zh-CN"/>
        </w:rPr>
        <w:t>，</w:t>
      </w:r>
      <w:r>
        <w:rPr>
          <w:rFonts w:hint="eastAsia" w:ascii="仿宋" w:hAnsi="仿宋" w:eastAsia="仿宋" w:cs="仿宋"/>
          <w:sz w:val="32"/>
          <w:szCs w:val="32"/>
        </w:rPr>
        <w:t>并拥有“SC”</w:t>
      </w:r>
      <w:r>
        <w:rPr>
          <w:rFonts w:hint="eastAsia" w:ascii="仿宋" w:hAnsi="仿宋" w:eastAsia="仿宋" w:cs="仿宋"/>
          <w:sz w:val="32"/>
          <w:szCs w:val="32"/>
          <w:lang w:eastAsia="zh-CN"/>
        </w:rPr>
        <w:t>编码确保可追溯</w:t>
      </w:r>
      <w:r>
        <w:rPr>
          <w:rFonts w:hint="eastAsia" w:ascii="仿宋" w:hAnsi="仿宋" w:eastAsia="仿宋" w:cs="仿宋"/>
          <w:sz w:val="32"/>
          <w:szCs w:val="32"/>
        </w:rPr>
        <w:t>，供货时剩余保质期不少于三分二。</w:t>
      </w:r>
    </w:p>
    <w:p w14:paraId="7CB0DFA8">
      <w:pPr>
        <w:pageBreakBefore w:val="0"/>
        <w:wordWrap/>
        <w:topLinePunct w:val="0"/>
        <w:bidi w:val="0"/>
        <w:snapToGrid/>
        <w:spacing w:line="56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4.7</w:t>
      </w:r>
      <w:r>
        <w:rPr>
          <w:rFonts w:hint="eastAsia" w:ascii="仿宋" w:hAnsi="仿宋" w:eastAsia="仿宋" w:cs="仿宋"/>
          <w:sz w:val="32"/>
          <w:szCs w:val="32"/>
        </w:rPr>
        <w:t>干货:</w:t>
      </w:r>
      <w:r>
        <w:rPr>
          <w:rFonts w:hint="eastAsia" w:ascii="仿宋" w:hAnsi="仿宋" w:eastAsia="仿宋" w:cs="仿宋"/>
          <w:sz w:val="32"/>
          <w:szCs w:val="32"/>
          <w:lang w:eastAsia="zh-CN"/>
        </w:rPr>
        <w:t>出具符合</w:t>
      </w:r>
      <w:r>
        <w:rPr>
          <w:rFonts w:hint="eastAsia" w:ascii="仿宋" w:hAnsi="仿宋" w:eastAsia="仿宋" w:cs="仿宋"/>
          <w:sz w:val="32"/>
          <w:szCs w:val="32"/>
          <w:lang w:val="en-US" w:eastAsia="zh-CN"/>
        </w:rPr>
        <w:t>国家标准的检测报告</w:t>
      </w:r>
      <w:r>
        <w:rPr>
          <w:rFonts w:hint="eastAsia" w:ascii="仿宋" w:hAnsi="仿宋" w:eastAsia="仿宋" w:cs="仿宋"/>
          <w:sz w:val="32"/>
          <w:szCs w:val="32"/>
        </w:rPr>
        <w:t>，并拥有“SC”</w:t>
      </w:r>
      <w:r>
        <w:rPr>
          <w:rFonts w:hint="eastAsia" w:ascii="仿宋" w:hAnsi="仿宋" w:eastAsia="仿宋" w:cs="仿宋"/>
          <w:sz w:val="32"/>
          <w:szCs w:val="32"/>
          <w:lang w:eastAsia="zh-CN"/>
        </w:rPr>
        <w:t>编码确保可追溯，供货时剩余保质期不少于三分二</w:t>
      </w:r>
      <w:r>
        <w:rPr>
          <w:rFonts w:hint="eastAsia" w:ascii="仿宋" w:hAnsi="仿宋" w:eastAsia="仿宋" w:cs="仿宋"/>
          <w:sz w:val="32"/>
          <w:szCs w:val="32"/>
          <w:lang w:eastAsia="zh-CN"/>
        </w:rPr>
        <w:t>。</w:t>
      </w:r>
    </w:p>
    <w:p w14:paraId="3F3F6CB1">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4.8调味品：</w:t>
      </w:r>
      <w:r>
        <w:rPr>
          <w:rFonts w:hint="eastAsia" w:ascii="仿宋" w:hAnsi="仿宋" w:eastAsia="仿宋" w:cs="仿宋"/>
          <w:sz w:val="32"/>
          <w:szCs w:val="32"/>
          <w:lang w:eastAsia="zh-CN"/>
        </w:rPr>
        <w:t>出具符合</w:t>
      </w:r>
      <w:r>
        <w:rPr>
          <w:rFonts w:hint="eastAsia" w:ascii="仿宋" w:hAnsi="仿宋" w:eastAsia="仿宋" w:cs="仿宋"/>
          <w:sz w:val="32"/>
          <w:szCs w:val="32"/>
          <w:lang w:val="en-US" w:eastAsia="zh-CN"/>
        </w:rPr>
        <w:t>国家标准的检测报告</w:t>
      </w:r>
      <w:r>
        <w:rPr>
          <w:rFonts w:hint="eastAsia" w:ascii="仿宋" w:hAnsi="仿宋" w:eastAsia="仿宋" w:cs="仿宋"/>
          <w:sz w:val="32"/>
          <w:szCs w:val="32"/>
        </w:rPr>
        <w:t>，并拥有“SC”</w:t>
      </w:r>
      <w:r>
        <w:rPr>
          <w:rFonts w:hint="eastAsia" w:ascii="仿宋" w:hAnsi="仿宋" w:eastAsia="仿宋" w:cs="仿宋"/>
          <w:sz w:val="32"/>
          <w:szCs w:val="32"/>
          <w:lang w:eastAsia="zh-CN"/>
        </w:rPr>
        <w:t>编码确保可追溯，供货时剩余保质期不少于三分二。</w:t>
      </w:r>
    </w:p>
    <w:p w14:paraId="336AEF09">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九</w:t>
      </w:r>
      <w:r>
        <w:rPr>
          <w:rFonts w:hint="eastAsia" w:ascii="黑体" w:hAnsi="黑体" w:eastAsia="黑体" w:cs="黑体"/>
          <w:b w:val="0"/>
          <w:bCs/>
          <w:kern w:val="2"/>
          <w:sz w:val="32"/>
          <w:szCs w:val="32"/>
        </w:rPr>
        <w:t>、违约赔偿</w:t>
      </w:r>
    </w:p>
    <w:p w14:paraId="269804D7">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1.</w:t>
      </w:r>
      <w:r>
        <w:rPr>
          <w:rFonts w:hint="eastAsia" w:ascii="仿宋_GB2312" w:hAnsi="仿宋_GB2312" w:eastAsia="仿宋_GB2312" w:cs="仿宋_GB2312"/>
          <w:b w:val="0"/>
          <w:bCs/>
          <w:kern w:val="2"/>
          <w:sz w:val="32"/>
          <w:szCs w:val="32"/>
          <w:lang w:val="en-US" w:eastAsia="zh-CN"/>
        </w:rPr>
        <w:t>除不可抗力因素（乙方应就不可抗力因素应向甲方说明）和本合同另外有规定的条款外，如果乙方违反本合同任何一条，甲方有权按</w:t>
      </w:r>
      <w:r>
        <w:rPr>
          <w:rFonts w:ascii="仿宋_GB2312" w:hAnsi="仿宋_GB2312" w:eastAsia="仿宋_GB2312" w:cs="仿宋_GB2312"/>
          <w:b w:val="0"/>
          <w:bCs/>
          <w:color w:val="000000"/>
          <w:sz w:val="32"/>
          <w:szCs w:val="32"/>
        </w:rPr>
        <w:t>按天数</w:t>
      </w: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000000"/>
          <w:sz w:val="32"/>
          <w:szCs w:val="32"/>
          <w:lang w:val="en-US" w:eastAsia="zh-CN"/>
        </w:rPr>
        <w:t>次</w:t>
      </w:r>
      <w:r>
        <w:rPr>
          <w:rFonts w:hint="eastAsia" w:ascii="仿宋_GB2312" w:hAnsi="仿宋_GB2312" w:eastAsia="仿宋_GB2312" w:cs="仿宋_GB2312"/>
          <w:b w:val="0"/>
          <w:bCs/>
          <w:color w:val="000000"/>
          <w:sz w:val="32"/>
          <w:szCs w:val="32"/>
          <w:lang w:eastAsia="zh-CN"/>
        </w:rPr>
        <w:t>）</w:t>
      </w:r>
      <w:r>
        <w:rPr>
          <w:rFonts w:ascii="仿宋_GB2312" w:hAnsi="仿宋_GB2312" w:eastAsia="仿宋_GB2312" w:cs="仿宋_GB2312"/>
          <w:b w:val="0"/>
          <w:bCs/>
          <w:color w:val="000000"/>
          <w:sz w:val="32"/>
          <w:szCs w:val="32"/>
        </w:rPr>
        <w:t>每日</w:t>
      </w: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000000"/>
          <w:sz w:val="32"/>
          <w:szCs w:val="32"/>
          <w:lang w:val="en-US" w:eastAsia="zh-CN"/>
        </w:rPr>
        <w:t>次</w:t>
      </w:r>
      <w:r>
        <w:rPr>
          <w:rFonts w:hint="eastAsia" w:ascii="仿宋_GB2312" w:hAnsi="仿宋_GB2312" w:eastAsia="仿宋_GB2312" w:cs="仿宋_GB2312"/>
          <w:b w:val="0"/>
          <w:bCs/>
          <w:color w:val="000000"/>
          <w:sz w:val="32"/>
          <w:szCs w:val="32"/>
          <w:lang w:eastAsia="zh-CN"/>
        </w:rPr>
        <w:t>）</w:t>
      </w:r>
      <w:r>
        <w:rPr>
          <w:rFonts w:ascii="仿宋_GB2312" w:hAnsi="仿宋_GB2312" w:eastAsia="仿宋_GB2312" w:cs="仿宋_GB2312"/>
          <w:b w:val="0"/>
          <w:bCs/>
          <w:color w:val="000000"/>
          <w:sz w:val="32"/>
          <w:szCs w:val="32"/>
        </w:rPr>
        <w:t>对乙方处</w:t>
      </w:r>
      <w:r>
        <w:rPr>
          <w:rFonts w:hint="eastAsia" w:ascii="仿宋_GB2312" w:hAnsi="仿宋_GB2312" w:eastAsia="仿宋_GB2312" w:cs="仿宋_GB2312"/>
          <w:b w:val="0"/>
          <w:bCs/>
          <w:color w:val="000000"/>
          <w:sz w:val="32"/>
          <w:szCs w:val="32"/>
          <w:lang w:eastAsia="zh-CN"/>
        </w:rPr>
        <w:t>罚</w:t>
      </w:r>
      <w:r>
        <w:rPr>
          <w:rFonts w:hint="eastAsia" w:ascii="仿宋_GB2312" w:hAnsi="仿宋_GB2312" w:eastAsia="仿宋_GB2312" w:cs="仿宋_GB2312"/>
          <w:b w:val="0"/>
          <w:bCs/>
          <w:kern w:val="2"/>
          <w:sz w:val="32"/>
          <w:szCs w:val="32"/>
          <w:lang w:val="en-US" w:eastAsia="zh-CN"/>
        </w:rPr>
        <w:t>1000元/天计扣违约赔偿金（优先从履约保证金扣除，不足的部分从应支付给乙方的货款扣除，违约赔偿费保留小数点后两位，按四舍五入计算）</w:t>
      </w:r>
      <w:r>
        <w:rPr>
          <w:rFonts w:hint="eastAsia" w:ascii="仿宋_GB2312" w:hAnsi="仿宋_GB2312" w:eastAsia="仿宋_GB2312" w:cs="仿宋_GB2312"/>
          <w:b w:val="0"/>
          <w:bCs/>
          <w:color w:val="000000"/>
          <w:sz w:val="32"/>
          <w:szCs w:val="32"/>
          <w:lang w:eastAsia="zh-CN"/>
        </w:rPr>
        <w:t>，如一日内发现多次同一内容违约行为的视为</w:t>
      </w:r>
      <w:r>
        <w:rPr>
          <w:rFonts w:hint="eastAsia" w:ascii="仿宋_GB2312" w:hAnsi="仿宋_GB2312" w:eastAsia="仿宋_GB2312" w:cs="仿宋_GB2312"/>
          <w:b w:val="0"/>
          <w:bCs/>
          <w:color w:val="000000"/>
          <w:sz w:val="32"/>
          <w:szCs w:val="32"/>
          <w:lang w:val="en-US" w:eastAsia="zh-CN"/>
        </w:rPr>
        <w:t>一日(次)，不同违约内容的，按不同违约事项计算天数，可累计计算</w:t>
      </w:r>
      <w:r>
        <w:rPr>
          <w:rFonts w:hint="eastAsia" w:ascii="仿宋_GB2312" w:hAnsi="仿宋_GB2312" w:eastAsia="仿宋_GB2312" w:cs="仿宋_GB2312"/>
          <w:b w:val="0"/>
          <w:bCs/>
          <w:kern w:val="2"/>
          <w:sz w:val="32"/>
          <w:szCs w:val="32"/>
          <w:lang w:val="en-US" w:eastAsia="zh-CN"/>
        </w:rPr>
        <w:t>。累计出现5次的，甲方有权解除合同。如果乙方违反本合同的原因致使甲方解除合同的，乙方还应按合同暂定总金额的30%向甲方支付违约金</w:t>
      </w:r>
      <w:r>
        <w:rPr>
          <w:rFonts w:ascii="仿宋_GB2312" w:hAnsi="仿宋_GB2312" w:eastAsia="仿宋_GB2312" w:cs="仿宋_GB2312"/>
          <w:color w:val="000000"/>
          <w:sz w:val="32"/>
          <w:szCs w:val="32"/>
        </w:rPr>
        <w:t>,</w:t>
      </w:r>
      <w:r>
        <w:rPr>
          <w:rFonts w:ascii="仿宋_GB2312" w:hAnsi="仿宋_GB2312" w:eastAsia="仿宋_GB2312" w:cs="仿宋_GB2312"/>
          <w:b w:val="0"/>
          <w:bCs/>
          <w:color w:val="000000"/>
          <w:sz w:val="32"/>
          <w:szCs w:val="32"/>
        </w:rPr>
        <w:t>因此造成甲方损失的，乙方还应承担赔偿责任。</w:t>
      </w:r>
      <w:r>
        <w:rPr>
          <w:rFonts w:hint="default" w:ascii="仿宋_GB2312" w:hAnsi="仿宋_GB2312" w:eastAsia="仿宋_GB2312" w:cs="仿宋_GB2312"/>
          <w:b w:val="0"/>
          <w:bCs/>
          <w:color w:val="000000"/>
          <w:sz w:val="32"/>
          <w:szCs w:val="32"/>
          <w:lang w:eastAsia="zh-CN"/>
        </w:rPr>
        <w:t>如甲方根据合同权利解除合同，甲方有权</w:t>
      </w:r>
      <w:r>
        <w:rPr>
          <w:rFonts w:hint="default" w:ascii="仿宋_GB2312" w:hAnsi="仿宋_GB2312" w:eastAsia="仿宋_GB2312" w:cs="仿宋_GB2312"/>
          <w:b w:val="0"/>
          <w:bCs/>
          <w:color w:val="000000"/>
          <w:kern w:val="2"/>
          <w:sz w:val="32"/>
          <w:szCs w:val="32"/>
        </w:rPr>
        <w:t>拒付任何费用</w:t>
      </w:r>
      <w:r>
        <w:rPr>
          <w:rFonts w:hint="default" w:ascii="仿宋_GB2312" w:hAnsi="仿宋_GB2312" w:eastAsia="仿宋_GB2312" w:cs="仿宋_GB2312"/>
          <w:b w:val="0"/>
          <w:bCs/>
          <w:color w:val="000000"/>
          <w:kern w:val="2"/>
          <w:sz w:val="32"/>
          <w:szCs w:val="32"/>
          <w:lang w:eastAsia="zh-CN"/>
        </w:rPr>
        <w:t>（包括应支付但未支付的货</w:t>
      </w:r>
      <w:r>
        <w:rPr>
          <w:rFonts w:hint="default" w:ascii="仿宋_GB2312" w:hAnsi="仿宋_GB2312" w:eastAsia="仿宋_GB2312" w:cs="仿宋_GB2312"/>
          <w:b w:val="0"/>
          <w:bCs w:val="0"/>
          <w:color w:val="000000"/>
          <w:kern w:val="2"/>
          <w:sz w:val="32"/>
          <w:szCs w:val="32"/>
          <w:lang w:eastAsia="zh-CN"/>
        </w:rPr>
        <w:t>款）</w:t>
      </w:r>
      <w:r>
        <w:rPr>
          <w:rFonts w:hint="eastAsia" w:ascii="仿宋_GB2312" w:hAnsi="仿宋_GB2312" w:eastAsia="仿宋_GB2312" w:cs="仿宋_GB2312"/>
          <w:b w:val="0"/>
          <w:bCs/>
          <w:kern w:val="2"/>
          <w:sz w:val="32"/>
          <w:szCs w:val="32"/>
          <w:lang w:val="en-US" w:eastAsia="zh-CN"/>
        </w:rPr>
        <w:t>。</w:t>
      </w:r>
    </w:p>
    <w:p w14:paraId="42DCFAFD">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2.在履行本</w:t>
      </w:r>
      <w:r>
        <w:rPr>
          <w:rFonts w:hint="eastAsia" w:ascii="仿宋_GB2312" w:hAnsi="仿宋_GB2312" w:eastAsia="仿宋_GB2312" w:cs="仿宋_GB2312"/>
          <w:b w:val="0"/>
          <w:bCs/>
          <w:kern w:val="2"/>
          <w:sz w:val="32"/>
          <w:szCs w:val="32"/>
          <w:lang w:val="en-US" w:eastAsia="zh-CN"/>
        </w:rPr>
        <w:t>合同</w:t>
      </w:r>
      <w:r>
        <w:rPr>
          <w:rFonts w:hint="eastAsia" w:ascii="仿宋_GB2312" w:hAnsi="仿宋_GB2312" w:eastAsia="仿宋_GB2312" w:cs="仿宋_GB2312"/>
          <w:b w:val="0"/>
          <w:bCs/>
          <w:kern w:val="2"/>
          <w:sz w:val="32"/>
          <w:szCs w:val="32"/>
        </w:rPr>
        <w:t>过程中，如因乙方原因，发生</w:t>
      </w:r>
      <w:r>
        <w:rPr>
          <w:rFonts w:hint="eastAsia" w:ascii="仿宋_GB2312" w:hAnsi="仿宋_GB2312" w:eastAsia="仿宋_GB2312" w:cs="仿宋_GB2312"/>
          <w:b w:val="0"/>
          <w:bCs/>
          <w:kern w:val="2"/>
          <w:sz w:val="32"/>
          <w:szCs w:val="32"/>
          <w:lang w:val="en-US" w:eastAsia="zh-CN"/>
        </w:rPr>
        <w:t>食品</w:t>
      </w:r>
      <w:r>
        <w:rPr>
          <w:rFonts w:hint="eastAsia" w:ascii="仿宋_GB2312" w:hAnsi="仿宋_GB2312" w:eastAsia="仿宋_GB2312" w:cs="仿宋_GB2312"/>
          <w:b w:val="0"/>
          <w:bCs/>
          <w:kern w:val="2"/>
          <w:sz w:val="32"/>
          <w:szCs w:val="32"/>
        </w:rPr>
        <w:t>安全事故</w:t>
      </w:r>
      <w:r>
        <w:rPr>
          <w:rFonts w:hint="eastAsia" w:ascii="仿宋_GB2312" w:hAnsi="仿宋_GB2312" w:eastAsia="仿宋_GB2312" w:cs="仿宋_GB2312"/>
          <w:b w:val="0"/>
          <w:bCs/>
          <w:kern w:val="2"/>
          <w:sz w:val="32"/>
          <w:szCs w:val="32"/>
          <w:lang w:eastAsia="zh-CN"/>
        </w:rPr>
        <w:t>或其他事故</w:t>
      </w:r>
      <w:r>
        <w:rPr>
          <w:rFonts w:hint="eastAsia" w:ascii="仿宋_GB2312" w:hAnsi="仿宋_GB2312" w:eastAsia="仿宋_GB2312" w:cs="仿宋_GB2312"/>
          <w:b w:val="0"/>
          <w:bCs/>
          <w:kern w:val="2"/>
          <w:sz w:val="32"/>
          <w:szCs w:val="32"/>
        </w:rPr>
        <w:t>等，</w:t>
      </w:r>
      <w:r>
        <w:rPr>
          <w:rFonts w:hint="eastAsia" w:ascii="仿宋_GB2312" w:hAnsi="仿宋_GB2312" w:eastAsia="仿宋_GB2312" w:cs="仿宋_GB2312"/>
          <w:b w:val="0"/>
          <w:bCs/>
          <w:kern w:val="2"/>
          <w:sz w:val="32"/>
          <w:szCs w:val="32"/>
          <w:lang w:val="en-US" w:eastAsia="zh-CN"/>
        </w:rPr>
        <w:t>由此造成甲方或第三人（法人或自然人）的一切经济损失、人身损害赔偿和违法违纪责任等均由乙方自行承担，且应向甲方支付合同暂定总金额的3</w:t>
      </w:r>
      <w:r>
        <w:rPr>
          <w:rFonts w:hint="default" w:ascii="仿宋_GB2312" w:hAnsi="仿宋_GB2312" w:eastAsia="仿宋_GB2312" w:cs="仿宋_GB2312"/>
          <w:b w:val="0"/>
          <w:bCs/>
          <w:kern w:val="2"/>
          <w:sz w:val="32"/>
          <w:szCs w:val="32"/>
          <w:lang w:eastAsia="zh-CN"/>
        </w:rPr>
        <w:t>0</w:t>
      </w:r>
      <w:r>
        <w:rPr>
          <w:rFonts w:hint="eastAsia" w:ascii="仿宋_GB2312" w:hAnsi="仿宋_GB2312" w:eastAsia="仿宋_GB2312" w:cs="仿宋_GB2312"/>
          <w:b w:val="0"/>
          <w:bCs/>
          <w:kern w:val="2"/>
          <w:sz w:val="32"/>
          <w:szCs w:val="32"/>
          <w:lang w:val="en-US" w:eastAsia="zh-CN"/>
        </w:rPr>
        <w:t>%违约金。出现质量问题，乙方拒绝、迟延处理的，</w:t>
      </w:r>
      <w:r>
        <w:rPr>
          <w:rFonts w:hint="eastAsia" w:ascii="仿宋_GB2312" w:hAnsi="仿宋_GB2312" w:eastAsia="仿宋_GB2312" w:cs="仿宋_GB2312"/>
          <w:b w:val="0"/>
          <w:bCs/>
          <w:kern w:val="2"/>
          <w:sz w:val="32"/>
          <w:szCs w:val="32"/>
        </w:rPr>
        <w:t>甲方</w:t>
      </w:r>
      <w:r>
        <w:rPr>
          <w:rFonts w:hint="eastAsia" w:ascii="仿宋_GB2312" w:hAnsi="仿宋_GB2312" w:eastAsia="仿宋_GB2312" w:cs="仿宋_GB2312"/>
          <w:b w:val="0"/>
          <w:bCs/>
          <w:kern w:val="2"/>
          <w:sz w:val="32"/>
          <w:szCs w:val="32"/>
          <w:lang w:val="en-US" w:eastAsia="zh-CN"/>
        </w:rPr>
        <w:t>均</w:t>
      </w:r>
      <w:r>
        <w:rPr>
          <w:rFonts w:hint="eastAsia" w:ascii="仿宋_GB2312" w:hAnsi="仿宋_GB2312" w:eastAsia="仿宋_GB2312" w:cs="仿宋_GB2312"/>
          <w:b w:val="0"/>
          <w:bCs/>
          <w:kern w:val="2"/>
          <w:sz w:val="32"/>
          <w:szCs w:val="32"/>
        </w:rPr>
        <w:t>有权单方解除本</w:t>
      </w:r>
      <w:r>
        <w:rPr>
          <w:rFonts w:hint="eastAsia" w:ascii="仿宋_GB2312" w:hAnsi="仿宋_GB2312" w:eastAsia="仿宋_GB2312" w:cs="仿宋_GB2312"/>
          <w:b w:val="0"/>
          <w:bCs/>
          <w:kern w:val="2"/>
          <w:sz w:val="32"/>
          <w:szCs w:val="32"/>
          <w:lang w:val="en-US" w:eastAsia="zh-CN"/>
        </w:rPr>
        <w:t>合同</w:t>
      </w:r>
      <w:r>
        <w:rPr>
          <w:rFonts w:hint="eastAsia" w:ascii="仿宋_GB2312" w:hAnsi="仿宋_GB2312" w:eastAsia="仿宋_GB2312" w:cs="仿宋_GB2312"/>
          <w:b w:val="0"/>
          <w:bCs/>
          <w:kern w:val="2"/>
          <w:sz w:val="32"/>
          <w:szCs w:val="32"/>
        </w:rPr>
        <w:t>，拒付任何费用</w:t>
      </w:r>
      <w:r>
        <w:rPr>
          <w:rFonts w:hint="eastAsia" w:ascii="仿宋_GB2312" w:hAnsi="仿宋_GB2312" w:eastAsia="仿宋_GB2312" w:cs="仿宋_GB2312"/>
          <w:b w:val="0"/>
          <w:bCs/>
          <w:kern w:val="2"/>
          <w:sz w:val="32"/>
          <w:szCs w:val="32"/>
          <w:lang w:eastAsia="zh-CN"/>
        </w:rPr>
        <w:t>（包括应支付但未支付的货款）</w:t>
      </w:r>
      <w:r>
        <w:rPr>
          <w:rFonts w:hint="eastAsia" w:ascii="仿宋_GB2312" w:hAnsi="仿宋_GB2312" w:eastAsia="仿宋_GB2312" w:cs="仿宋_GB2312"/>
          <w:b w:val="0"/>
          <w:bCs/>
          <w:kern w:val="2"/>
          <w:sz w:val="32"/>
          <w:szCs w:val="32"/>
        </w:rPr>
        <w:t>，并有权要求乙方</w:t>
      </w:r>
      <w:r>
        <w:rPr>
          <w:rFonts w:hint="eastAsia" w:ascii="仿宋_GB2312" w:hAnsi="仿宋_GB2312" w:eastAsia="仿宋_GB2312" w:cs="仿宋_GB2312"/>
          <w:b w:val="0"/>
          <w:bCs/>
          <w:kern w:val="2"/>
          <w:sz w:val="32"/>
          <w:szCs w:val="32"/>
          <w:lang w:val="en-US" w:eastAsia="zh-CN"/>
        </w:rPr>
        <w:t>按本合同</w:t>
      </w:r>
      <w:r>
        <w:rPr>
          <w:rFonts w:hint="eastAsia" w:ascii="仿宋_GB2312" w:hAnsi="仿宋_GB2312" w:eastAsia="仿宋_GB2312" w:cs="仿宋_GB2312"/>
          <w:b w:val="0"/>
          <w:bCs/>
          <w:kern w:val="2"/>
          <w:sz w:val="32"/>
          <w:szCs w:val="32"/>
        </w:rPr>
        <w:t>暂定总金额的</w:t>
      </w:r>
      <w:r>
        <w:rPr>
          <w:rFonts w:hint="eastAsia" w:ascii="仿宋_GB2312" w:hAnsi="仿宋_GB2312" w:eastAsia="仿宋_GB2312" w:cs="仿宋_GB2312"/>
          <w:b w:val="0"/>
          <w:bCs/>
          <w:kern w:val="2"/>
          <w:sz w:val="32"/>
          <w:szCs w:val="32"/>
          <w:lang w:val="en-US" w:eastAsia="zh-CN"/>
        </w:rPr>
        <w:t>3</w:t>
      </w:r>
      <w:r>
        <w:rPr>
          <w:rFonts w:hint="eastAsia" w:ascii="仿宋_GB2312" w:hAnsi="仿宋_GB2312" w:eastAsia="仿宋_GB2312" w:cs="仿宋_GB2312"/>
          <w:b w:val="0"/>
          <w:bCs/>
          <w:kern w:val="2"/>
          <w:sz w:val="32"/>
          <w:szCs w:val="32"/>
        </w:rPr>
        <w:t>0%向甲方支付违约金。如因此造成甲方损失的，乙方应向甲方承担损害赔偿责任。</w:t>
      </w:r>
    </w:p>
    <w:p w14:paraId="21F4C79B">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3.</w:t>
      </w:r>
      <w:r>
        <w:rPr>
          <w:rFonts w:hint="eastAsia" w:ascii="仿宋_GB2312" w:hAnsi="仿宋_GB2312" w:eastAsia="仿宋_GB2312" w:cs="仿宋_GB2312"/>
          <w:b w:val="0"/>
          <w:bCs/>
          <w:kern w:val="2"/>
          <w:sz w:val="32"/>
          <w:szCs w:val="32"/>
        </w:rPr>
        <w:t>如果双方中任何一方由于战争、严重火灾、水灾、台风和地震以及其它经双方同意属于不可抗力的事故</w:t>
      </w:r>
      <w:r>
        <w:rPr>
          <w:rFonts w:hint="eastAsia" w:ascii="仿宋_GB2312" w:hAnsi="仿宋_GB2312" w:eastAsia="仿宋_GB2312" w:cs="仿宋_GB2312"/>
          <w:b w:val="0"/>
          <w:bCs/>
          <w:kern w:val="2"/>
          <w:sz w:val="32"/>
          <w:szCs w:val="32"/>
          <w:lang w:eastAsia="zh-CN"/>
        </w:rPr>
        <w:t>或</w:t>
      </w:r>
      <w:r>
        <w:rPr>
          <w:rFonts w:hint="eastAsia" w:ascii="仿宋_GB2312" w:hAnsi="仿宋_GB2312" w:eastAsia="仿宋_GB2312" w:cs="仿宋_GB2312"/>
          <w:b w:val="0"/>
          <w:bCs/>
          <w:color w:val="auto"/>
          <w:kern w:val="2"/>
          <w:sz w:val="32"/>
          <w:szCs w:val="32"/>
          <w:highlight w:val="none"/>
        </w:rPr>
        <w:t>因甲方上级部门对经营场所变更和上级政策调整等原因，造成合同不能履行的</w:t>
      </w:r>
      <w:r>
        <w:rPr>
          <w:rFonts w:hint="eastAsia" w:ascii="仿宋_GB2312" w:hAnsi="仿宋_GB2312" w:eastAsia="仿宋_GB2312" w:cs="仿宋_GB2312"/>
          <w:b w:val="0"/>
          <w:bCs/>
          <w:kern w:val="2"/>
          <w:sz w:val="32"/>
          <w:szCs w:val="32"/>
        </w:rPr>
        <w:t>，</w:t>
      </w:r>
      <w:r>
        <w:rPr>
          <w:rFonts w:hint="eastAsia" w:ascii="仿宋_GB2312" w:hAnsi="仿宋_GB2312" w:eastAsia="仿宋_GB2312" w:cs="仿宋_GB2312"/>
          <w:b w:val="0"/>
          <w:bCs/>
          <w:kern w:val="2"/>
          <w:sz w:val="32"/>
          <w:szCs w:val="32"/>
          <w:lang w:eastAsia="zh-CN"/>
        </w:rPr>
        <w:t>甲乙双方互不对对方损失负责</w:t>
      </w:r>
      <w:r>
        <w:rPr>
          <w:rFonts w:hint="eastAsia" w:ascii="仿宋_GB2312" w:hAnsi="仿宋_GB2312" w:eastAsia="仿宋_GB2312" w:cs="仿宋_GB2312"/>
          <w:b w:val="0"/>
          <w:bCs/>
          <w:kern w:val="2"/>
          <w:sz w:val="32"/>
          <w:szCs w:val="32"/>
        </w:rPr>
        <w:t>。</w:t>
      </w:r>
    </w:p>
    <w:p w14:paraId="196113A1">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lang w:eastAsia="zh-CN"/>
        </w:rPr>
        <w:t>如合同履约完毕后，甲方与审计、纪检等部门在审计、检查、巡视巡察、自查自纠等工作中发现乙方存在违约行为，则甲方有权继续按照本合同对乙方履约期间违反合同的行为进行处罚。</w:t>
      </w:r>
    </w:p>
    <w:p w14:paraId="4F5176EA">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lang w:eastAsia="zh-CN"/>
        </w:rPr>
      </w:pPr>
      <w:r>
        <w:rPr>
          <w:rFonts w:hint="eastAsia" w:ascii="黑体" w:hAnsi="黑体" w:eastAsia="黑体" w:cs="黑体"/>
          <w:b w:val="0"/>
          <w:bCs/>
          <w:kern w:val="2"/>
          <w:sz w:val="32"/>
          <w:szCs w:val="32"/>
          <w:lang w:eastAsia="zh-CN"/>
        </w:rPr>
        <w:t>十</w:t>
      </w:r>
      <w:r>
        <w:rPr>
          <w:rFonts w:hint="eastAsia" w:ascii="黑体" w:hAnsi="黑体" w:eastAsia="黑体" w:cs="黑体"/>
          <w:b w:val="0"/>
          <w:bCs/>
          <w:kern w:val="2"/>
          <w:sz w:val="32"/>
          <w:szCs w:val="32"/>
        </w:rPr>
        <w:t>、</w:t>
      </w:r>
      <w:r>
        <w:rPr>
          <w:rFonts w:hint="eastAsia" w:ascii="黑体" w:hAnsi="黑体" w:eastAsia="黑体" w:cs="黑体"/>
          <w:b w:val="0"/>
          <w:bCs/>
          <w:kern w:val="2"/>
          <w:sz w:val="32"/>
          <w:szCs w:val="32"/>
          <w:lang w:eastAsia="zh-CN"/>
        </w:rPr>
        <w:t>其他</w:t>
      </w:r>
    </w:p>
    <w:p w14:paraId="57C01F11">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1.乙方应妥善保管包括配送单、质量证明材料等有关工作资料并自备电子版，合同履行完毕后应将有关材料的电子版全部提供给甲方存档，如未按要求提供，乙方将承担因此造成的一切法律责任。</w:t>
      </w:r>
    </w:p>
    <w:p w14:paraId="0E84AE4B">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2.本合同所载明的食材、食品原材料、产品、货物均为同一概念。</w:t>
      </w:r>
    </w:p>
    <w:p w14:paraId="2FE92D3C">
      <w:pPr>
        <w:pageBreakBefore w:val="0"/>
        <w:widowControl/>
        <w:kinsoku w:val="0"/>
        <w:wordWrap/>
        <w:overflowPunct/>
        <w:topLinePunct w:val="0"/>
        <w:autoSpaceDE w:val="0"/>
        <w:autoSpaceDN w:val="0"/>
        <w:bidi w:val="0"/>
        <w:adjustRightInd w:val="0"/>
        <w:snapToGrid w:val="0"/>
        <w:spacing w:before="0" w:line="600" w:lineRule="exact"/>
        <w:ind w:firstLine="640" w:firstLineChars="200"/>
        <w:jc w:val="both"/>
        <w:textAlignment w:val="baseline"/>
        <w:rPr>
          <w:rFonts w:hint="eastAsia" w:ascii="仿宋" w:hAnsi="仿宋" w:eastAsia="仿宋" w:cs="仿宋"/>
          <w:b w:val="0"/>
          <w:bCs w:val="0"/>
          <w:color w:val="auto"/>
          <w:sz w:val="32"/>
          <w:szCs w:val="32"/>
          <w:highlight w:val="none"/>
          <w:lang w:eastAsia="zh-CN"/>
        </w:rPr>
      </w:pPr>
      <w:r>
        <w:rPr>
          <w:rFonts w:hint="eastAsia" w:ascii="仿宋_GB2312" w:hAnsi="仿宋_GB2312" w:eastAsia="仿宋_GB2312" w:cs="仿宋_GB2312"/>
          <w:b w:val="0"/>
          <w:bCs/>
          <w:kern w:val="2"/>
          <w:sz w:val="32"/>
          <w:szCs w:val="32"/>
          <w:lang w:val="en-US" w:eastAsia="zh-CN"/>
        </w:rPr>
        <w:t>3.</w:t>
      </w:r>
      <w:r>
        <w:rPr>
          <w:rFonts w:hint="eastAsia" w:ascii="仿宋" w:hAnsi="仿宋" w:eastAsia="仿宋" w:cs="仿宋"/>
          <w:color w:val="auto"/>
          <w:sz w:val="32"/>
          <w:szCs w:val="32"/>
          <w:highlight w:val="none"/>
        </w:rPr>
        <w:t>乙方必须接受由有关职能部门组成的检查组对学生营养</w:t>
      </w:r>
      <w:r>
        <w:rPr>
          <w:rFonts w:hint="eastAsia" w:ascii="仿宋" w:hAnsi="仿宋" w:eastAsia="仿宋" w:cs="仿宋"/>
          <w:color w:val="auto"/>
          <w:sz w:val="32"/>
          <w:szCs w:val="32"/>
          <w:highlight w:val="none"/>
          <w:lang w:val="en-US" w:eastAsia="zh-CN"/>
        </w:rPr>
        <w:t>改善计划</w:t>
      </w:r>
      <w:r>
        <w:rPr>
          <w:rFonts w:hint="eastAsia" w:ascii="仿宋" w:hAnsi="仿宋" w:eastAsia="仿宋" w:cs="仿宋"/>
          <w:color w:val="auto"/>
          <w:sz w:val="32"/>
          <w:szCs w:val="32"/>
          <w:highlight w:val="none"/>
        </w:rPr>
        <w:t>实施情况进行定期和不定期检查。</w:t>
      </w:r>
      <w:r>
        <w:rPr>
          <w:rFonts w:hint="eastAsia" w:ascii="仿宋" w:hAnsi="仿宋" w:eastAsia="仿宋" w:cs="仿宋"/>
          <w:b w:val="0"/>
          <w:bCs w:val="0"/>
          <w:color w:val="auto"/>
          <w:sz w:val="32"/>
          <w:szCs w:val="32"/>
          <w:highlight w:val="none"/>
        </w:rPr>
        <w:t>相关账目，会计税票据和进出货台账，验收票据，溯源依据（原件或复印件）必须存放在企业位于临高</w:t>
      </w:r>
      <w:r>
        <w:rPr>
          <w:rFonts w:hint="eastAsia" w:ascii="仿宋" w:hAnsi="仿宋" w:eastAsia="仿宋" w:cs="仿宋"/>
          <w:b w:val="0"/>
          <w:bCs w:val="0"/>
          <w:color w:val="auto"/>
          <w:sz w:val="32"/>
          <w:szCs w:val="32"/>
          <w:highlight w:val="none"/>
          <w:lang w:eastAsia="zh-CN"/>
        </w:rPr>
        <w:t>县</w:t>
      </w:r>
      <w:r>
        <w:rPr>
          <w:rFonts w:hint="eastAsia" w:ascii="仿宋" w:hAnsi="仿宋" w:eastAsia="仿宋" w:cs="仿宋"/>
          <w:b w:val="0"/>
          <w:bCs w:val="0"/>
          <w:color w:val="auto"/>
          <w:sz w:val="32"/>
          <w:szCs w:val="32"/>
          <w:highlight w:val="none"/>
        </w:rPr>
        <w:t>的仓库或办公地点</w:t>
      </w:r>
      <w:r>
        <w:rPr>
          <w:rFonts w:hint="eastAsia" w:ascii="仿宋" w:hAnsi="仿宋" w:eastAsia="仿宋" w:cs="仿宋"/>
          <w:b w:val="0"/>
          <w:bCs w:val="0"/>
          <w:color w:val="auto"/>
          <w:sz w:val="32"/>
          <w:szCs w:val="32"/>
          <w:highlight w:val="none"/>
          <w:lang w:eastAsia="zh-CN"/>
        </w:rPr>
        <w:t>供</w:t>
      </w:r>
      <w:r>
        <w:rPr>
          <w:rFonts w:hint="eastAsia" w:ascii="仿宋" w:hAnsi="仿宋" w:eastAsia="仿宋" w:cs="仿宋"/>
          <w:b w:val="0"/>
          <w:bCs w:val="0"/>
          <w:color w:val="auto"/>
          <w:sz w:val="32"/>
          <w:szCs w:val="32"/>
          <w:highlight w:val="none"/>
          <w:lang w:val="en-US" w:eastAsia="zh-CN"/>
        </w:rPr>
        <w:t>甲方</w:t>
      </w:r>
      <w:r>
        <w:rPr>
          <w:rFonts w:hint="eastAsia" w:ascii="仿宋" w:hAnsi="仿宋" w:eastAsia="仿宋" w:cs="仿宋"/>
          <w:b w:val="0"/>
          <w:bCs w:val="0"/>
          <w:color w:val="auto"/>
          <w:sz w:val="32"/>
          <w:szCs w:val="32"/>
          <w:highlight w:val="none"/>
        </w:rPr>
        <w:t>随时查阅</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乙方</w:t>
      </w:r>
      <w:r>
        <w:rPr>
          <w:rFonts w:hint="eastAsia" w:ascii="仿宋" w:hAnsi="仿宋" w:eastAsia="仿宋" w:cs="仿宋"/>
          <w:b w:val="0"/>
          <w:bCs w:val="0"/>
          <w:color w:val="auto"/>
          <w:sz w:val="32"/>
          <w:szCs w:val="32"/>
          <w:highlight w:val="none"/>
          <w:lang w:eastAsia="zh-CN"/>
        </w:rPr>
        <w:t>不得以任何理由拒绝提供。</w:t>
      </w:r>
    </w:p>
    <w:p w14:paraId="75F11E4B">
      <w:pPr>
        <w:pageBreakBefore w:val="0"/>
        <w:widowControl/>
        <w:kinsoku w:val="0"/>
        <w:wordWrap/>
        <w:overflowPunct/>
        <w:topLinePunct w:val="0"/>
        <w:autoSpaceDE w:val="0"/>
        <w:autoSpaceDN w:val="0"/>
        <w:bidi w:val="0"/>
        <w:adjustRightInd w:val="0"/>
        <w:snapToGrid w:val="0"/>
        <w:spacing w:before="0" w:line="600" w:lineRule="exact"/>
        <w:ind w:firstLine="640" w:firstLineChars="200"/>
        <w:jc w:val="both"/>
        <w:textAlignment w:val="baseline"/>
        <w:rPr>
          <w:rFonts w:hint="eastAsia" w:ascii="仿宋" w:hAnsi="仿宋" w:eastAsia="仿宋" w:cs="仿宋"/>
          <w:color w:val="auto"/>
          <w:sz w:val="32"/>
          <w:szCs w:val="32"/>
          <w:highlight w:val="none"/>
        </w:rPr>
      </w:pPr>
      <w:r>
        <w:rPr>
          <w:rFonts w:hint="eastAsia" w:ascii="仿宋" w:hAnsi="仿宋" w:eastAsia="仿宋" w:cs="仿宋"/>
          <w:b w:val="0"/>
          <w:bCs w:val="0"/>
          <w:color w:val="auto"/>
          <w:sz w:val="32"/>
          <w:szCs w:val="32"/>
          <w:highlight w:val="none"/>
          <w:lang w:val="en-US" w:eastAsia="zh-CN"/>
        </w:rPr>
        <w:t>4.</w:t>
      </w:r>
      <w:r>
        <w:rPr>
          <w:rFonts w:hint="eastAsia" w:ascii="仿宋" w:hAnsi="仿宋" w:eastAsia="仿宋" w:cs="仿宋"/>
          <w:color w:val="auto"/>
          <w:sz w:val="32"/>
          <w:szCs w:val="32"/>
          <w:highlight w:val="none"/>
        </w:rPr>
        <w:t>若乙方运输产品途中或履行本合同义务时对学校师生或第三人（第三人</w:t>
      </w:r>
      <w:r>
        <w:rPr>
          <w:rFonts w:hint="eastAsia" w:ascii="仿宋" w:hAnsi="仿宋" w:eastAsia="仿宋" w:cs="仿宋"/>
          <w:color w:val="auto"/>
          <w:sz w:val="32"/>
          <w:szCs w:val="32"/>
          <w:highlight w:val="none"/>
          <w:lang w:eastAsia="zh-CN"/>
        </w:rPr>
        <w:t>（含法人或自然人）</w:t>
      </w:r>
      <w:r>
        <w:rPr>
          <w:rFonts w:hint="eastAsia" w:ascii="仿宋" w:hAnsi="仿宋" w:eastAsia="仿宋" w:cs="仿宋"/>
          <w:color w:val="auto"/>
          <w:sz w:val="32"/>
          <w:szCs w:val="32"/>
          <w:highlight w:val="none"/>
        </w:rPr>
        <w:t>包括其工作人员</w:t>
      </w:r>
      <w:r>
        <w:rPr>
          <w:rFonts w:hint="eastAsia" w:ascii="仿宋" w:hAnsi="仿宋" w:eastAsia="仿宋" w:cs="仿宋"/>
          <w:color w:val="auto"/>
          <w:sz w:val="32"/>
          <w:szCs w:val="32"/>
          <w:highlight w:val="none"/>
          <w:lang w:eastAsia="zh-CN"/>
        </w:rPr>
        <w:t>和乙方存在工作关系的工作人员</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造成</w:t>
      </w:r>
      <w:r>
        <w:rPr>
          <w:rFonts w:hint="eastAsia" w:ascii="仿宋" w:hAnsi="仿宋" w:eastAsia="仿宋" w:cs="仿宋"/>
          <w:color w:val="auto"/>
          <w:sz w:val="32"/>
          <w:szCs w:val="32"/>
          <w:highlight w:val="none"/>
        </w:rPr>
        <w:t>损害的，乙方承担全部责任，与甲方无关，如因此造成甲方损失（包括但不限于甲方所支出的赔偿金、因参加诉讼所承担的诉讼费、</w:t>
      </w:r>
      <w:r>
        <w:rPr>
          <w:rFonts w:hint="eastAsia" w:ascii="仿宋" w:hAnsi="仿宋" w:eastAsia="仿宋" w:cs="仿宋"/>
          <w:color w:val="auto"/>
          <w:sz w:val="32"/>
          <w:szCs w:val="32"/>
          <w:highlight w:val="none"/>
          <w:lang w:val="en-US" w:eastAsia="zh-CN"/>
        </w:rPr>
        <w:t>保全费、保全保险费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律师费、执行费等相关费用、相关人员差旅费等因此产生的所有费用），乙方承担全部赔偿责任，甲方有权向乙方追偿。因提供的食品质量问题给学生身心健康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含心理疾病或心理健康问题</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带来影响或发生疾病，伤亡事故，由乙方承担全部经济和法律责任。乙方按质、按时、按量、按合同做好配送</w:t>
      </w:r>
      <w:r>
        <w:rPr>
          <w:rFonts w:hint="eastAsia" w:ascii="仿宋" w:hAnsi="仿宋" w:eastAsia="仿宋" w:cs="仿宋"/>
          <w:color w:val="auto"/>
          <w:sz w:val="32"/>
          <w:szCs w:val="32"/>
          <w:highlight w:val="none"/>
          <w:lang w:eastAsia="zh-CN"/>
        </w:rPr>
        <w:t>和供货、加工等</w:t>
      </w:r>
      <w:r>
        <w:rPr>
          <w:rFonts w:hint="eastAsia" w:ascii="仿宋" w:hAnsi="仿宋" w:eastAsia="仿宋" w:cs="仿宋"/>
          <w:color w:val="auto"/>
          <w:sz w:val="32"/>
          <w:szCs w:val="32"/>
          <w:highlight w:val="none"/>
        </w:rPr>
        <w:t>服务工作；</w:t>
      </w:r>
      <w:r>
        <w:rPr>
          <w:rFonts w:hint="eastAsia" w:ascii="仿宋_GB2312" w:hAnsi="仿宋_GB2312" w:eastAsia="仿宋_GB2312" w:cs="仿宋_GB2312"/>
          <w:color w:val="auto"/>
          <w:sz w:val="32"/>
          <w:szCs w:val="32"/>
          <w:highlight w:val="none"/>
        </w:rPr>
        <w:t>乙方必须接受由有关职能部门组成的检查小组</w:t>
      </w:r>
      <w:r>
        <w:rPr>
          <w:rFonts w:hint="eastAsia" w:ascii="仿宋_GB2312" w:hAnsi="仿宋_GB2312" w:eastAsia="仿宋_GB2312" w:cs="仿宋_GB2312"/>
          <w:color w:val="auto"/>
          <w:sz w:val="32"/>
          <w:szCs w:val="32"/>
          <w:highlight w:val="none"/>
          <w:lang w:eastAsia="zh-CN"/>
        </w:rPr>
        <w:t>对</w:t>
      </w:r>
      <w:r>
        <w:rPr>
          <w:rFonts w:hint="eastAsia" w:ascii="仿宋_GB2312" w:hAnsi="仿宋_GB2312" w:eastAsia="仿宋_GB2312" w:cs="仿宋_GB2312"/>
          <w:color w:val="auto"/>
          <w:sz w:val="32"/>
          <w:szCs w:val="32"/>
          <w:highlight w:val="none"/>
        </w:rPr>
        <w:t>学生营养</w:t>
      </w:r>
      <w:r>
        <w:rPr>
          <w:rFonts w:hint="eastAsia" w:ascii="仿宋_GB2312" w:hAnsi="仿宋_GB2312" w:eastAsia="仿宋_GB2312" w:cs="仿宋_GB2312"/>
          <w:color w:val="auto"/>
          <w:sz w:val="32"/>
          <w:szCs w:val="32"/>
          <w:highlight w:val="none"/>
          <w:lang w:val="en-US" w:eastAsia="zh-CN"/>
        </w:rPr>
        <w:t>改善计划</w:t>
      </w:r>
      <w:r>
        <w:rPr>
          <w:rFonts w:hint="eastAsia" w:ascii="仿宋_GB2312" w:hAnsi="仿宋_GB2312" w:eastAsia="仿宋_GB2312" w:cs="仿宋_GB2312"/>
          <w:color w:val="auto"/>
          <w:sz w:val="32"/>
          <w:szCs w:val="32"/>
          <w:highlight w:val="none"/>
        </w:rPr>
        <w:t>实施情况进行定期和不定期检查</w:t>
      </w:r>
      <w:r>
        <w:rPr>
          <w:rFonts w:hint="eastAsia" w:ascii="仿宋_GB2312" w:hAnsi="仿宋_GB2312" w:eastAsia="仿宋_GB2312" w:cs="仿宋_GB2312"/>
          <w:color w:val="auto"/>
          <w:sz w:val="32"/>
          <w:szCs w:val="32"/>
          <w:highlight w:val="none"/>
          <w:lang w:eastAsia="zh-CN"/>
        </w:rPr>
        <w:t>，</w:t>
      </w:r>
      <w:r>
        <w:rPr>
          <w:rFonts w:hint="eastAsia" w:ascii="仿宋" w:hAnsi="仿宋" w:eastAsia="仿宋" w:cs="仿宋"/>
          <w:color w:val="auto"/>
          <w:sz w:val="32"/>
          <w:szCs w:val="32"/>
          <w:highlight w:val="none"/>
        </w:rPr>
        <w:t>按照监管部门要求严把质量关，否则将对其进行罚款处理，对县教育局和有关监管部门指出的存在问题应按期整改，否则将根据合同对其</w:t>
      </w:r>
      <w:r>
        <w:rPr>
          <w:rFonts w:hint="eastAsia" w:ascii="仿宋" w:hAnsi="仿宋" w:eastAsia="仿宋" w:cs="仿宋"/>
          <w:color w:val="auto"/>
          <w:sz w:val="32"/>
          <w:szCs w:val="32"/>
          <w:highlight w:val="none"/>
          <w:lang w:eastAsia="zh-CN"/>
        </w:rPr>
        <w:t>扣除履约保证金</w:t>
      </w:r>
      <w:r>
        <w:rPr>
          <w:rFonts w:hint="eastAsia" w:ascii="仿宋" w:hAnsi="仿宋" w:eastAsia="仿宋" w:cs="仿宋"/>
          <w:color w:val="auto"/>
          <w:sz w:val="32"/>
          <w:szCs w:val="32"/>
          <w:highlight w:val="none"/>
          <w:lang w:val="en-US" w:eastAsia="zh-CN"/>
        </w:rPr>
        <w:t>1000元</w:t>
      </w:r>
      <w:r>
        <w:rPr>
          <w:rFonts w:hint="eastAsia" w:ascii="仿宋" w:hAnsi="仿宋" w:eastAsia="仿宋" w:cs="仿宋"/>
          <w:color w:val="auto"/>
          <w:sz w:val="32"/>
          <w:szCs w:val="32"/>
          <w:highlight w:val="none"/>
        </w:rPr>
        <w:t>。</w:t>
      </w:r>
    </w:p>
    <w:p w14:paraId="0EA991BC">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甲乙双方可在本合同的基础上，根据协商一致原则和有关法律法规签订延长供货时间或调整供货对象、数量、品类等补充合同。</w:t>
      </w:r>
    </w:p>
    <w:p w14:paraId="78864B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 w:hAnsi="仿宋" w:eastAsia="仿宋" w:cs="仿宋"/>
          <w:color w:val="auto"/>
          <w:sz w:val="32"/>
          <w:szCs w:val="32"/>
          <w:highlight w:val="none"/>
          <w:lang w:val="en-US" w:eastAsia="zh-CN"/>
        </w:rPr>
        <w:t>相关标准未尽之处应按照《教育部等七部门关于印发&lt;农村义务教育学生营养改善计划实施办法&gt;的通知》(财教(2022)2号)文件有关要求或其它国家有关营养改善计划或食品安全等法律法规以及上级有关政策制度执行。乙方如因客观条件无法按原合同要求执行的情况，或</w:t>
      </w:r>
      <w:r>
        <w:rPr>
          <w:rFonts w:hint="eastAsia" w:ascii="仿宋_GB2312" w:hAnsi="仿宋_GB2312" w:eastAsia="仿宋_GB2312" w:cs="仿宋_GB2312"/>
          <w:color w:val="auto"/>
          <w:sz w:val="32"/>
          <w:szCs w:val="32"/>
          <w:highlight w:val="none"/>
          <w:lang w:eastAsia="zh-CN"/>
        </w:rPr>
        <w:t>因不可抗力导致相关产品无法按时供应或调整供应的，</w:t>
      </w:r>
      <w:r>
        <w:rPr>
          <w:rFonts w:hint="eastAsia" w:ascii="仿宋" w:hAnsi="仿宋" w:eastAsia="仿宋" w:cs="仿宋"/>
          <w:color w:val="auto"/>
          <w:sz w:val="32"/>
          <w:szCs w:val="32"/>
          <w:highlight w:val="none"/>
          <w:lang w:val="en-US" w:eastAsia="zh-CN"/>
        </w:rPr>
        <w:t>应征的甲方同意后执行，否则视为违约。</w:t>
      </w:r>
    </w:p>
    <w:p w14:paraId="5A6378CF">
      <w:pPr>
        <w:keepNext w:val="0"/>
        <w:keepLines w:val="0"/>
        <w:spacing w:line="560" w:lineRule="exact"/>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b w:val="0"/>
          <w:bCs w:val="0"/>
          <w:color w:val="auto"/>
          <w:sz w:val="32"/>
          <w:szCs w:val="32"/>
          <w:highlight w:val="none"/>
          <w:lang w:val="en-US" w:eastAsia="zh-CN"/>
        </w:rPr>
        <w:t>7.</w:t>
      </w:r>
      <w:r>
        <w:rPr>
          <w:rFonts w:hint="eastAsia" w:ascii="仿宋" w:hAnsi="仿宋" w:eastAsia="仿宋" w:cs="仿宋"/>
          <w:color w:val="auto"/>
          <w:sz w:val="32"/>
          <w:szCs w:val="32"/>
          <w:highlight w:val="none"/>
        </w:rPr>
        <w:t>如</w:t>
      </w:r>
      <w:r>
        <w:rPr>
          <w:rFonts w:hint="eastAsia" w:ascii="仿宋" w:hAnsi="仿宋" w:eastAsia="仿宋" w:cs="仿宋"/>
          <w:color w:val="auto"/>
          <w:sz w:val="32"/>
          <w:szCs w:val="32"/>
          <w:highlight w:val="none"/>
          <w:lang w:eastAsia="zh-CN"/>
        </w:rPr>
        <w:t>乙方</w:t>
      </w:r>
      <w:r>
        <w:rPr>
          <w:rFonts w:hint="eastAsia" w:ascii="仿宋" w:hAnsi="仿宋" w:eastAsia="仿宋" w:cs="仿宋"/>
          <w:color w:val="auto"/>
          <w:sz w:val="32"/>
          <w:szCs w:val="32"/>
          <w:highlight w:val="none"/>
        </w:rPr>
        <w:t>在本地建设、租赁使用仓储场地的，需主动联系本地市场监督管理局对仓储场地建设使用等相关事宜，需在供餐前一周向甲方</w:t>
      </w:r>
      <w:r>
        <w:rPr>
          <w:rFonts w:hint="eastAsia" w:ascii="仿宋" w:hAnsi="仿宋" w:eastAsia="仿宋" w:cs="仿宋"/>
          <w:color w:val="auto"/>
          <w:sz w:val="32"/>
          <w:szCs w:val="32"/>
          <w:highlight w:val="none"/>
          <w:lang w:val="en-US" w:eastAsia="zh-CN"/>
        </w:rPr>
        <w:t>或相关政府行业主管部门</w:t>
      </w:r>
      <w:r>
        <w:rPr>
          <w:rFonts w:hint="eastAsia" w:ascii="仿宋" w:hAnsi="仿宋" w:eastAsia="仿宋" w:cs="仿宋"/>
          <w:color w:val="auto"/>
          <w:sz w:val="32"/>
          <w:szCs w:val="32"/>
          <w:highlight w:val="none"/>
        </w:rPr>
        <w:t>提供相关材料。</w:t>
      </w:r>
    </w:p>
    <w:p w14:paraId="6136CBFE">
      <w:pPr>
        <w:keepNext w:val="0"/>
        <w:keepLines w:val="0"/>
        <w:spacing w:line="560" w:lineRule="exact"/>
        <w:ind w:firstLine="640" w:firstLineChars="200"/>
        <w:jc w:val="both"/>
        <w:rPr>
          <w:rFonts w:hint="eastAsia" w:ascii="仿宋_GB2312" w:hAnsi="仿宋_GB2312" w:eastAsia="仿宋_GB2312" w:cs="仿宋_GB2312"/>
          <w:b w:val="0"/>
          <w:bCs/>
          <w:color w:val="auto"/>
          <w:kern w:val="2"/>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乙方相关资质和参与招投标，签订合同的过程应符合国家、海南省营养改善计划和学校食品供应相关法规和政策要求以及招投标相关法律法规要求，如有不合规之处，本合同即行解除，由此造成的损失均由乙方负责，相关履约保证金全额赔偿甲方，甲方</w:t>
      </w:r>
      <w:r>
        <w:rPr>
          <w:rFonts w:hint="eastAsia" w:ascii="仿宋_GB2312" w:hAnsi="仿宋_GB2312" w:eastAsia="仿宋_GB2312" w:cs="仿宋_GB2312"/>
          <w:b w:val="0"/>
          <w:bCs/>
          <w:kern w:val="2"/>
          <w:sz w:val="32"/>
          <w:szCs w:val="32"/>
        </w:rPr>
        <w:t>有权要求乙方</w:t>
      </w:r>
      <w:r>
        <w:rPr>
          <w:rFonts w:hint="eastAsia" w:ascii="仿宋_GB2312" w:hAnsi="仿宋_GB2312" w:eastAsia="仿宋_GB2312" w:cs="仿宋_GB2312"/>
          <w:b w:val="0"/>
          <w:bCs/>
          <w:kern w:val="2"/>
          <w:sz w:val="32"/>
          <w:szCs w:val="32"/>
          <w:lang w:val="en-US" w:eastAsia="zh-CN"/>
        </w:rPr>
        <w:t>按本合同</w:t>
      </w:r>
      <w:r>
        <w:rPr>
          <w:rFonts w:hint="eastAsia" w:ascii="仿宋_GB2312" w:hAnsi="仿宋_GB2312" w:eastAsia="仿宋_GB2312" w:cs="仿宋_GB2312"/>
          <w:b w:val="0"/>
          <w:bCs/>
          <w:kern w:val="2"/>
          <w:sz w:val="32"/>
          <w:szCs w:val="32"/>
        </w:rPr>
        <w:t>暂定总金额的</w:t>
      </w:r>
      <w:r>
        <w:rPr>
          <w:rFonts w:hint="eastAsia" w:ascii="仿宋_GB2312" w:hAnsi="仿宋_GB2312" w:eastAsia="仿宋_GB2312" w:cs="仿宋_GB2312"/>
          <w:b w:val="0"/>
          <w:bCs/>
          <w:kern w:val="2"/>
          <w:sz w:val="32"/>
          <w:szCs w:val="32"/>
          <w:lang w:val="en-US" w:eastAsia="zh-CN"/>
        </w:rPr>
        <w:t>3</w:t>
      </w:r>
      <w:r>
        <w:rPr>
          <w:rFonts w:hint="eastAsia" w:ascii="仿宋_GB2312" w:hAnsi="仿宋_GB2312" w:eastAsia="仿宋_GB2312" w:cs="仿宋_GB2312"/>
          <w:b w:val="0"/>
          <w:bCs/>
          <w:kern w:val="2"/>
          <w:sz w:val="32"/>
          <w:szCs w:val="32"/>
        </w:rPr>
        <w:t>0%向甲方支付违约金</w:t>
      </w:r>
      <w:r>
        <w:rPr>
          <w:rFonts w:hint="eastAsia" w:ascii="仿宋_GB2312" w:hAnsi="仿宋_GB2312" w:eastAsia="仿宋_GB2312" w:cs="仿宋_GB2312"/>
          <w:b w:val="0"/>
          <w:bCs/>
          <w:kern w:val="2"/>
          <w:sz w:val="32"/>
          <w:szCs w:val="32"/>
          <w:lang w:eastAsia="zh-CN"/>
        </w:rPr>
        <w:t>，</w:t>
      </w:r>
      <w:r>
        <w:rPr>
          <w:rFonts w:hint="eastAsia" w:ascii="仿宋_GB2312" w:hAnsi="仿宋_GB2312" w:eastAsia="仿宋_GB2312" w:cs="仿宋_GB2312"/>
          <w:b w:val="0"/>
          <w:bCs/>
          <w:color w:val="auto"/>
          <w:kern w:val="2"/>
          <w:sz w:val="32"/>
          <w:szCs w:val="32"/>
          <w:highlight w:val="none"/>
          <w:lang w:val="en-US" w:eastAsia="zh-CN"/>
        </w:rPr>
        <w:t>由此产生的责任由乙方负责。</w:t>
      </w:r>
    </w:p>
    <w:p w14:paraId="426D9EDB">
      <w:pPr>
        <w:keepNext w:val="0"/>
        <w:keepLines w:val="0"/>
        <w:spacing w:line="560" w:lineRule="exact"/>
        <w:ind w:firstLine="640" w:firstLineChars="200"/>
        <w:rPr>
          <w:rFonts w:hint="eastAsia" w:ascii="仿宋_GB2312" w:hAnsi="仿宋_GB2312" w:eastAsia="仿宋_GB2312" w:cs="仿宋_GB2312"/>
          <w:bCs/>
          <w:kern w:val="2"/>
          <w:sz w:val="32"/>
          <w:szCs w:val="32"/>
          <w:lang w:val="en-US" w:eastAsia="zh-CN"/>
        </w:rPr>
      </w:pPr>
      <w:r>
        <w:rPr>
          <w:rFonts w:hint="eastAsia" w:ascii="仿宋_GB2312" w:hAnsi="仿宋_GB2312" w:eastAsia="仿宋_GB2312" w:cs="仿宋_GB2312"/>
          <w:b w:val="0"/>
          <w:bCs/>
          <w:color w:val="auto"/>
          <w:kern w:val="2"/>
          <w:sz w:val="32"/>
          <w:szCs w:val="32"/>
          <w:highlight w:val="none"/>
          <w:lang w:val="en-US" w:eastAsia="zh-CN"/>
        </w:rPr>
        <w:t>9.</w:t>
      </w:r>
      <w:r>
        <w:rPr>
          <w:rFonts w:hint="eastAsia" w:ascii="仿宋_GB2312" w:hAnsi="仿宋_GB2312" w:eastAsia="仿宋_GB2312" w:cs="仿宋_GB2312"/>
          <w:b w:val="0"/>
          <w:bCs/>
          <w:color w:val="auto"/>
          <w:kern w:val="2"/>
          <w:sz w:val="32"/>
          <w:szCs w:val="32"/>
          <w:highlight w:val="none"/>
          <w:lang w:val="en-US" w:eastAsia="zh-CN" w:bidi="ar-SA"/>
        </w:rPr>
        <w:t>如在合同签订后和履行期间，因招投标和签订合同问题被投诉举报查实或被有关部门查处存在违法违规问题的，本合同立即解除，因招投标代理机构导致的问题，双方互不负责，由代理机构负责，因乙方导致的问题，由乙方负全部法律责任</w:t>
      </w:r>
      <w:r>
        <w:rPr>
          <w:rFonts w:hint="eastAsia" w:ascii="仿宋_GB2312" w:hAnsi="仿宋_GB2312" w:eastAsia="仿宋_GB2312" w:cs="仿宋_GB2312"/>
          <w:b w:val="0"/>
          <w:bCs w:val="0"/>
          <w:color w:val="auto"/>
          <w:sz w:val="32"/>
          <w:szCs w:val="32"/>
          <w:highlight w:val="none"/>
          <w:lang w:val="en-US" w:eastAsia="zh-CN"/>
        </w:rPr>
        <w:t>，相关履约保证金全额赔偿甲方，甲方</w:t>
      </w:r>
      <w:r>
        <w:rPr>
          <w:rFonts w:hint="eastAsia" w:ascii="仿宋_GB2312" w:hAnsi="仿宋_GB2312" w:eastAsia="仿宋_GB2312" w:cs="仿宋_GB2312"/>
          <w:b w:val="0"/>
          <w:bCs/>
          <w:kern w:val="2"/>
          <w:sz w:val="32"/>
          <w:szCs w:val="32"/>
        </w:rPr>
        <w:t>有权要求乙方</w:t>
      </w:r>
      <w:r>
        <w:rPr>
          <w:rFonts w:hint="eastAsia" w:ascii="仿宋_GB2312" w:hAnsi="仿宋_GB2312" w:eastAsia="仿宋_GB2312" w:cs="仿宋_GB2312"/>
          <w:b w:val="0"/>
          <w:bCs/>
          <w:kern w:val="2"/>
          <w:sz w:val="32"/>
          <w:szCs w:val="32"/>
          <w:lang w:val="en-US" w:eastAsia="zh-CN"/>
        </w:rPr>
        <w:t>按本合同</w:t>
      </w:r>
      <w:r>
        <w:rPr>
          <w:rFonts w:hint="eastAsia" w:ascii="仿宋_GB2312" w:hAnsi="仿宋_GB2312" w:eastAsia="仿宋_GB2312" w:cs="仿宋_GB2312"/>
          <w:b w:val="0"/>
          <w:bCs/>
          <w:kern w:val="2"/>
          <w:sz w:val="32"/>
          <w:szCs w:val="32"/>
        </w:rPr>
        <w:t>暂定总金额的</w:t>
      </w:r>
      <w:r>
        <w:rPr>
          <w:rFonts w:hint="eastAsia" w:ascii="仿宋_GB2312" w:hAnsi="仿宋_GB2312" w:eastAsia="仿宋_GB2312" w:cs="仿宋_GB2312"/>
          <w:b w:val="0"/>
          <w:bCs/>
          <w:kern w:val="2"/>
          <w:sz w:val="32"/>
          <w:szCs w:val="32"/>
          <w:lang w:val="en-US" w:eastAsia="zh-CN"/>
        </w:rPr>
        <w:t>3</w:t>
      </w:r>
      <w:r>
        <w:rPr>
          <w:rFonts w:hint="eastAsia" w:ascii="仿宋_GB2312" w:hAnsi="仿宋_GB2312" w:eastAsia="仿宋_GB2312" w:cs="仿宋_GB2312"/>
          <w:b w:val="0"/>
          <w:bCs/>
          <w:kern w:val="2"/>
          <w:sz w:val="32"/>
          <w:szCs w:val="32"/>
        </w:rPr>
        <w:t>0%向甲方支付违约金</w:t>
      </w:r>
      <w:r>
        <w:rPr>
          <w:rFonts w:hint="eastAsia" w:ascii="仿宋_GB2312" w:hAnsi="仿宋_GB2312" w:eastAsia="仿宋_GB2312" w:cs="仿宋_GB2312"/>
          <w:b w:val="0"/>
          <w:bCs/>
          <w:color w:val="auto"/>
          <w:kern w:val="2"/>
          <w:sz w:val="32"/>
          <w:szCs w:val="32"/>
          <w:highlight w:val="none"/>
          <w:lang w:val="en-US" w:eastAsia="zh-CN" w:bidi="ar-SA"/>
        </w:rPr>
        <w:t>。</w:t>
      </w:r>
    </w:p>
    <w:p w14:paraId="2E9440E5">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lang w:eastAsia="zh-CN"/>
        </w:rPr>
        <w:t>十一、</w:t>
      </w:r>
      <w:r>
        <w:rPr>
          <w:rFonts w:hint="eastAsia" w:ascii="黑体" w:hAnsi="黑体" w:eastAsia="黑体" w:cs="黑体"/>
          <w:b w:val="0"/>
          <w:bCs/>
          <w:kern w:val="2"/>
          <w:sz w:val="32"/>
          <w:szCs w:val="32"/>
        </w:rPr>
        <w:t>合同纠纷处理</w:t>
      </w:r>
    </w:p>
    <w:p w14:paraId="4B42ABDB">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本合同履行过程中发生纠纷，应协商解决，协商不成，任何一方均可向甲方所在地的人民法院提起诉讼解决。守约方因此所支付的包括但不限于因追偿所支付的诉讼费、保全费、保全担保费、律师费等一切费用，均由违约方承担。</w:t>
      </w:r>
    </w:p>
    <w:p w14:paraId="37EFFFD7">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rPr>
        <w:t>十</w:t>
      </w:r>
      <w:r>
        <w:rPr>
          <w:rFonts w:hint="eastAsia" w:ascii="黑体" w:hAnsi="黑体" w:eastAsia="黑体" w:cs="黑体"/>
          <w:b w:val="0"/>
          <w:bCs/>
          <w:kern w:val="2"/>
          <w:sz w:val="32"/>
          <w:szCs w:val="32"/>
          <w:lang w:eastAsia="zh-CN"/>
        </w:rPr>
        <w:t>二</w:t>
      </w:r>
      <w:r>
        <w:rPr>
          <w:rFonts w:hint="eastAsia" w:ascii="黑体" w:hAnsi="黑体" w:eastAsia="黑体" w:cs="黑体"/>
          <w:b w:val="0"/>
          <w:bCs/>
          <w:kern w:val="2"/>
          <w:sz w:val="32"/>
          <w:szCs w:val="32"/>
        </w:rPr>
        <w:t>、合同生效</w:t>
      </w:r>
    </w:p>
    <w:p w14:paraId="64A6ABC2">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本合同由甲乙双方</w:t>
      </w:r>
      <w:r>
        <w:rPr>
          <w:rFonts w:hint="eastAsia" w:ascii="仿宋_GB2312" w:hAnsi="仿宋_GB2312" w:eastAsia="仿宋_GB2312" w:cs="仿宋_GB2312"/>
          <w:b w:val="0"/>
          <w:bCs/>
          <w:kern w:val="2"/>
          <w:sz w:val="32"/>
          <w:szCs w:val="32"/>
          <w:lang w:eastAsia="zh-CN"/>
        </w:rPr>
        <w:t>法定代表人</w:t>
      </w:r>
      <w:r>
        <w:rPr>
          <w:rFonts w:hint="eastAsia" w:ascii="仿宋_GB2312" w:hAnsi="仿宋_GB2312" w:eastAsia="仿宋_GB2312" w:cs="仿宋_GB2312"/>
          <w:b w:val="0"/>
          <w:bCs/>
          <w:kern w:val="2"/>
          <w:sz w:val="32"/>
          <w:szCs w:val="32"/>
        </w:rPr>
        <w:t>签字盖章</w:t>
      </w:r>
      <w:r>
        <w:rPr>
          <w:rFonts w:hint="eastAsia" w:ascii="仿宋_GB2312" w:hAnsi="仿宋_GB2312" w:eastAsia="仿宋_GB2312" w:cs="仿宋_GB2312"/>
          <w:b w:val="0"/>
          <w:bCs/>
          <w:kern w:val="2"/>
          <w:sz w:val="32"/>
          <w:szCs w:val="32"/>
          <w:lang w:val="en-US" w:eastAsia="zh-CN"/>
        </w:rPr>
        <w:t>之日起</w:t>
      </w:r>
      <w:r>
        <w:rPr>
          <w:rFonts w:hint="eastAsia" w:ascii="仿宋_GB2312" w:hAnsi="仿宋_GB2312" w:eastAsia="仿宋_GB2312" w:cs="仿宋_GB2312"/>
          <w:b w:val="0"/>
          <w:bCs/>
          <w:kern w:val="2"/>
          <w:sz w:val="32"/>
          <w:szCs w:val="32"/>
        </w:rPr>
        <w:t>生效。</w:t>
      </w:r>
    </w:p>
    <w:p w14:paraId="1DB0BAE2">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rPr>
        <w:t>十</w:t>
      </w:r>
      <w:r>
        <w:rPr>
          <w:rFonts w:hint="eastAsia" w:ascii="黑体" w:hAnsi="黑体" w:eastAsia="黑体" w:cs="黑体"/>
          <w:b w:val="0"/>
          <w:bCs/>
          <w:kern w:val="2"/>
          <w:sz w:val="32"/>
          <w:szCs w:val="32"/>
          <w:lang w:eastAsia="zh-CN"/>
        </w:rPr>
        <w:t>三</w:t>
      </w:r>
      <w:r>
        <w:rPr>
          <w:rFonts w:hint="eastAsia" w:ascii="黑体" w:hAnsi="黑体" w:eastAsia="黑体" w:cs="黑体"/>
          <w:b w:val="0"/>
          <w:bCs/>
          <w:kern w:val="2"/>
          <w:sz w:val="32"/>
          <w:szCs w:val="32"/>
        </w:rPr>
        <w:t>、合同鉴证</w:t>
      </w:r>
    </w:p>
    <w:p w14:paraId="509186B7">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采购代理机构应当在本合同上签章，以证明本合同条款与招标文件、投标文件的相关要求相符并且未对采购内容和技术参数进行实质性修改。</w:t>
      </w:r>
    </w:p>
    <w:p w14:paraId="5657BD5D">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rPr>
        <w:t>十</w:t>
      </w:r>
      <w:r>
        <w:rPr>
          <w:rFonts w:hint="eastAsia" w:ascii="黑体" w:hAnsi="黑体" w:eastAsia="黑体" w:cs="黑体"/>
          <w:b w:val="0"/>
          <w:bCs/>
          <w:kern w:val="2"/>
          <w:sz w:val="32"/>
          <w:szCs w:val="32"/>
          <w:lang w:eastAsia="zh-CN"/>
        </w:rPr>
        <w:t>四</w:t>
      </w:r>
      <w:r>
        <w:rPr>
          <w:rFonts w:hint="eastAsia" w:ascii="黑体" w:hAnsi="黑体" w:eastAsia="黑体" w:cs="黑体"/>
          <w:b w:val="0"/>
          <w:bCs/>
          <w:kern w:val="2"/>
          <w:sz w:val="32"/>
          <w:szCs w:val="32"/>
        </w:rPr>
        <w:t>、本合同的组成文件</w:t>
      </w:r>
    </w:p>
    <w:p w14:paraId="7BD20D56">
      <w:pPr>
        <w:pStyle w:val="16"/>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before="0" w:line="560" w:lineRule="exact"/>
        <w:ind w:leftChars="0" w:right="0" w:rightChars="0"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lang w:val="en-US" w:eastAsia="zh-CN"/>
        </w:rPr>
        <w:t>1.</w:t>
      </w:r>
      <w:r>
        <w:rPr>
          <w:rFonts w:hint="eastAsia" w:ascii="仿宋_GB2312" w:hAnsi="仿宋_GB2312" w:eastAsia="仿宋_GB2312" w:cs="仿宋_GB2312"/>
          <w:b w:val="0"/>
          <w:bCs/>
          <w:kern w:val="2"/>
          <w:sz w:val="32"/>
          <w:szCs w:val="32"/>
        </w:rPr>
        <w:t xml:space="preserve">合同通用条款和专用条款；                         </w:t>
      </w:r>
    </w:p>
    <w:p w14:paraId="78944124">
      <w:pPr>
        <w:pStyle w:val="16"/>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before="0" w:line="560" w:lineRule="exact"/>
        <w:ind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 xml:space="preserve">2.招标文件、乙方的投标文件和评标时的澄清函 (如有)； </w:t>
      </w:r>
    </w:p>
    <w:p w14:paraId="0C770796">
      <w:pPr>
        <w:pStyle w:val="16"/>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before="0" w:line="560" w:lineRule="exact"/>
        <w:ind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3.中标通知书；</w:t>
      </w:r>
    </w:p>
    <w:p w14:paraId="2215A840">
      <w:pPr>
        <w:pStyle w:val="16"/>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before="0" w:line="560" w:lineRule="exact"/>
        <w:ind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4.甲乙双方商定的其他必要文件。</w:t>
      </w:r>
    </w:p>
    <w:p w14:paraId="58319D8B">
      <w:pPr>
        <w:pStyle w:val="16"/>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before="0" w:line="560" w:lineRule="exact"/>
        <w:ind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rPr>
      </w:pPr>
      <w:r>
        <w:rPr>
          <w:rFonts w:hint="eastAsia" w:ascii="仿宋_GB2312" w:hAnsi="仿宋_GB2312" w:eastAsia="仿宋_GB2312" w:cs="仿宋_GB2312"/>
          <w:b w:val="0"/>
          <w:bCs/>
          <w:kern w:val="2"/>
          <w:sz w:val="32"/>
          <w:szCs w:val="32"/>
          <w:lang w:val="en-US" w:eastAsia="zh-CN"/>
        </w:rPr>
        <w:t>上述合同文件内容互为补充，除法律法规另有规定外，如有不明确，由甲方负责最终解释。</w:t>
      </w:r>
    </w:p>
    <w:p w14:paraId="25161D10">
      <w:pPr>
        <w:pStyle w:val="16"/>
        <w:pageBreakBefore w:val="0"/>
        <w:widowControl w:val="0"/>
        <w:tabs>
          <w:tab w:val="left" w:pos="540"/>
        </w:tabs>
        <w:kinsoku/>
        <w:wordWrap/>
        <w:overflowPunct/>
        <w:topLinePunct w:val="0"/>
        <w:bidi w:val="0"/>
        <w:snapToGrid/>
        <w:spacing w:before="0" w:line="560" w:lineRule="exact"/>
        <w:ind w:firstLine="640" w:firstLineChars="200"/>
        <w:jc w:val="both"/>
        <w:rPr>
          <w:rFonts w:hint="eastAsia" w:ascii="黑体" w:hAnsi="黑体" w:eastAsia="黑体" w:cs="黑体"/>
          <w:b w:val="0"/>
          <w:bCs/>
          <w:kern w:val="2"/>
          <w:sz w:val="32"/>
          <w:szCs w:val="32"/>
        </w:rPr>
      </w:pPr>
      <w:r>
        <w:rPr>
          <w:rFonts w:hint="eastAsia" w:ascii="黑体" w:hAnsi="黑体" w:eastAsia="黑体" w:cs="黑体"/>
          <w:b w:val="0"/>
          <w:bCs/>
          <w:kern w:val="2"/>
          <w:sz w:val="32"/>
          <w:szCs w:val="32"/>
        </w:rPr>
        <w:t>十</w:t>
      </w:r>
      <w:r>
        <w:rPr>
          <w:rFonts w:hint="eastAsia" w:ascii="黑体" w:hAnsi="黑体" w:eastAsia="黑体" w:cs="黑体"/>
          <w:b w:val="0"/>
          <w:bCs/>
          <w:kern w:val="2"/>
          <w:sz w:val="32"/>
          <w:szCs w:val="32"/>
          <w:lang w:eastAsia="zh-CN"/>
        </w:rPr>
        <w:t>五</w:t>
      </w:r>
      <w:r>
        <w:rPr>
          <w:rFonts w:hint="eastAsia" w:ascii="黑体" w:hAnsi="黑体" w:eastAsia="黑体" w:cs="黑体"/>
          <w:b w:val="0"/>
          <w:bCs/>
          <w:kern w:val="2"/>
          <w:sz w:val="32"/>
          <w:szCs w:val="32"/>
        </w:rPr>
        <w:t>、合同备案</w:t>
      </w:r>
    </w:p>
    <w:p w14:paraId="2AC1D731">
      <w:pPr>
        <w:pStyle w:val="16"/>
        <w:keepNext w:val="0"/>
        <w:keepLines w:val="0"/>
        <w:pageBreakBefore w:val="0"/>
        <w:widowControl w:val="0"/>
        <w:tabs>
          <w:tab w:val="left" w:pos="540"/>
        </w:tabs>
        <w:kinsoku/>
        <w:wordWrap/>
        <w:overflowPunct/>
        <w:topLinePunct w:val="0"/>
        <w:autoSpaceDE/>
        <w:autoSpaceDN/>
        <w:bidi w:val="0"/>
        <w:adjustRightInd/>
        <w:snapToGrid/>
        <w:spacing w:before="0" w:line="560" w:lineRule="exact"/>
        <w:ind w:firstLine="640" w:firstLineChars="200"/>
        <w:jc w:val="both"/>
        <w:textAlignment w:val="auto"/>
        <w:rPr>
          <w:rFonts w:hint="eastAsia" w:ascii="仿宋_GB2312" w:hAnsi="仿宋_GB2312" w:eastAsia="仿宋_GB2312" w:cs="仿宋_GB2312"/>
          <w:b w:val="0"/>
          <w:bCs/>
          <w:kern w:val="2"/>
          <w:sz w:val="32"/>
          <w:szCs w:val="32"/>
        </w:rPr>
      </w:pPr>
      <w:r>
        <w:rPr>
          <w:rFonts w:hint="eastAsia" w:ascii="仿宋_GB2312" w:hAnsi="仿宋_GB2312" w:eastAsia="仿宋_GB2312" w:cs="仿宋_GB2312"/>
          <w:b w:val="0"/>
          <w:bCs/>
          <w:kern w:val="2"/>
          <w:sz w:val="32"/>
          <w:szCs w:val="32"/>
        </w:rPr>
        <w:t>本合同一式</w:t>
      </w:r>
      <w:r>
        <w:rPr>
          <w:rFonts w:hint="eastAsia" w:ascii="仿宋_GB2312" w:hAnsi="仿宋_GB2312" w:eastAsia="仿宋_GB2312" w:cs="仿宋_GB2312"/>
          <w:b w:val="0"/>
          <w:bCs/>
          <w:kern w:val="2"/>
          <w:sz w:val="32"/>
          <w:szCs w:val="32"/>
          <w:lang w:eastAsia="zh-CN"/>
        </w:rPr>
        <w:t>六</w:t>
      </w:r>
      <w:r>
        <w:rPr>
          <w:rFonts w:hint="eastAsia" w:ascii="仿宋_GB2312" w:hAnsi="仿宋_GB2312" w:eastAsia="仿宋_GB2312" w:cs="仿宋_GB2312"/>
          <w:b w:val="0"/>
          <w:bCs/>
          <w:kern w:val="2"/>
          <w:sz w:val="32"/>
          <w:szCs w:val="32"/>
        </w:rPr>
        <w:t>份，中文书写。甲方</w:t>
      </w:r>
      <w:r>
        <w:rPr>
          <w:rFonts w:hint="eastAsia" w:ascii="仿宋_GB2312" w:hAnsi="仿宋_GB2312" w:eastAsia="仿宋_GB2312" w:cs="仿宋_GB2312"/>
          <w:b w:val="0"/>
          <w:bCs/>
          <w:kern w:val="2"/>
          <w:sz w:val="32"/>
          <w:szCs w:val="32"/>
          <w:lang w:eastAsia="zh-CN"/>
        </w:rPr>
        <w:t>、</w:t>
      </w:r>
      <w:r>
        <w:rPr>
          <w:rFonts w:hint="eastAsia" w:ascii="仿宋_GB2312" w:hAnsi="仿宋_GB2312" w:eastAsia="仿宋_GB2312" w:cs="仿宋_GB2312"/>
          <w:b w:val="0"/>
          <w:bCs/>
          <w:kern w:val="2"/>
          <w:sz w:val="32"/>
          <w:szCs w:val="32"/>
        </w:rPr>
        <w:t>乙方和采购代理机构</w:t>
      </w:r>
      <w:r>
        <w:rPr>
          <w:rFonts w:hint="eastAsia" w:ascii="仿宋_GB2312" w:hAnsi="仿宋_GB2312" w:eastAsia="仿宋_GB2312" w:cs="仿宋_GB2312"/>
          <w:b w:val="0"/>
          <w:bCs/>
          <w:kern w:val="2"/>
          <w:sz w:val="32"/>
          <w:szCs w:val="32"/>
          <w:lang w:eastAsia="zh-CN"/>
        </w:rPr>
        <w:t>各</w:t>
      </w:r>
      <w:r>
        <w:rPr>
          <w:rFonts w:hint="eastAsia" w:ascii="仿宋_GB2312" w:hAnsi="仿宋_GB2312" w:eastAsia="仿宋_GB2312" w:cs="仿宋_GB2312"/>
          <w:b w:val="0"/>
          <w:bCs/>
          <w:kern w:val="2"/>
          <w:sz w:val="32"/>
          <w:szCs w:val="32"/>
        </w:rPr>
        <w:t>执</w:t>
      </w:r>
      <w:r>
        <w:rPr>
          <w:rFonts w:hint="eastAsia" w:ascii="仿宋_GB2312" w:hAnsi="仿宋_GB2312" w:eastAsia="仿宋_GB2312" w:cs="仿宋_GB2312"/>
          <w:b w:val="0"/>
          <w:bCs/>
          <w:kern w:val="2"/>
          <w:sz w:val="32"/>
          <w:szCs w:val="32"/>
          <w:lang w:eastAsia="zh-CN"/>
        </w:rPr>
        <w:t>两</w:t>
      </w:r>
      <w:r>
        <w:rPr>
          <w:rFonts w:hint="eastAsia" w:ascii="仿宋_GB2312" w:hAnsi="仿宋_GB2312" w:eastAsia="仿宋_GB2312" w:cs="仿宋_GB2312"/>
          <w:b w:val="0"/>
          <w:bCs/>
          <w:kern w:val="2"/>
          <w:sz w:val="32"/>
          <w:szCs w:val="32"/>
        </w:rPr>
        <w:t>份。</w:t>
      </w:r>
    </w:p>
    <w:p w14:paraId="5C5558FF">
      <w:pPr>
        <w:pStyle w:val="16"/>
        <w:pageBreakBefore w:val="0"/>
        <w:widowControl w:val="0"/>
        <w:tabs>
          <w:tab w:val="left" w:pos="540"/>
        </w:tabs>
        <w:kinsoku/>
        <w:wordWrap/>
        <w:overflowPunct/>
        <w:topLinePunct w:val="0"/>
        <w:bidi w:val="0"/>
        <w:snapToGrid/>
        <w:spacing w:before="0" w:line="560" w:lineRule="exact"/>
        <w:jc w:val="both"/>
        <w:rPr>
          <w:rFonts w:hint="eastAsia" w:ascii="仿宋_GB2312" w:hAnsi="仿宋_GB2312" w:eastAsia="仿宋_GB2312" w:cs="仿宋_GB2312"/>
          <w:kern w:val="2"/>
          <w:sz w:val="32"/>
          <w:szCs w:val="32"/>
          <w:lang w:val="en-US" w:eastAsia="zh-CN"/>
        </w:rPr>
      </w:pPr>
    </w:p>
    <w:p w14:paraId="5717BB60">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lang w:val="en-US" w:eastAsia="zh-CN"/>
        </w:rPr>
        <w:t>甲方：</w:t>
      </w:r>
      <w:r>
        <w:rPr>
          <w:rFonts w:hint="eastAsia" w:ascii="仿宋_GB2312" w:hAnsi="仿宋_GB2312" w:eastAsia="仿宋_GB2312" w:cs="仿宋_GB2312"/>
          <w:kern w:val="2"/>
          <w:sz w:val="32"/>
          <w:szCs w:val="32"/>
          <w:u w:val="single"/>
          <w:lang w:val="en-US" w:eastAsia="zh-CN"/>
        </w:rPr>
        <w:t xml:space="preserve">临高县教育局 </w:t>
      </w:r>
    </w:p>
    <w:p w14:paraId="08836344">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lang w:val="en-US" w:eastAsia="zh-CN"/>
        </w:rPr>
        <w:t>地址：</w:t>
      </w:r>
      <w:r>
        <w:rPr>
          <w:rFonts w:hint="eastAsia" w:ascii="仿宋_GB2312" w:hAnsi="仿宋_GB2312" w:eastAsia="仿宋_GB2312" w:cs="仿宋_GB2312"/>
          <w:color w:val="000000"/>
          <w:sz w:val="32"/>
          <w:szCs w:val="32"/>
          <w:u w:val="single"/>
          <w:lang w:val="en-US" w:eastAsia="zh-CN"/>
        </w:rPr>
        <w:t>海南省临高县江南路9号</w:t>
      </w:r>
      <w:r>
        <w:rPr>
          <w:rFonts w:hint="eastAsia" w:ascii="仿宋_GB2312" w:hAnsi="仿宋_GB2312" w:eastAsia="仿宋_GB2312" w:cs="仿宋_GB2312"/>
          <w:kern w:val="2"/>
          <w:sz w:val="32"/>
          <w:szCs w:val="32"/>
          <w:u w:val="single"/>
          <w:lang w:val="en-US" w:eastAsia="zh-CN"/>
        </w:rPr>
        <w:t xml:space="preserve"> </w:t>
      </w:r>
    </w:p>
    <w:p w14:paraId="725F3643">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lang w:val="en-US" w:eastAsia="zh-CN"/>
        </w:rPr>
        <w:t>法定 (或授权) 代表人：</w:t>
      </w:r>
      <w:r>
        <w:rPr>
          <w:rFonts w:hint="eastAsia" w:ascii="仿宋_GB2312" w:hAnsi="仿宋_GB2312" w:eastAsia="仿宋_GB2312" w:cs="仿宋_GB2312"/>
          <w:kern w:val="2"/>
          <w:sz w:val="32"/>
          <w:szCs w:val="32"/>
          <w:u w:val="single"/>
          <w:lang w:val="en-US" w:eastAsia="zh-CN"/>
        </w:rPr>
        <w:t xml:space="preserve">               </w:t>
      </w:r>
    </w:p>
    <w:p w14:paraId="53E3FB86">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开户行：工商银行临高支行</w:t>
      </w:r>
    </w:p>
    <w:p w14:paraId="49686968">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default"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账号：</w:t>
      </w:r>
      <w:r>
        <w:rPr>
          <w:rFonts w:hint="eastAsia" w:ascii="仿宋_GB2312" w:hAnsi="仿宋_GB2312" w:eastAsia="仿宋_GB2312" w:cs="仿宋_GB2312"/>
          <w:color w:val="000000"/>
          <w:sz w:val="32"/>
          <w:szCs w:val="32"/>
          <w:lang w:val="en-US" w:eastAsia="zh-CN"/>
        </w:rPr>
        <w:t>2201025909200037849</w:t>
      </w:r>
    </w:p>
    <w:p w14:paraId="36C4B695">
      <w:pPr>
        <w:pStyle w:val="16"/>
        <w:pageBreakBefore w:val="0"/>
        <w:widowControl w:val="0"/>
        <w:tabs>
          <w:tab w:val="left" w:pos="540"/>
        </w:tabs>
        <w:kinsoku/>
        <w:wordWrap/>
        <w:overflowPunct/>
        <w:topLinePunct w:val="0"/>
        <w:bidi w:val="0"/>
        <w:snapToGrid/>
        <w:spacing w:before="0" w:line="560" w:lineRule="exact"/>
        <w:ind w:firstLine="2249" w:firstLineChars="7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ab/>
      </w:r>
      <w:r>
        <w:rPr>
          <w:rFonts w:hint="eastAsia" w:ascii="仿宋_GB2312" w:hAnsi="仿宋_GB2312" w:eastAsia="仿宋_GB2312" w:cs="仿宋_GB2312"/>
          <w:kern w:val="2"/>
          <w:sz w:val="32"/>
          <w:szCs w:val="32"/>
          <w:lang w:val="en-US" w:eastAsia="zh-CN"/>
        </w:rPr>
        <w:t>年    月     日</w:t>
      </w:r>
    </w:p>
    <w:p w14:paraId="3F5CA82C">
      <w:pPr>
        <w:pStyle w:val="16"/>
        <w:pageBreakBefore w:val="0"/>
        <w:widowControl w:val="0"/>
        <w:tabs>
          <w:tab w:val="left" w:pos="540"/>
        </w:tabs>
        <w:kinsoku/>
        <w:wordWrap/>
        <w:overflowPunct/>
        <w:topLinePunct w:val="0"/>
        <w:bidi w:val="0"/>
        <w:snapToGrid/>
        <w:spacing w:before="0" w:line="560" w:lineRule="exact"/>
        <w:jc w:val="both"/>
        <w:rPr>
          <w:rFonts w:hint="eastAsia" w:ascii="仿宋_GB2312" w:hAnsi="仿宋_GB2312" w:eastAsia="仿宋_GB2312" w:cs="仿宋_GB2312"/>
          <w:kern w:val="2"/>
          <w:sz w:val="32"/>
          <w:szCs w:val="32"/>
          <w:lang w:val="en-US" w:eastAsia="zh-CN"/>
        </w:rPr>
      </w:pPr>
    </w:p>
    <w:p w14:paraId="7DEFD914">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p>
    <w:p w14:paraId="6FEE7DFD">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乙方：</w:t>
      </w:r>
      <w:r>
        <w:rPr>
          <w:rFonts w:hint="eastAsia" w:ascii="仿宋_GB2312" w:hAnsi="仿宋_GB2312" w:eastAsia="仿宋_GB2312" w:cs="仿宋_GB2312"/>
          <w:kern w:val="2"/>
          <w:sz w:val="32"/>
          <w:szCs w:val="32"/>
          <w:u w:val="single"/>
          <w:lang w:val="en-US" w:eastAsia="zh-CN"/>
        </w:rPr>
        <w:t>***************公司</w:t>
      </w:r>
    </w:p>
    <w:p w14:paraId="379D8605">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地址：</w:t>
      </w:r>
      <w:r>
        <w:rPr>
          <w:rFonts w:hint="eastAsia" w:ascii="仿宋_GB2312" w:hAnsi="仿宋_GB2312" w:eastAsia="仿宋_GB2312" w:cs="仿宋_GB2312"/>
          <w:kern w:val="2"/>
          <w:sz w:val="32"/>
          <w:szCs w:val="32"/>
          <w:u w:val="single"/>
          <w:lang w:val="en-US" w:eastAsia="zh-CN"/>
        </w:rPr>
        <w:t>海南省*********************</w:t>
      </w:r>
    </w:p>
    <w:p w14:paraId="2C824A3F">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lang w:val="en-US" w:eastAsia="zh-CN"/>
        </w:rPr>
        <w:t>法定 (或授权) 代表人：</w:t>
      </w:r>
      <w:r>
        <w:rPr>
          <w:rFonts w:hint="eastAsia" w:ascii="仿宋_GB2312" w:hAnsi="仿宋_GB2312" w:eastAsia="仿宋_GB2312" w:cs="仿宋_GB2312"/>
          <w:kern w:val="2"/>
          <w:sz w:val="32"/>
          <w:szCs w:val="32"/>
          <w:u w:val="single"/>
          <w:lang w:val="en-US" w:eastAsia="zh-CN"/>
        </w:rPr>
        <w:t xml:space="preserve">               </w:t>
      </w:r>
    </w:p>
    <w:p w14:paraId="420DB72A">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开户行：海南****************支行</w:t>
      </w:r>
    </w:p>
    <w:p w14:paraId="42E55A7B">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default"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lang w:val="en-US" w:eastAsia="zh-CN"/>
        </w:rPr>
        <w:t>帐号：******************</w:t>
      </w:r>
    </w:p>
    <w:p w14:paraId="539318D3">
      <w:pPr>
        <w:pStyle w:val="16"/>
        <w:pageBreakBefore w:val="0"/>
        <w:widowControl w:val="0"/>
        <w:tabs>
          <w:tab w:val="left" w:pos="540"/>
        </w:tabs>
        <w:kinsoku/>
        <w:wordWrap/>
        <w:overflowPunct/>
        <w:topLinePunct w:val="0"/>
        <w:bidi w:val="0"/>
        <w:snapToGrid/>
        <w:spacing w:before="0" w:line="560" w:lineRule="exact"/>
        <w:ind w:firstLine="2249" w:firstLineChars="7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ab/>
      </w:r>
      <w:r>
        <w:rPr>
          <w:rFonts w:hint="eastAsia" w:ascii="仿宋_GB2312" w:hAnsi="仿宋_GB2312" w:eastAsia="仿宋_GB2312" w:cs="仿宋_GB2312"/>
          <w:kern w:val="2"/>
          <w:sz w:val="32"/>
          <w:szCs w:val="32"/>
          <w:lang w:val="en-US" w:eastAsia="zh-CN"/>
        </w:rPr>
        <w:t>年    月     日</w:t>
      </w:r>
    </w:p>
    <w:p w14:paraId="653F7ECE">
      <w:pPr>
        <w:pStyle w:val="2"/>
        <w:pageBreakBefore w:val="0"/>
        <w:wordWrap/>
        <w:topLinePunct w:val="0"/>
        <w:bidi w:val="0"/>
        <w:snapToGrid/>
        <w:spacing w:line="560" w:lineRule="exact"/>
        <w:ind w:firstLine="643" w:firstLineChars="200"/>
        <w:jc w:val="both"/>
        <w:rPr>
          <w:rFonts w:hint="eastAsia"/>
          <w:lang w:val="en-US" w:eastAsia="zh-CN"/>
        </w:rPr>
      </w:pPr>
    </w:p>
    <w:p w14:paraId="5A004EED">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p>
    <w:p w14:paraId="2CE3D501">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bookmarkStart w:id="0" w:name="_Toc32458"/>
      <w:r>
        <w:rPr>
          <w:rFonts w:hint="eastAsia" w:ascii="仿宋_GB2312" w:hAnsi="仿宋_GB2312" w:eastAsia="仿宋_GB2312" w:cs="仿宋_GB2312"/>
          <w:kern w:val="2"/>
          <w:sz w:val="32"/>
          <w:szCs w:val="32"/>
          <w:lang w:val="en-US" w:eastAsia="zh-CN"/>
        </w:rPr>
        <w:t>招标代理机构声明：本合同标的经</w:t>
      </w:r>
      <w:r>
        <w:rPr>
          <w:rFonts w:hint="eastAsia" w:ascii="仿宋_GB2312" w:hAnsi="仿宋_GB2312" w:eastAsia="仿宋_GB2312" w:cs="仿宋_GB2312"/>
          <w:kern w:val="2"/>
          <w:sz w:val="32"/>
          <w:szCs w:val="32"/>
          <w:u w:val="single"/>
          <w:lang w:val="en-US" w:eastAsia="zh-CN"/>
        </w:rPr>
        <w:t>******************公司</w:t>
      </w:r>
      <w:r>
        <w:rPr>
          <w:rFonts w:hint="eastAsia" w:ascii="仿宋_GB2312" w:hAnsi="仿宋_GB2312" w:eastAsia="仿宋_GB2312" w:cs="仿宋_GB2312"/>
          <w:kern w:val="2"/>
          <w:sz w:val="32"/>
          <w:szCs w:val="32"/>
          <w:lang w:val="en-US" w:eastAsia="zh-CN"/>
        </w:rPr>
        <w:t>依法定程序采购，合同主要条款内容与招投标文件的内容一致。</w:t>
      </w:r>
      <w:bookmarkEnd w:id="0"/>
    </w:p>
    <w:p w14:paraId="023F010D">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招标代理机构：</w:t>
      </w:r>
      <w:r>
        <w:rPr>
          <w:rFonts w:hint="eastAsia" w:ascii="仿宋_GB2312" w:hAnsi="仿宋_GB2312" w:eastAsia="仿宋_GB2312" w:cs="仿宋_GB2312"/>
          <w:kern w:val="2"/>
          <w:sz w:val="32"/>
          <w:szCs w:val="32"/>
          <w:u w:val="single"/>
          <w:lang w:val="en-US" w:eastAsia="zh-CN"/>
        </w:rPr>
        <w:t>******************公司 （盖章）</w:t>
      </w:r>
    </w:p>
    <w:p w14:paraId="6E13786D">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地址：</w:t>
      </w:r>
      <w:r>
        <w:rPr>
          <w:rFonts w:hint="eastAsia" w:ascii="仿宋_GB2312" w:hAnsi="仿宋_GB2312" w:eastAsia="仿宋_GB2312" w:cs="仿宋_GB2312"/>
          <w:kern w:val="2"/>
          <w:sz w:val="32"/>
          <w:szCs w:val="32"/>
          <w:u w:val="single"/>
          <w:lang w:val="en-US" w:eastAsia="zh-CN"/>
        </w:rPr>
        <w:t xml:space="preserve">海南省****************************  </w:t>
      </w:r>
      <w:r>
        <w:rPr>
          <w:rFonts w:hint="eastAsia" w:ascii="仿宋_GB2312" w:hAnsi="仿宋_GB2312" w:eastAsia="仿宋_GB2312" w:cs="仿宋_GB2312"/>
          <w:kern w:val="2"/>
          <w:sz w:val="32"/>
          <w:szCs w:val="32"/>
          <w:lang w:val="en-US" w:eastAsia="zh-CN"/>
        </w:rPr>
        <w:t xml:space="preserve">                                          </w:t>
      </w:r>
    </w:p>
    <w:p w14:paraId="2EBFAAE9">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法定（授权）代表人：         （签章）</w:t>
      </w:r>
    </w:p>
    <w:p w14:paraId="77DF2612">
      <w:pPr>
        <w:pStyle w:val="16"/>
        <w:pageBreakBefore w:val="0"/>
        <w:widowControl w:val="0"/>
        <w:tabs>
          <w:tab w:val="left" w:pos="540"/>
        </w:tabs>
        <w:kinsoku/>
        <w:wordWrap/>
        <w:overflowPunct/>
        <w:topLinePunct w:val="0"/>
        <w:bidi w:val="0"/>
        <w:snapToGrid/>
        <w:spacing w:before="0" w:line="560" w:lineRule="exact"/>
        <w:ind w:firstLine="643" w:firstLineChars="20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签订日期：        年      月    日</w:t>
      </w:r>
    </w:p>
    <w:p w14:paraId="5173E230"/>
    <w:p w14:paraId="0B78E400"/>
    <w:p w14:paraId="53E8B961"/>
    <w:p w14:paraId="59F98403"/>
    <w:p w14:paraId="5365A7C3"/>
    <w:p w14:paraId="625E39A5"/>
    <w:p w14:paraId="13E181E3"/>
    <w:p w14:paraId="016C99A1"/>
    <w:sectPr>
      <w:footerReference r:id="rId5" w:type="default"/>
      <w:pgSz w:w="11920" w:h="16840"/>
      <w:pgMar w:top="1440" w:right="1587" w:bottom="482" w:left="1587" w:header="0" w:footer="289"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ECDD7">
    <w:pPr>
      <w:spacing w:before="0" w:after="0" w:line="200" w:lineRule="exact"/>
      <w:jc w:val="left"/>
      <w:rPr>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4FCA11">
                          <w:pPr>
                            <w:pStyle w:val="1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4FCA11">
                    <w:pPr>
                      <w:pStyle w:val="1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trackRevisions w:val="1"/>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wZjhkZTg1MTMyNjgzMjllYzM2NDg5ZTkwMjU4OGUifQ=="/>
  </w:docVars>
  <w:rsids>
    <w:rsidRoot w:val="00000000"/>
    <w:rsid w:val="00115AF7"/>
    <w:rsid w:val="0050638A"/>
    <w:rsid w:val="00545CE6"/>
    <w:rsid w:val="00643BE3"/>
    <w:rsid w:val="00A65FA9"/>
    <w:rsid w:val="00ED1E2A"/>
    <w:rsid w:val="01E70628"/>
    <w:rsid w:val="025B2DC4"/>
    <w:rsid w:val="02866093"/>
    <w:rsid w:val="02B349AE"/>
    <w:rsid w:val="02D52B76"/>
    <w:rsid w:val="03A82039"/>
    <w:rsid w:val="03AC7D7B"/>
    <w:rsid w:val="03BA78DB"/>
    <w:rsid w:val="03D90444"/>
    <w:rsid w:val="03F359AA"/>
    <w:rsid w:val="0402799B"/>
    <w:rsid w:val="04043713"/>
    <w:rsid w:val="040C6A6B"/>
    <w:rsid w:val="04446205"/>
    <w:rsid w:val="04C258B7"/>
    <w:rsid w:val="04DA0918"/>
    <w:rsid w:val="04E377CC"/>
    <w:rsid w:val="050339CA"/>
    <w:rsid w:val="05123C0E"/>
    <w:rsid w:val="052F5589"/>
    <w:rsid w:val="063B7194"/>
    <w:rsid w:val="0654239A"/>
    <w:rsid w:val="06B07B82"/>
    <w:rsid w:val="06FA046B"/>
    <w:rsid w:val="070B300A"/>
    <w:rsid w:val="073562D9"/>
    <w:rsid w:val="073C20BC"/>
    <w:rsid w:val="077B49EB"/>
    <w:rsid w:val="07DE4EFF"/>
    <w:rsid w:val="083C511A"/>
    <w:rsid w:val="0869623A"/>
    <w:rsid w:val="086A3E48"/>
    <w:rsid w:val="09756E61"/>
    <w:rsid w:val="097F1A8E"/>
    <w:rsid w:val="09A3752A"/>
    <w:rsid w:val="09B5725D"/>
    <w:rsid w:val="0A2C5771"/>
    <w:rsid w:val="0A382368"/>
    <w:rsid w:val="0A6767AA"/>
    <w:rsid w:val="0A9B6453"/>
    <w:rsid w:val="0AEE2A27"/>
    <w:rsid w:val="0B100BEF"/>
    <w:rsid w:val="0B61144B"/>
    <w:rsid w:val="0B6131F9"/>
    <w:rsid w:val="0BF95B27"/>
    <w:rsid w:val="0C4843B9"/>
    <w:rsid w:val="0C580AA0"/>
    <w:rsid w:val="0C882A07"/>
    <w:rsid w:val="0C8A677F"/>
    <w:rsid w:val="0D0F4ED6"/>
    <w:rsid w:val="0D874A9B"/>
    <w:rsid w:val="0D8A4E1E"/>
    <w:rsid w:val="0DF57954"/>
    <w:rsid w:val="0EB44E7C"/>
    <w:rsid w:val="0F9D1CCD"/>
    <w:rsid w:val="10B71B0D"/>
    <w:rsid w:val="10EF12A7"/>
    <w:rsid w:val="10F03EEC"/>
    <w:rsid w:val="11851C0B"/>
    <w:rsid w:val="11967974"/>
    <w:rsid w:val="11DF131B"/>
    <w:rsid w:val="11F748B7"/>
    <w:rsid w:val="12753A2E"/>
    <w:rsid w:val="12DE15D3"/>
    <w:rsid w:val="134A310C"/>
    <w:rsid w:val="13743CE5"/>
    <w:rsid w:val="13854144"/>
    <w:rsid w:val="139A037C"/>
    <w:rsid w:val="142474B9"/>
    <w:rsid w:val="142B0848"/>
    <w:rsid w:val="145F04F1"/>
    <w:rsid w:val="14643D5A"/>
    <w:rsid w:val="149B310E"/>
    <w:rsid w:val="14D56A06"/>
    <w:rsid w:val="14FEC359"/>
    <w:rsid w:val="15141DAB"/>
    <w:rsid w:val="1528122B"/>
    <w:rsid w:val="153B2D0D"/>
    <w:rsid w:val="159B37AB"/>
    <w:rsid w:val="15A44D56"/>
    <w:rsid w:val="15F43684"/>
    <w:rsid w:val="15F86E50"/>
    <w:rsid w:val="16287735"/>
    <w:rsid w:val="167A18E7"/>
    <w:rsid w:val="170D2487"/>
    <w:rsid w:val="17101F77"/>
    <w:rsid w:val="171B1048"/>
    <w:rsid w:val="171F21BA"/>
    <w:rsid w:val="171F4E8F"/>
    <w:rsid w:val="17887D5F"/>
    <w:rsid w:val="17B63BA8"/>
    <w:rsid w:val="17C0574B"/>
    <w:rsid w:val="18003D99"/>
    <w:rsid w:val="18D92F68"/>
    <w:rsid w:val="18DA283C"/>
    <w:rsid w:val="19410B0E"/>
    <w:rsid w:val="1945415A"/>
    <w:rsid w:val="19EA2F53"/>
    <w:rsid w:val="19F3177B"/>
    <w:rsid w:val="1A404921"/>
    <w:rsid w:val="1A4C32C6"/>
    <w:rsid w:val="1ABC669E"/>
    <w:rsid w:val="1B5A7C65"/>
    <w:rsid w:val="1BBF3EC8"/>
    <w:rsid w:val="1BC6429E"/>
    <w:rsid w:val="1BDE43F2"/>
    <w:rsid w:val="1C006A5E"/>
    <w:rsid w:val="1C1775ED"/>
    <w:rsid w:val="1C214B7E"/>
    <w:rsid w:val="1C273FEB"/>
    <w:rsid w:val="1C6E39C8"/>
    <w:rsid w:val="1C901B90"/>
    <w:rsid w:val="1C93342E"/>
    <w:rsid w:val="1C9A47BD"/>
    <w:rsid w:val="1CB5509F"/>
    <w:rsid w:val="1CED7468"/>
    <w:rsid w:val="1D1C1676"/>
    <w:rsid w:val="1D28626C"/>
    <w:rsid w:val="1D352737"/>
    <w:rsid w:val="1D554B87"/>
    <w:rsid w:val="1D7C2114"/>
    <w:rsid w:val="1EDF44F4"/>
    <w:rsid w:val="1F0968D2"/>
    <w:rsid w:val="1F0E1492"/>
    <w:rsid w:val="1F7F732A"/>
    <w:rsid w:val="20D65FDF"/>
    <w:rsid w:val="20E95D13"/>
    <w:rsid w:val="212E7BC9"/>
    <w:rsid w:val="219E4D4F"/>
    <w:rsid w:val="22196184"/>
    <w:rsid w:val="22370D00"/>
    <w:rsid w:val="223B259E"/>
    <w:rsid w:val="22A53EBB"/>
    <w:rsid w:val="22D30A28"/>
    <w:rsid w:val="22F83FEB"/>
    <w:rsid w:val="23166B67"/>
    <w:rsid w:val="232F19D7"/>
    <w:rsid w:val="236773C3"/>
    <w:rsid w:val="237D267E"/>
    <w:rsid w:val="23843AD1"/>
    <w:rsid w:val="23B41626"/>
    <w:rsid w:val="23D507D0"/>
    <w:rsid w:val="249A3377"/>
    <w:rsid w:val="24AB14AB"/>
    <w:rsid w:val="24F904EE"/>
    <w:rsid w:val="250058D5"/>
    <w:rsid w:val="25AC2BE3"/>
    <w:rsid w:val="262D044F"/>
    <w:rsid w:val="264D28A0"/>
    <w:rsid w:val="2685028B"/>
    <w:rsid w:val="26B75F6B"/>
    <w:rsid w:val="27392E24"/>
    <w:rsid w:val="278E4F1E"/>
    <w:rsid w:val="27C43035"/>
    <w:rsid w:val="27E965F8"/>
    <w:rsid w:val="28081174"/>
    <w:rsid w:val="28242173"/>
    <w:rsid w:val="283D56D7"/>
    <w:rsid w:val="28BA7F95"/>
    <w:rsid w:val="28D41056"/>
    <w:rsid w:val="292673D8"/>
    <w:rsid w:val="293F0BC7"/>
    <w:rsid w:val="29430470"/>
    <w:rsid w:val="2967011C"/>
    <w:rsid w:val="29BF1D06"/>
    <w:rsid w:val="29D31120"/>
    <w:rsid w:val="2A2C6C70"/>
    <w:rsid w:val="2A405623"/>
    <w:rsid w:val="2A493D98"/>
    <w:rsid w:val="2B2D2CA0"/>
    <w:rsid w:val="2B724B56"/>
    <w:rsid w:val="2BBD2276"/>
    <w:rsid w:val="2BD11C89"/>
    <w:rsid w:val="2BDFE98B"/>
    <w:rsid w:val="2BE47802"/>
    <w:rsid w:val="2C583D4C"/>
    <w:rsid w:val="2CBA0563"/>
    <w:rsid w:val="2CBE781A"/>
    <w:rsid w:val="2CF75313"/>
    <w:rsid w:val="2D016192"/>
    <w:rsid w:val="2D667E22"/>
    <w:rsid w:val="2D7352E2"/>
    <w:rsid w:val="2E020414"/>
    <w:rsid w:val="2E04418C"/>
    <w:rsid w:val="2E282083"/>
    <w:rsid w:val="2E7F7CB6"/>
    <w:rsid w:val="2EB01C1E"/>
    <w:rsid w:val="2EB37960"/>
    <w:rsid w:val="2ED07E11"/>
    <w:rsid w:val="2F177EEF"/>
    <w:rsid w:val="2F6F1AD9"/>
    <w:rsid w:val="2F750BAF"/>
    <w:rsid w:val="2FC46F3F"/>
    <w:rsid w:val="2FDB0F1C"/>
    <w:rsid w:val="2FDDE9B0"/>
    <w:rsid w:val="2FEC3129"/>
    <w:rsid w:val="30191A45"/>
    <w:rsid w:val="30B359F5"/>
    <w:rsid w:val="311A5A74"/>
    <w:rsid w:val="311C7A3E"/>
    <w:rsid w:val="31336B36"/>
    <w:rsid w:val="31AA504A"/>
    <w:rsid w:val="31CD6F8B"/>
    <w:rsid w:val="31E3535F"/>
    <w:rsid w:val="3220355E"/>
    <w:rsid w:val="329A6E6D"/>
    <w:rsid w:val="329F4483"/>
    <w:rsid w:val="32A45F3D"/>
    <w:rsid w:val="32C1089D"/>
    <w:rsid w:val="32FF362E"/>
    <w:rsid w:val="330D3AE3"/>
    <w:rsid w:val="33557238"/>
    <w:rsid w:val="33811DDB"/>
    <w:rsid w:val="33833DA5"/>
    <w:rsid w:val="33945FB2"/>
    <w:rsid w:val="341B5D8B"/>
    <w:rsid w:val="342033A2"/>
    <w:rsid w:val="345E3C0F"/>
    <w:rsid w:val="348576A9"/>
    <w:rsid w:val="34B47F8E"/>
    <w:rsid w:val="34FF38FF"/>
    <w:rsid w:val="353A4937"/>
    <w:rsid w:val="35753BC1"/>
    <w:rsid w:val="35DF103A"/>
    <w:rsid w:val="3619279E"/>
    <w:rsid w:val="36341386"/>
    <w:rsid w:val="36407D2B"/>
    <w:rsid w:val="368D0A96"/>
    <w:rsid w:val="36D466C5"/>
    <w:rsid w:val="377E4FAF"/>
    <w:rsid w:val="379245B6"/>
    <w:rsid w:val="37977BBC"/>
    <w:rsid w:val="38A00F55"/>
    <w:rsid w:val="38A731BC"/>
    <w:rsid w:val="38BD6B23"/>
    <w:rsid w:val="38C70290"/>
    <w:rsid w:val="39495149"/>
    <w:rsid w:val="395B1E22"/>
    <w:rsid w:val="39760439"/>
    <w:rsid w:val="39F33306"/>
    <w:rsid w:val="3A1E65D5"/>
    <w:rsid w:val="3A385764"/>
    <w:rsid w:val="3A8723CC"/>
    <w:rsid w:val="3A9248CD"/>
    <w:rsid w:val="3A9430D4"/>
    <w:rsid w:val="3AAD7959"/>
    <w:rsid w:val="3B181276"/>
    <w:rsid w:val="3B2C3EEE"/>
    <w:rsid w:val="3B7566C9"/>
    <w:rsid w:val="3B9BF1F0"/>
    <w:rsid w:val="3C6D73A0"/>
    <w:rsid w:val="3CED04E1"/>
    <w:rsid w:val="3D2A703F"/>
    <w:rsid w:val="3D7F55DD"/>
    <w:rsid w:val="3DA908AC"/>
    <w:rsid w:val="3DB8289D"/>
    <w:rsid w:val="3DCC0290"/>
    <w:rsid w:val="3E2E7003"/>
    <w:rsid w:val="3E4E4FAF"/>
    <w:rsid w:val="3E701731"/>
    <w:rsid w:val="3E7F45E0"/>
    <w:rsid w:val="3EC534C3"/>
    <w:rsid w:val="3EEA117C"/>
    <w:rsid w:val="3F367F1D"/>
    <w:rsid w:val="3F47037C"/>
    <w:rsid w:val="3F4F44E0"/>
    <w:rsid w:val="3F9D61EE"/>
    <w:rsid w:val="3FA0183A"/>
    <w:rsid w:val="3FC03C8B"/>
    <w:rsid w:val="3FC75019"/>
    <w:rsid w:val="3FDFDE2A"/>
    <w:rsid w:val="3FEF900B"/>
    <w:rsid w:val="400B3158"/>
    <w:rsid w:val="402E6CD8"/>
    <w:rsid w:val="40955117"/>
    <w:rsid w:val="40D43E92"/>
    <w:rsid w:val="410F0A26"/>
    <w:rsid w:val="41151DB4"/>
    <w:rsid w:val="41474664"/>
    <w:rsid w:val="414C3A28"/>
    <w:rsid w:val="41654AEA"/>
    <w:rsid w:val="419158DF"/>
    <w:rsid w:val="41E2613A"/>
    <w:rsid w:val="4251506E"/>
    <w:rsid w:val="42BF022A"/>
    <w:rsid w:val="42EA799C"/>
    <w:rsid w:val="435766B4"/>
    <w:rsid w:val="43686B13"/>
    <w:rsid w:val="4391606A"/>
    <w:rsid w:val="43917E18"/>
    <w:rsid w:val="44025BEE"/>
    <w:rsid w:val="44366C11"/>
    <w:rsid w:val="44380293"/>
    <w:rsid w:val="45107462"/>
    <w:rsid w:val="451A208F"/>
    <w:rsid w:val="45352A25"/>
    <w:rsid w:val="454F3AE7"/>
    <w:rsid w:val="45737FE0"/>
    <w:rsid w:val="45C67B21"/>
    <w:rsid w:val="45E00BE3"/>
    <w:rsid w:val="45EA380F"/>
    <w:rsid w:val="45ED3300"/>
    <w:rsid w:val="464C6CB5"/>
    <w:rsid w:val="465670F7"/>
    <w:rsid w:val="466A4D2A"/>
    <w:rsid w:val="469F45FA"/>
    <w:rsid w:val="46C1629B"/>
    <w:rsid w:val="46E650F3"/>
    <w:rsid w:val="46FD6B05"/>
    <w:rsid w:val="47262F6D"/>
    <w:rsid w:val="47307948"/>
    <w:rsid w:val="47361F38"/>
    <w:rsid w:val="476E08C4"/>
    <w:rsid w:val="478D08F6"/>
    <w:rsid w:val="47C63E08"/>
    <w:rsid w:val="47CF0F0F"/>
    <w:rsid w:val="48735D3E"/>
    <w:rsid w:val="487877F8"/>
    <w:rsid w:val="48912668"/>
    <w:rsid w:val="48F47519"/>
    <w:rsid w:val="4961203A"/>
    <w:rsid w:val="496833C9"/>
    <w:rsid w:val="496F62BB"/>
    <w:rsid w:val="497613A4"/>
    <w:rsid w:val="49D7054F"/>
    <w:rsid w:val="49F44C5D"/>
    <w:rsid w:val="4A1B73E6"/>
    <w:rsid w:val="4A235542"/>
    <w:rsid w:val="4A3E275F"/>
    <w:rsid w:val="4AFA7A6E"/>
    <w:rsid w:val="4B871B00"/>
    <w:rsid w:val="4B906C07"/>
    <w:rsid w:val="4BDA60D4"/>
    <w:rsid w:val="4C2832E3"/>
    <w:rsid w:val="4C39729F"/>
    <w:rsid w:val="4C4719BC"/>
    <w:rsid w:val="4C765DFD"/>
    <w:rsid w:val="4CCF375F"/>
    <w:rsid w:val="4D21045F"/>
    <w:rsid w:val="4D333CEE"/>
    <w:rsid w:val="4D3D691B"/>
    <w:rsid w:val="4D453A21"/>
    <w:rsid w:val="4D4E28D6"/>
    <w:rsid w:val="4DA62712"/>
    <w:rsid w:val="4E5C54C6"/>
    <w:rsid w:val="4E8F13F8"/>
    <w:rsid w:val="4E9702AC"/>
    <w:rsid w:val="4EE23C1E"/>
    <w:rsid w:val="4F0C47F7"/>
    <w:rsid w:val="4F0FBE68"/>
    <w:rsid w:val="4F22401A"/>
    <w:rsid w:val="502B5150"/>
    <w:rsid w:val="503D490C"/>
    <w:rsid w:val="5042188F"/>
    <w:rsid w:val="509E1DC6"/>
    <w:rsid w:val="51385D77"/>
    <w:rsid w:val="51CC4711"/>
    <w:rsid w:val="51ED4DB3"/>
    <w:rsid w:val="51EF2711"/>
    <w:rsid w:val="52344790"/>
    <w:rsid w:val="523C1897"/>
    <w:rsid w:val="525E35BB"/>
    <w:rsid w:val="528943B0"/>
    <w:rsid w:val="53332208"/>
    <w:rsid w:val="53A72D40"/>
    <w:rsid w:val="54DB5397"/>
    <w:rsid w:val="554B79DC"/>
    <w:rsid w:val="557F3BF8"/>
    <w:rsid w:val="55992B5C"/>
    <w:rsid w:val="56414CC4"/>
    <w:rsid w:val="569C327B"/>
    <w:rsid w:val="569F41A2"/>
    <w:rsid w:val="56A8574D"/>
    <w:rsid w:val="56B440F1"/>
    <w:rsid w:val="57527466"/>
    <w:rsid w:val="575B456D"/>
    <w:rsid w:val="57715B3F"/>
    <w:rsid w:val="57DFBD7E"/>
    <w:rsid w:val="58256929"/>
    <w:rsid w:val="585F1B52"/>
    <w:rsid w:val="586631C9"/>
    <w:rsid w:val="588E44CE"/>
    <w:rsid w:val="59372DB8"/>
    <w:rsid w:val="59644A3A"/>
    <w:rsid w:val="59F90A5D"/>
    <w:rsid w:val="5A3B3836"/>
    <w:rsid w:val="5A533C21"/>
    <w:rsid w:val="5AD85ED5"/>
    <w:rsid w:val="5B76F003"/>
    <w:rsid w:val="5B9B762E"/>
    <w:rsid w:val="5BEB6A9A"/>
    <w:rsid w:val="5BFA6CEC"/>
    <w:rsid w:val="5BFFDCCF"/>
    <w:rsid w:val="5BFFFC0D"/>
    <w:rsid w:val="5C0276AD"/>
    <w:rsid w:val="5C0E6052"/>
    <w:rsid w:val="5C49708A"/>
    <w:rsid w:val="5C6C2D78"/>
    <w:rsid w:val="5C89392A"/>
    <w:rsid w:val="5C9F6CAA"/>
    <w:rsid w:val="5CC130C4"/>
    <w:rsid w:val="5CC74453"/>
    <w:rsid w:val="5CCE72AF"/>
    <w:rsid w:val="5D6F15E8"/>
    <w:rsid w:val="5D995DEF"/>
    <w:rsid w:val="5DCF64C6"/>
    <w:rsid w:val="5E6C52B2"/>
    <w:rsid w:val="5E781EA8"/>
    <w:rsid w:val="5E8819C0"/>
    <w:rsid w:val="5EE906B0"/>
    <w:rsid w:val="5EFE5019"/>
    <w:rsid w:val="5F033926"/>
    <w:rsid w:val="5F1D035A"/>
    <w:rsid w:val="5F3389B8"/>
    <w:rsid w:val="5F7FB5B9"/>
    <w:rsid w:val="5F993E84"/>
    <w:rsid w:val="5FFDB8DC"/>
    <w:rsid w:val="60082DB8"/>
    <w:rsid w:val="6042451C"/>
    <w:rsid w:val="606A75CF"/>
    <w:rsid w:val="60997EB4"/>
    <w:rsid w:val="60AE3960"/>
    <w:rsid w:val="611D2893"/>
    <w:rsid w:val="61314591"/>
    <w:rsid w:val="613C7ED5"/>
    <w:rsid w:val="61695AD8"/>
    <w:rsid w:val="61E11B13"/>
    <w:rsid w:val="620F48D2"/>
    <w:rsid w:val="6220263B"/>
    <w:rsid w:val="62311603"/>
    <w:rsid w:val="62AA47DE"/>
    <w:rsid w:val="62F35FA1"/>
    <w:rsid w:val="632E6FDA"/>
    <w:rsid w:val="63950E07"/>
    <w:rsid w:val="639860B9"/>
    <w:rsid w:val="63A728E8"/>
    <w:rsid w:val="63DC4C88"/>
    <w:rsid w:val="64D433D4"/>
    <w:rsid w:val="64E35BA2"/>
    <w:rsid w:val="652B019C"/>
    <w:rsid w:val="652F7039"/>
    <w:rsid w:val="65B65064"/>
    <w:rsid w:val="6655487D"/>
    <w:rsid w:val="6695163C"/>
    <w:rsid w:val="66E005EB"/>
    <w:rsid w:val="66E55C01"/>
    <w:rsid w:val="675A65EF"/>
    <w:rsid w:val="677B90C4"/>
    <w:rsid w:val="68077DF9"/>
    <w:rsid w:val="685079F2"/>
    <w:rsid w:val="687D0E8F"/>
    <w:rsid w:val="688D47A2"/>
    <w:rsid w:val="698A0CE2"/>
    <w:rsid w:val="69B33D95"/>
    <w:rsid w:val="69E836AE"/>
    <w:rsid w:val="6A96406A"/>
    <w:rsid w:val="6A9E67F3"/>
    <w:rsid w:val="6AA45DD3"/>
    <w:rsid w:val="6AA638F9"/>
    <w:rsid w:val="6AAD0458"/>
    <w:rsid w:val="6AE77573"/>
    <w:rsid w:val="6C044D7B"/>
    <w:rsid w:val="6C0B435C"/>
    <w:rsid w:val="6C1B3E73"/>
    <w:rsid w:val="6C376EFF"/>
    <w:rsid w:val="6C501D6F"/>
    <w:rsid w:val="6C557385"/>
    <w:rsid w:val="6C7F08A6"/>
    <w:rsid w:val="6CA36342"/>
    <w:rsid w:val="6CC14A1B"/>
    <w:rsid w:val="6CFEC2E9"/>
    <w:rsid w:val="6D233E90"/>
    <w:rsid w:val="6D34343E"/>
    <w:rsid w:val="6D3E42BD"/>
    <w:rsid w:val="6D3E606B"/>
    <w:rsid w:val="6E172916"/>
    <w:rsid w:val="6E1A6AD8"/>
    <w:rsid w:val="6E3A5360"/>
    <w:rsid w:val="6E4C47B8"/>
    <w:rsid w:val="6F7064BD"/>
    <w:rsid w:val="6F765F90"/>
    <w:rsid w:val="6FBF3EC7"/>
    <w:rsid w:val="6FEF99C6"/>
    <w:rsid w:val="6FFF4DE6"/>
    <w:rsid w:val="7000585A"/>
    <w:rsid w:val="70090BB2"/>
    <w:rsid w:val="701B08E6"/>
    <w:rsid w:val="70291476"/>
    <w:rsid w:val="705A7660"/>
    <w:rsid w:val="705C7B2F"/>
    <w:rsid w:val="70781894"/>
    <w:rsid w:val="70853FB1"/>
    <w:rsid w:val="709E4F80"/>
    <w:rsid w:val="70F21646"/>
    <w:rsid w:val="71A32941"/>
    <w:rsid w:val="723932A5"/>
    <w:rsid w:val="72646574"/>
    <w:rsid w:val="72842772"/>
    <w:rsid w:val="73BB6668"/>
    <w:rsid w:val="73C15E1A"/>
    <w:rsid w:val="73C347F9"/>
    <w:rsid w:val="73EB05CF"/>
    <w:rsid w:val="73FB8C4B"/>
    <w:rsid w:val="741B0EB4"/>
    <w:rsid w:val="74236D39"/>
    <w:rsid w:val="74704AA1"/>
    <w:rsid w:val="747448B2"/>
    <w:rsid w:val="75134281"/>
    <w:rsid w:val="753F6E24"/>
    <w:rsid w:val="754D3E47"/>
    <w:rsid w:val="755D72AA"/>
    <w:rsid w:val="7569EC27"/>
    <w:rsid w:val="75722D56"/>
    <w:rsid w:val="758D5C48"/>
    <w:rsid w:val="75A44ED9"/>
    <w:rsid w:val="75E64A2D"/>
    <w:rsid w:val="75FC2BB5"/>
    <w:rsid w:val="75FF269E"/>
    <w:rsid w:val="75FF7C34"/>
    <w:rsid w:val="76004806"/>
    <w:rsid w:val="761738FD"/>
    <w:rsid w:val="762F50EB"/>
    <w:rsid w:val="76872831"/>
    <w:rsid w:val="76B33626"/>
    <w:rsid w:val="76FF2D0F"/>
    <w:rsid w:val="77147E3D"/>
    <w:rsid w:val="771B741D"/>
    <w:rsid w:val="778E7BEF"/>
    <w:rsid w:val="77B533CE"/>
    <w:rsid w:val="77FA5285"/>
    <w:rsid w:val="77FB5906"/>
    <w:rsid w:val="781C51FB"/>
    <w:rsid w:val="787543E5"/>
    <w:rsid w:val="78C338C8"/>
    <w:rsid w:val="78EC72C3"/>
    <w:rsid w:val="791D122B"/>
    <w:rsid w:val="795FEDDA"/>
    <w:rsid w:val="799A6D1F"/>
    <w:rsid w:val="79BAD294"/>
    <w:rsid w:val="79BF0534"/>
    <w:rsid w:val="7A24394C"/>
    <w:rsid w:val="7AAED684"/>
    <w:rsid w:val="7B093CB5"/>
    <w:rsid w:val="7B6E695E"/>
    <w:rsid w:val="7B851222"/>
    <w:rsid w:val="7B851309"/>
    <w:rsid w:val="7BB265A2"/>
    <w:rsid w:val="7BEB5610"/>
    <w:rsid w:val="7BEDCF27"/>
    <w:rsid w:val="7BFFA435"/>
    <w:rsid w:val="7C43369E"/>
    <w:rsid w:val="7C5C02BC"/>
    <w:rsid w:val="7C6E5330"/>
    <w:rsid w:val="7CA53A11"/>
    <w:rsid w:val="7CC0084B"/>
    <w:rsid w:val="7CF189AE"/>
    <w:rsid w:val="7D821FA4"/>
    <w:rsid w:val="7DEF39A4"/>
    <w:rsid w:val="7E8B4E88"/>
    <w:rsid w:val="7E9F5509"/>
    <w:rsid w:val="7ECCDA34"/>
    <w:rsid w:val="7EED169F"/>
    <w:rsid w:val="7EF2BC4E"/>
    <w:rsid w:val="7EFE2E11"/>
    <w:rsid w:val="7F413799"/>
    <w:rsid w:val="7F641A7D"/>
    <w:rsid w:val="7F6F5ABD"/>
    <w:rsid w:val="7F7F0605"/>
    <w:rsid w:val="7F9F4983"/>
    <w:rsid w:val="7FBD54A7"/>
    <w:rsid w:val="7FC797A1"/>
    <w:rsid w:val="7FDB71DB"/>
    <w:rsid w:val="7FF8BC61"/>
    <w:rsid w:val="7FFBC327"/>
    <w:rsid w:val="7FFE3A09"/>
    <w:rsid w:val="7FFFAC0D"/>
    <w:rsid w:val="96ED1AEF"/>
    <w:rsid w:val="9BDFAA77"/>
    <w:rsid w:val="A7FFA775"/>
    <w:rsid w:val="AE2FEBF1"/>
    <w:rsid w:val="B3FF7B3E"/>
    <w:rsid w:val="B7963D35"/>
    <w:rsid w:val="BBFE5973"/>
    <w:rsid w:val="BDF9600D"/>
    <w:rsid w:val="BEBF8456"/>
    <w:rsid w:val="BFFF85EC"/>
    <w:rsid w:val="CE50402B"/>
    <w:rsid w:val="D3E38CB5"/>
    <w:rsid w:val="DFFDB6E7"/>
    <w:rsid w:val="DFFE0CEA"/>
    <w:rsid w:val="DFFF679A"/>
    <w:rsid w:val="E3EEBFE8"/>
    <w:rsid w:val="E779C83A"/>
    <w:rsid w:val="EBFD74C7"/>
    <w:rsid w:val="EDCFFAF0"/>
    <w:rsid w:val="EDEAA4E3"/>
    <w:rsid w:val="EFAF5F10"/>
    <w:rsid w:val="EFE3F98E"/>
    <w:rsid w:val="F5FC1101"/>
    <w:rsid w:val="F6D59D77"/>
    <w:rsid w:val="F7CF265A"/>
    <w:rsid w:val="F7F63BB3"/>
    <w:rsid w:val="F7FB4A1D"/>
    <w:rsid w:val="F9D4BE18"/>
    <w:rsid w:val="FA97593F"/>
    <w:rsid w:val="FAEF1938"/>
    <w:rsid w:val="FAF42D84"/>
    <w:rsid w:val="FAFF254D"/>
    <w:rsid w:val="FBF32BE3"/>
    <w:rsid w:val="FBFF2DFA"/>
    <w:rsid w:val="FDF49600"/>
    <w:rsid w:val="FEBE9494"/>
    <w:rsid w:val="FEFFA214"/>
    <w:rsid w:val="FF53D7EA"/>
    <w:rsid w:val="FF97E2E8"/>
    <w:rsid w:val="FFB9C97E"/>
    <w:rsid w:val="FFBB12FE"/>
    <w:rsid w:val="FFD7788F"/>
    <w:rsid w:val="FFD7CEA2"/>
    <w:rsid w:val="FFEF31D4"/>
    <w:rsid w:val="FFFB793E"/>
    <w:rsid w:val="FFFD67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pPr>
    <w:rPr>
      <w:rFonts w:asciiTheme="minorHAnsi" w:hAnsiTheme="minorHAnsi" w:eastAsiaTheme="minorHAnsi" w:cstheme="minorBidi"/>
      <w:sz w:val="22"/>
      <w:szCs w:val="22"/>
      <w:lang w:val="en-US" w:eastAsia="en-US" w:bidi="ar-SA"/>
    </w:rPr>
  </w:style>
  <w:style w:type="paragraph" w:styleId="3">
    <w:name w:val="heading 1"/>
    <w:basedOn w:val="1"/>
    <w:next w:val="1"/>
    <w:qFormat/>
    <w:uiPriority w:val="0"/>
    <w:pPr>
      <w:keepNext/>
      <w:keepLines/>
      <w:spacing w:line="360" w:lineRule="auto"/>
      <w:outlineLvl w:val="0"/>
    </w:pPr>
    <w:rPr>
      <w:rFonts w:ascii="Times New Roman" w:hAnsi="Times New Roman" w:eastAsia="宋体" w:cs="Times New Roman"/>
      <w:b/>
      <w:bCs/>
      <w:kern w:val="44"/>
      <w:sz w:val="32"/>
      <w:szCs w:val="44"/>
    </w:rPr>
  </w:style>
  <w:style w:type="paragraph" w:styleId="2">
    <w:name w:val="heading 2"/>
    <w:basedOn w:val="1"/>
    <w:next w:val="1"/>
    <w:qFormat/>
    <w:uiPriority w:val="0"/>
    <w:pPr>
      <w:keepNext/>
      <w:keepLines/>
      <w:widowControl w:val="0"/>
      <w:spacing w:before="260" w:after="0" w:afterLines="25" w:line="415" w:lineRule="auto"/>
      <w:ind w:left="0" w:right="0"/>
      <w:jc w:val="both"/>
      <w:outlineLvl w:val="1"/>
    </w:pPr>
    <w:rPr>
      <w:rFonts w:ascii="Arial" w:hAnsi="Arial" w:eastAsia="黑体" w:cs="Times New Roman"/>
      <w:b/>
      <w:bCs/>
      <w:kern w:val="2"/>
      <w:sz w:val="32"/>
      <w:szCs w:val="32"/>
      <w:lang w:val="en-US" w:eastAsia="zh-CN" w:bidi="ar-SA"/>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0" w:type="dxa"/>
        <w:bottom w:w="0" w:type="dxa"/>
        <w:right w:w="0" w:type="dxa"/>
      </w:tblCellMar>
    </w:tblPr>
  </w:style>
  <w:style w:type="paragraph" w:styleId="5">
    <w:name w:val="toa heading"/>
    <w:basedOn w:val="1"/>
    <w:next w:val="1"/>
    <w:qFormat/>
    <w:uiPriority w:val="0"/>
    <w:pPr>
      <w:widowControl w:val="0"/>
      <w:spacing w:before="120" w:after="0"/>
      <w:ind w:left="0" w:right="0"/>
      <w:jc w:val="both"/>
    </w:pPr>
    <w:rPr>
      <w:rFonts w:ascii="Arial" w:hAnsi="Arial" w:eastAsia="宋体" w:cs="Arial"/>
      <w:kern w:val="2"/>
      <w:sz w:val="24"/>
      <w:lang w:val="en-US" w:eastAsia="zh-CN" w:bidi="ar-SA"/>
    </w:rPr>
  </w:style>
  <w:style w:type="paragraph" w:styleId="6">
    <w:name w:val="annotation text"/>
    <w:basedOn w:val="1"/>
    <w:qFormat/>
    <w:uiPriority w:val="0"/>
    <w:pPr>
      <w:widowControl w:val="0"/>
      <w:spacing w:before="0" w:after="0"/>
      <w:ind w:left="0" w:right="0"/>
      <w:jc w:val="left"/>
    </w:pPr>
    <w:rPr>
      <w:rFonts w:ascii="Calibri" w:hAnsi="Calibri" w:eastAsia="宋体" w:cs="Times New Roman"/>
      <w:kern w:val="2"/>
      <w:sz w:val="21"/>
      <w:lang w:val="en-US" w:eastAsia="zh-CN" w:bidi="ar-SA"/>
    </w:rPr>
  </w:style>
  <w:style w:type="paragraph" w:styleId="7">
    <w:name w:val="Body Text"/>
    <w:basedOn w:val="1"/>
    <w:next w:val="1"/>
    <w:qFormat/>
    <w:uiPriority w:val="0"/>
    <w:pPr>
      <w:widowControl w:val="0"/>
      <w:tabs>
        <w:tab w:val="left" w:pos="720"/>
      </w:tabs>
      <w:adjustRightInd w:val="0"/>
      <w:spacing w:before="0" w:after="0" w:line="360" w:lineRule="auto"/>
      <w:ind w:left="0" w:right="0"/>
      <w:jc w:val="both"/>
    </w:pPr>
    <w:rPr>
      <w:rFonts w:ascii="宋体" w:hAnsi="Calibri" w:eastAsia="宋体" w:cs="Times New Roman"/>
      <w:kern w:val="0"/>
      <w:sz w:val="28"/>
      <w:szCs w:val="20"/>
      <w:lang w:val="en-US" w:eastAsia="zh-CN" w:bidi="ar-SA"/>
    </w:rPr>
  </w:style>
  <w:style w:type="paragraph" w:styleId="8">
    <w:name w:val="Body Text Indent"/>
    <w:basedOn w:val="1"/>
    <w:next w:val="9"/>
    <w:qFormat/>
    <w:uiPriority w:val="0"/>
    <w:pPr>
      <w:spacing w:after="120"/>
      <w:ind w:left="420" w:leftChars="200"/>
    </w:pPr>
    <w:rPr>
      <w:rFonts w:eastAsia="宋体"/>
    </w:rPr>
  </w:style>
  <w:style w:type="paragraph" w:customStyle="1" w:styleId="9">
    <w:name w:val="正文表格"/>
    <w:basedOn w:val="1"/>
    <w:qFormat/>
    <w:uiPriority w:val="0"/>
    <w:pPr>
      <w:adjustRightInd w:val="0"/>
      <w:snapToGrid w:val="0"/>
      <w:spacing w:line="240" w:lineRule="auto"/>
      <w:ind w:firstLine="600" w:firstLineChars="200"/>
    </w:pPr>
    <w:rPr>
      <w:rFonts w:ascii="Times New Roman" w:hAnsi="Times New Roman" w:eastAsia="仿宋_GB2312"/>
      <w:kern w:val="24"/>
      <w:sz w:val="21"/>
      <w:lang w:bidi="he-IL"/>
    </w:rPr>
  </w:style>
  <w:style w:type="paragraph" w:styleId="10">
    <w:name w:val="footer"/>
    <w:basedOn w:val="1"/>
    <w:semiHidden/>
    <w:unhideWhenUsed/>
    <w:qFormat/>
    <w:uiPriority w:val="99"/>
    <w:pPr>
      <w:tabs>
        <w:tab w:val="center" w:pos="4153"/>
        <w:tab w:val="right" w:pos="8306"/>
      </w:tabs>
      <w:snapToGrid w:val="0"/>
      <w:jc w:val="left"/>
    </w:pPr>
    <w:rPr>
      <w:sz w:val="18"/>
    </w:rPr>
  </w:style>
  <w:style w:type="paragraph" w:styleId="11">
    <w:name w:val="Body Text First Indent 2"/>
    <w:basedOn w:val="8"/>
    <w:next w:val="1"/>
    <w:qFormat/>
    <w:uiPriority w:val="0"/>
    <w:pPr>
      <w:ind w:firstLine="420" w:firstLineChars="200"/>
    </w:pPr>
  </w:style>
  <w:style w:type="table" w:styleId="13">
    <w:name w:val="Table Grid"/>
    <w:basedOn w:val="1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paragraph" w:customStyle="1" w:styleId="16">
    <w:name w:val="章标题"/>
    <w:basedOn w:val="5"/>
    <w:qFormat/>
    <w:uiPriority w:val="0"/>
    <w:pPr>
      <w:widowControl/>
      <w:jc w:val="center"/>
    </w:pPr>
    <w:rPr>
      <w:rFonts w:ascii="宋体" w:hAnsi="Calibri" w:eastAsia="宋体" w:cs="Times New Roman"/>
      <w:b/>
      <w:kern w:val="0"/>
      <w:sz w:val="32"/>
      <w:szCs w:val="18"/>
    </w:rPr>
  </w:style>
  <w:style w:type="character" w:customStyle="1" w:styleId="17">
    <w:name w:val="font41"/>
    <w:basedOn w:val="14"/>
    <w:qFormat/>
    <w:uiPriority w:val="0"/>
    <w:rPr>
      <w:rFonts w:hint="default" w:ascii="Arial" w:hAnsi="Arial" w:cs="Arial"/>
      <w:b/>
      <w:bCs/>
      <w:color w:val="000000"/>
      <w:sz w:val="18"/>
      <w:szCs w:val="18"/>
      <w:u w:val="none"/>
    </w:rPr>
  </w:style>
  <w:style w:type="character" w:customStyle="1" w:styleId="18">
    <w:name w:val="font11"/>
    <w:basedOn w:val="14"/>
    <w:qFormat/>
    <w:uiPriority w:val="0"/>
    <w:rPr>
      <w:rFonts w:hint="eastAsia" w:ascii="黑体" w:hAnsi="宋体" w:eastAsia="黑体" w:cs="黑体"/>
      <w:color w:val="000000"/>
      <w:sz w:val="22"/>
      <w:szCs w:val="22"/>
      <w:u w:val="none"/>
    </w:rPr>
  </w:style>
  <w:style w:type="character" w:customStyle="1" w:styleId="19">
    <w:name w:val="font21"/>
    <w:basedOn w:val="14"/>
    <w:qFormat/>
    <w:uiPriority w:val="0"/>
    <w:rPr>
      <w:rFonts w:hint="eastAsia" w:ascii="宋体" w:hAnsi="宋体" w:eastAsia="宋体" w:cs="宋体"/>
      <w:color w:val="000000"/>
      <w:sz w:val="22"/>
      <w:szCs w:val="22"/>
      <w:u w:val="none"/>
    </w:rPr>
  </w:style>
  <w:style w:type="character" w:customStyle="1" w:styleId="20">
    <w:name w:val="font3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20</Pages>
  <Words>12957</Words>
  <Characters>13520</Characters>
  <TotalTime>1</TotalTime>
  <ScaleCrop>false</ScaleCrop>
  <LinksUpToDate>false</LinksUpToDate>
  <CharactersWithSpaces>13616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2024-09-24T08:42:00Z</dcterms:created>
  <dc:creator>Administrator</dc:creator>
  <cp:lastModifiedBy>Forgotten</cp:lastModifiedBy>
  <cp:lastPrinted>2025-08-03T15:55:00Z</cp:lastPrinted>
  <dcterms:modified xsi:type="dcterms:W3CDTF">2025-08-19T14:37:43Z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2024-09-23T00:00:00Z</vt:filetime>
  </property>
  <property fmtid="{D5CDD505-2E9C-101B-9397-08002B2CF9AE}" pid="3" name="LastSaved">
    <vt:filetime>2024-09-23T00:00:00Z</vt:filetime>
  </property>
  <property fmtid="{D5CDD505-2E9C-101B-9397-08002B2CF9AE}" pid="4" name="KSOProductBuildVer">
    <vt:lpwstr>2052-12.1.0.21915</vt:lpwstr>
  </property>
  <property fmtid="{D5CDD505-2E9C-101B-9397-08002B2CF9AE}" pid="5" name="ICV">
    <vt:lpwstr>EE34C67809AF45FA94AD1AE24108AAB8_13</vt:lpwstr>
  </property>
  <property fmtid="{D5CDD505-2E9C-101B-9397-08002B2CF9AE}" pid="6" name="KSOTemplateDocerSaveRecord">
    <vt:lpwstr>eyJoZGlkIjoiZjQzYjdhODQ4OWI2M2FhM2RiZTVmMzQ1NDc2YWJjYTkiLCJ1c2VySWQiOiIzNDkwNzYyNjcifQ==</vt:lpwstr>
  </property>
</Properties>
</file>