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临高县2025年度海水增殖放流项目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HNMJ-2025024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临高县农业农村局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海南鸣君项目管理有限公司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临高县农业农村局</w:t>
      </w:r>
      <w:r>
        <w:rPr>
          <w:rFonts w:ascii="仿宋_GB2312" w:hAnsi="仿宋_GB2312" w:cs="仿宋_GB2312" w:eastAsia="仿宋_GB2312"/>
        </w:rPr>
        <w:t xml:space="preserve"> 的委托， </w:t>
      </w:r>
      <w:r>
        <w:rPr>
          <w:rFonts w:ascii="仿宋_GB2312" w:hAnsi="仿宋_GB2312" w:cs="仿宋_GB2312" w:eastAsia="仿宋_GB2312"/>
        </w:rPr>
        <w:t>海南鸣君项目管理有限公司</w:t>
      </w:r>
      <w:r>
        <w:rPr>
          <w:rFonts w:ascii="仿宋_GB2312" w:hAnsi="仿宋_GB2312" w:cs="仿宋_GB2312" w:eastAsia="仿宋_GB2312"/>
        </w:rPr>
        <w:t xml:space="preserve"> 对 </w:t>
      </w:r>
      <w:r>
        <w:rPr>
          <w:rFonts w:ascii="仿宋_GB2312" w:hAnsi="仿宋_GB2312" w:cs="仿宋_GB2312" w:eastAsia="仿宋_GB2312"/>
        </w:rPr>
        <w:t>临高县2025年度海水增殖放流项目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HNMJ-2025024</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临高县2025年度海水增殖放流项目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2,658,500.00元</w:t>
      </w:r>
      <w:r>
        <w:rPr>
          <w:rFonts w:ascii="仿宋_GB2312" w:hAnsi="仿宋_GB2312" w:cs="仿宋_GB2312" w:eastAsia="仿宋_GB2312"/>
        </w:rPr>
        <w:t>贰佰陆拾伍万捌仟伍佰元整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2025年12月31日前，自合同生效之日起计算</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1、本项目的特定资格要求：供应商须具有《水产苗种生产许可证》，提供证件复印件，盖供应商公章。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本项目采用不见面开标形式，投标单位远程参加开标会。远程参与开标流程的投标人需提前在海南省政府采购智慧云平 台-服务专区中下载电子交易系统操作手册，并按照操作手册的要求参与开标会。如因投标人自身原因造成无法正常参与开标 过程的，不利后果由投标人自行承担。</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临高县农业农村局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海南省临高县临海路114号临高县农业农村局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571800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符进敏</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13414941224</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海南鸣君项目管理有限公司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海南省海口市美兰区滨江路88号枫丹白露B区9#302</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陈钟启</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18289966786</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采购包1：2,658,500.00元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60天（日历日），自响应文件递交截止之日起计算</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代理服务费收费标准：参照（计价格（2002）1980号）并结合市场调节计算，计算基数为成交金额。</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（一）本项目投标人投标报价若存在异常低价，按《财政部办公厅关于在相关自由贸易试验区和自由贸易港开展推动解决政府采购异常低价问题试点工作的通知》执行。 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2.投标（响应）报价低于通过符合性审查且报价次低供应商投标（响应）报价50%的，即投标（响应）报价&lt;通过符合性审查且报价次低供应商投标（响应）报价×50%； 3.投标（响应）报价低于采购项目最高限价45%的，即投标（响应）报价&lt;采购项目最高限价×45%； 4.其他评审委员会认为供应商报价过低，有可能影响产品质量或者不能诚信履约的情形。 （二）银行、保险、石油石化、电力、电信行业等有行业特殊情况的，分支机构可参与本项目的政府采购活动，其他行业的分支机构不能参与本项目政府采购。招标文件中涉及要求提供“法定代表人”相关证明材料的，提供分支机构“负责人”的相关证明材料。由法定代表人签署的，可由分支机构负责人或者执行事务合伙人签署。</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联系人：符进敏</w:t>
      </w:r>
    </w:p>
    <w:p>
      <w:pPr>
        <w:pStyle w:val="null3"/>
        <w:jc w:val="left"/>
      </w:pPr>
      <w:r>
        <w:rPr>
          <w:rFonts w:ascii="仿宋_GB2312" w:hAnsi="仿宋_GB2312" w:cs="仿宋_GB2312" w:eastAsia="仿宋_GB2312"/>
        </w:rPr>
        <w:t>联系电话：13414941224</w:t>
      </w:r>
    </w:p>
    <w:p>
      <w:pPr>
        <w:pStyle w:val="null3"/>
        <w:jc w:val="left"/>
      </w:pPr>
      <w:r>
        <w:rPr>
          <w:rFonts w:ascii="仿宋_GB2312" w:hAnsi="仿宋_GB2312" w:cs="仿宋_GB2312" w:eastAsia="仿宋_GB2312"/>
        </w:rPr>
        <w:t>地址：海南省临高县临海路114号临高县农业农村局</w:t>
      </w:r>
    </w:p>
    <w:p>
      <w:pPr>
        <w:pStyle w:val="null3"/>
        <w:jc w:val="left"/>
      </w:pPr>
      <w:r>
        <w:rPr>
          <w:rFonts w:ascii="仿宋_GB2312" w:hAnsi="仿宋_GB2312" w:cs="仿宋_GB2312" w:eastAsia="仿宋_GB2312"/>
        </w:rPr>
        <w:t>邮编：571800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2,658,500.00</w:t>
      </w:r>
    </w:p>
    <w:p>
      <w:pPr>
        <w:pStyle w:val="null3"/>
        <w:jc w:val="left"/>
      </w:pPr>
      <w:r>
        <w:rPr>
          <w:rFonts w:ascii="仿宋_GB2312" w:hAnsi="仿宋_GB2312" w:cs="仿宋_GB2312" w:eastAsia="仿宋_GB2312"/>
        </w:rPr>
        <w:t>采购包最高限价（元）: 2,658,500.00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C09040100-鱼苗、鱼种培育和养殖服务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2,658,500.00</w:t>
            </w:r>
          </w:p>
        </w:tc>
        <w:tc>
          <w:tcPr>
            <w:tcW w:type="dxa" w:w="831"/>
          </w:tcPr>
          <w:p>
            <w:pPr>
              <w:pStyle w:val="null3"/>
              <w:jc w:val="left"/>
            </w:pPr>
            <w:r>
              <w:rPr>
                <w:rFonts w:ascii="仿宋_GB2312" w:hAnsi="仿宋_GB2312" w:cs="仿宋_GB2312" w:eastAsia="仿宋_GB2312"/>
              </w:rPr>
              <w:t>万尾（粒）</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C09040100-鱼苗、鱼种培育和养殖服务</w:t>
            </w:r>
          </w:p>
        </w:tc>
        <w:tc>
          <w:tcPr>
            <w:tcW w:type="dxa" w:w="554"/>
          </w:tcPr>
          <w:p>
            <w:pPr>
              <w:pStyle w:val="null3"/>
              <w:jc w:val="left"/>
            </w:pPr>
            <w:r>
              <w:rPr>
                <w:rFonts w:ascii="仿宋_GB2312" w:hAnsi="仿宋_GB2312" w:cs="仿宋_GB2312" w:eastAsia="仿宋_GB2312"/>
              </w:rPr>
              <w:t>万尾（粒）</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2,658,500.00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数量可以根据供应商的报价后实际总数量填写，但须≥366万尾（粒）</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标的名称：C09040100-鱼苗、鱼种培育和养殖服务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8"/>
                <w:b/>
              </w:rPr>
              <w:t>1.1</w:t>
            </w:r>
            <w:r>
              <w:rPr>
                <w:rFonts w:ascii="仿宋_GB2312" w:hAnsi="仿宋_GB2312" w:cs="仿宋_GB2312" w:eastAsia="仿宋_GB2312"/>
                <w:sz w:val="28"/>
                <w:b/>
              </w:rPr>
              <w:t>项目背景</w:t>
            </w:r>
          </w:p>
          <w:p>
            <w:pPr>
              <w:pStyle w:val="null3"/>
              <w:ind w:firstLine="560"/>
              <w:jc w:val="both"/>
            </w:pPr>
            <w:r>
              <w:rPr>
                <w:rFonts w:ascii="仿宋_GB2312" w:hAnsi="仿宋_GB2312" w:cs="仿宋_GB2312" w:eastAsia="仿宋_GB2312"/>
                <w:sz w:val="28"/>
              </w:rPr>
              <w:t>为进一步保护和修复临高县海洋渔业生态环境，养护海洋渔业资源，增加海洋生物资源的丰富度及多样性，促进渔业可持续健康发展，提升广大民众对物种保护和生态平衡的认识；同时，也使渔业资源增殖放流活动成为一项科学规范、社会广泛参与和关注的活动，助力海南省海洋生态文明建设，根据《中国人民共和国渔业法》、《水生生物增殖放流管理规定》、《水生生物增殖放流技术规程》（</w:t>
            </w:r>
            <w:r>
              <w:rPr>
                <w:rFonts w:ascii="仿宋_GB2312" w:hAnsi="仿宋_GB2312" w:cs="仿宋_GB2312" w:eastAsia="仿宋_GB2312"/>
                <w:sz w:val="28"/>
              </w:rPr>
              <w:t>SC/T 9401-2010）、《农业农村部关于做好“十四五”水生生物增殖放流工作的指导意见》（农渔发〔2022〕1号）、《农业农村部关于加强水生生物资源养护的指导意见》（农渔发〔2022〕23号）等有关要求，结合临高县近海渔业资源实际进行本次增殖放流。</w:t>
            </w:r>
          </w:p>
          <w:p>
            <w:pPr>
              <w:pStyle w:val="null3"/>
              <w:ind w:firstLine="562"/>
              <w:jc w:val="both"/>
            </w:pPr>
            <w:r>
              <w:rPr>
                <w:rFonts w:ascii="仿宋_GB2312" w:hAnsi="仿宋_GB2312" w:cs="仿宋_GB2312" w:eastAsia="仿宋_GB2312"/>
                <w:sz w:val="28"/>
                <w:b/>
              </w:rPr>
              <w:t>1.2指导思想</w:t>
            </w:r>
          </w:p>
          <w:p>
            <w:pPr>
              <w:pStyle w:val="null3"/>
              <w:ind w:firstLine="560"/>
              <w:jc w:val="both"/>
            </w:pPr>
            <w:r>
              <w:rPr>
                <w:rFonts w:ascii="仿宋_GB2312" w:hAnsi="仿宋_GB2312" w:cs="仿宋_GB2312" w:eastAsia="仿宋_GB2312"/>
                <w:sz w:val="28"/>
              </w:rPr>
              <w:t>以习近平新时代中国特色社会主义思想为指导，认真落实中央、省农业农村工作会议精神，加强水生生物保护和渔业资源养护管理，发挥渔业在净化水质、生态修复、多样性保护、渔民增收的功能，促进海洋生物资源有效恢复和可持续利用，助力临高县渔业转型升级和高质量发展</w:t>
            </w:r>
          </w:p>
          <w:p>
            <w:pPr>
              <w:pStyle w:val="null3"/>
              <w:ind w:firstLine="562"/>
              <w:jc w:val="both"/>
            </w:pPr>
            <w:r>
              <w:rPr>
                <w:rFonts w:ascii="仿宋_GB2312" w:hAnsi="仿宋_GB2312" w:cs="仿宋_GB2312" w:eastAsia="仿宋_GB2312"/>
                <w:sz w:val="28"/>
                <w:b/>
              </w:rPr>
              <w:t>1.3主要原则</w:t>
            </w:r>
          </w:p>
          <w:p>
            <w:pPr>
              <w:pStyle w:val="null3"/>
              <w:ind w:firstLine="560"/>
              <w:jc w:val="both"/>
            </w:pPr>
            <w:r>
              <w:rPr>
                <w:rFonts w:ascii="仿宋_GB2312" w:hAnsi="仿宋_GB2312" w:cs="仿宋_GB2312" w:eastAsia="仿宋_GB2312"/>
                <w:sz w:val="28"/>
              </w:rPr>
              <w:t>1.3.1</w:t>
            </w:r>
            <w:r>
              <w:rPr>
                <w:rFonts w:ascii="仿宋_GB2312" w:hAnsi="仿宋_GB2312" w:cs="仿宋_GB2312" w:eastAsia="仿宋_GB2312"/>
                <w:sz w:val="28"/>
              </w:rPr>
              <w:t>坚持生态优先，兼顾效益。坚持将增殖放流的生态功能放在首位，加大地方特有水生物种放流比重，充分发挥增殖放流生态功能，保护水生生物多样性，改善水域生态环境。同时，在适宜区域继续增殖放流经济物种，恢复水生生物资源，促进渔民增收渔业增效。</w:t>
            </w:r>
          </w:p>
          <w:p>
            <w:pPr>
              <w:pStyle w:val="null3"/>
              <w:ind w:firstLine="560"/>
              <w:jc w:val="both"/>
            </w:pPr>
            <w:r>
              <w:rPr>
                <w:rFonts w:ascii="仿宋_GB2312" w:hAnsi="仿宋_GB2312" w:cs="仿宋_GB2312" w:eastAsia="仿宋_GB2312"/>
                <w:sz w:val="28"/>
              </w:rPr>
              <w:t>1.3.2</w:t>
            </w:r>
            <w:r>
              <w:rPr>
                <w:rFonts w:ascii="仿宋_GB2312" w:hAnsi="仿宋_GB2312" w:cs="仿宋_GB2312" w:eastAsia="仿宋_GB2312"/>
                <w:sz w:val="28"/>
              </w:rPr>
              <w:t>坚持统筹规划，因地制宜。综合考虑水生生物资源养护需求、苗种供应能力、财政支持力度等因素，统筹规划增殖放流工作。坚持因地制宜，突出区域特色，科学确定适宜增殖放流的重点水域和物种。</w:t>
            </w:r>
          </w:p>
          <w:p>
            <w:pPr>
              <w:pStyle w:val="null3"/>
              <w:ind w:firstLine="560"/>
              <w:jc w:val="both"/>
            </w:pPr>
            <w:r>
              <w:rPr>
                <w:rFonts w:ascii="仿宋_GB2312" w:hAnsi="仿宋_GB2312" w:cs="仿宋_GB2312" w:eastAsia="仿宋_GB2312"/>
                <w:sz w:val="28"/>
              </w:rPr>
              <w:t>1.3.3</w:t>
            </w:r>
            <w:r>
              <w:rPr>
                <w:rFonts w:ascii="仿宋_GB2312" w:hAnsi="仿宋_GB2312" w:cs="仿宋_GB2312" w:eastAsia="仿宋_GB2312"/>
                <w:sz w:val="28"/>
              </w:rPr>
              <w:t>坚持注重质量，提高成效。坚持增殖放流数量与质量并重、规模与效益兼顾，保障放流物种种质和质量，禁止放流外来物种等不符合生态要求的物种，科学确定放流物种规格，切实提高放流水生生物成活率和放流效果。</w:t>
            </w:r>
          </w:p>
          <w:p>
            <w:pPr>
              <w:pStyle w:val="null3"/>
              <w:ind w:firstLine="560"/>
              <w:jc w:val="both"/>
            </w:pPr>
            <w:r>
              <w:rPr>
                <w:rFonts w:ascii="仿宋_GB2312" w:hAnsi="仿宋_GB2312" w:cs="仿宋_GB2312" w:eastAsia="仿宋_GB2312"/>
                <w:sz w:val="28"/>
              </w:rPr>
              <w:t>坚持科学放流，强化支撑。健全增殖放流苗种供应、科技支撑和社会放流服务体系，科学评估增殖放流工作成效，为规范开展增殖放流提供有力支撑</w:t>
            </w:r>
            <w:r>
              <w:rPr>
                <w:rFonts w:ascii="仿宋_GB2312" w:hAnsi="仿宋_GB2312" w:cs="仿宋_GB2312" w:eastAsia="仿宋_GB2312"/>
                <w:sz w:val="28"/>
              </w:rPr>
              <w:t>。</w:t>
            </w:r>
          </w:p>
          <w:p>
            <w:pPr>
              <w:pStyle w:val="null3"/>
              <w:ind w:firstLine="562"/>
              <w:jc w:val="both"/>
            </w:pPr>
            <w:r>
              <w:rPr>
                <w:rFonts w:ascii="仿宋_GB2312" w:hAnsi="仿宋_GB2312" w:cs="仿宋_GB2312" w:eastAsia="仿宋_GB2312"/>
                <w:sz w:val="28"/>
                <w:b/>
              </w:rPr>
              <w:t>1.4放流时间、地点和方式</w:t>
            </w:r>
          </w:p>
          <w:p>
            <w:pPr>
              <w:pStyle w:val="null3"/>
              <w:ind w:firstLine="560"/>
              <w:jc w:val="both"/>
            </w:pPr>
            <w:r>
              <w:rPr>
                <w:rFonts w:ascii="仿宋_GB2312" w:hAnsi="仿宋_GB2312" w:cs="仿宋_GB2312" w:eastAsia="仿宋_GB2312"/>
                <w:sz w:val="28"/>
              </w:rPr>
              <w:t>1.4.1放流时间</w:t>
            </w:r>
          </w:p>
          <w:p>
            <w:pPr>
              <w:pStyle w:val="null3"/>
              <w:ind w:firstLine="560"/>
              <w:jc w:val="both"/>
            </w:pPr>
            <w:r>
              <w:rPr>
                <w:rFonts w:ascii="仿宋_GB2312" w:hAnsi="仿宋_GB2312" w:cs="仿宋_GB2312" w:eastAsia="仿宋_GB2312"/>
                <w:sz w:val="28"/>
              </w:rPr>
              <w:t>本次增殖放流活动安排</w:t>
            </w:r>
            <w:r>
              <w:rPr>
                <w:rFonts w:ascii="仿宋_GB2312" w:hAnsi="仿宋_GB2312" w:cs="仿宋_GB2312" w:eastAsia="仿宋_GB2312"/>
                <w:sz w:val="28"/>
              </w:rPr>
              <w:t>4-6月份开展，并于8月底前完成放流工作，具体时间安排由临高县农业农村局随项目进度，根据海况进行确定。</w:t>
            </w:r>
          </w:p>
          <w:p>
            <w:pPr>
              <w:pStyle w:val="null3"/>
              <w:ind w:firstLine="560"/>
              <w:jc w:val="both"/>
            </w:pPr>
            <w:r>
              <w:rPr>
                <w:rFonts w:ascii="仿宋_GB2312" w:hAnsi="仿宋_GB2312" w:cs="仿宋_GB2312" w:eastAsia="仿宋_GB2312"/>
                <w:sz w:val="28"/>
              </w:rPr>
              <w:t>1.4.2放流地点</w:t>
            </w:r>
          </w:p>
          <w:p>
            <w:pPr>
              <w:pStyle w:val="null3"/>
              <w:ind w:firstLine="560"/>
              <w:jc w:val="both"/>
            </w:pPr>
            <w:r>
              <w:rPr>
                <w:rFonts w:ascii="仿宋_GB2312" w:hAnsi="仿宋_GB2312" w:cs="仿宋_GB2312" w:eastAsia="仿宋_GB2312"/>
                <w:sz w:val="28"/>
              </w:rPr>
              <w:t>临高头洋湾国家级海洋牧场示范区海域为鱼虾苗预备投放点（鱼苗放流点与虾苗放流点相隔距离不小于</w:t>
            </w:r>
            <w:r>
              <w:rPr>
                <w:rFonts w:ascii="仿宋_GB2312" w:hAnsi="仿宋_GB2312" w:cs="仿宋_GB2312" w:eastAsia="仿宋_GB2312"/>
                <w:sz w:val="28"/>
              </w:rPr>
              <w:t>2海里），临高彩桥红树林自然保护区为濒危保护物种预备投放点。</w:t>
            </w:r>
          </w:p>
          <w:p>
            <w:pPr>
              <w:pStyle w:val="null3"/>
              <w:ind w:firstLine="560"/>
              <w:jc w:val="both"/>
            </w:pPr>
            <w:r>
              <w:rPr>
                <w:rFonts w:ascii="仿宋_GB2312" w:hAnsi="仿宋_GB2312" w:cs="仿宋_GB2312" w:eastAsia="仿宋_GB2312"/>
                <w:sz w:val="28"/>
              </w:rPr>
              <w:t>1.4.3方式</w:t>
            </w:r>
          </w:p>
          <w:p>
            <w:pPr>
              <w:pStyle w:val="null3"/>
              <w:ind w:firstLine="560"/>
              <w:jc w:val="both"/>
            </w:pPr>
            <w:r>
              <w:rPr>
                <w:rFonts w:ascii="仿宋_GB2312" w:hAnsi="仿宋_GB2312" w:cs="仿宋_GB2312" w:eastAsia="仿宋_GB2312"/>
                <w:sz w:val="28"/>
              </w:rPr>
              <w:t>放流全程接受社会和有关单位监督，本次放流工作拟邀请省农业农村厅渔业基础建设处及临高县有关单位人员全程参与放流工作的监督，同时拟委托公证机构对放流过程进行公证。</w:t>
            </w:r>
          </w:p>
          <w:p>
            <w:pPr>
              <w:pStyle w:val="null3"/>
              <w:ind w:firstLine="560"/>
              <w:jc w:val="both"/>
            </w:pPr>
            <w:r>
              <w:rPr>
                <w:rFonts w:ascii="仿宋_GB2312" w:hAnsi="仿宋_GB2312" w:cs="仿宋_GB2312" w:eastAsia="仿宋_GB2312"/>
                <w:sz w:val="28"/>
              </w:rPr>
              <w:t>1.5各苗种规格、数量、价格（控制价）</w:t>
            </w:r>
          </w:p>
          <w:tbl>
            <w:tblPr>
              <w:tblBorders>
                <w:top w:val="none" w:color="000000" w:sz="4"/>
                <w:left w:val="none" w:color="000000" w:sz="4"/>
                <w:bottom w:val="none" w:color="000000" w:sz="4"/>
                <w:right w:val="none" w:color="000000" w:sz="4"/>
                <w:insideH w:val="none"/>
                <w:insideV w:val="none"/>
              </w:tblBorders>
            </w:tblPr>
            <w:tblGrid>
              <w:gridCol w:w="188"/>
              <w:gridCol w:w="406"/>
              <w:gridCol w:w="569"/>
              <w:gridCol w:w="326"/>
              <w:gridCol w:w="538"/>
              <w:gridCol w:w="527"/>
            </w:tblGrid>
            <w:tr>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w:t>
                  </w:r>
                </w:p>
              </w:tc>
              <w:tc>
                <w:tcPr>
                  <w:tcW w:type="dxa" w:w="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品种</w:t>
                  </w:r>
                </w:p>
              </w:tc>
              <w:tc>
                <w:tcPr>
                  <w:tcW w:type="dxa" w:w="5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规格</w:t>
                  </w:r>
                  <w:r>
                    <w:rPr>
                      <w:rFonts w:ascii="仿宋_GB2312" w:hAnsi="仿宋_GB2312" w:cs="仿宋_GB2312" w:eastAsia="仿宋_GB2312"/>
                      <w:sz w:val="24"/>
                      <w:b/>
                    </w:rPr>
                    <w:t>/全长（cm）</w:t>
                  </w:r>
                </w:p>
              </w:tc>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（万尾）</w:t>
                  </w:r>
                </w:p>
              </w:tc>
              <w:tc>
                <w:tcPr>
                  <w:tcW w:type="dxa" w:w="5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单价（元</w:t>
                  </w:r>
                  <w:r>
                    <w:rPr>
                      <w:rFonts w:ascii="仿宋_GB2312" w:hAnsi="仿宋_GB2312" w:cs="仿宋_GB2312" w:eastAsia="仿宋_GB2312"/>
                      <w:sz w:val="24"/>
                      <w:b/>
                    </w:rPr>
                    <w:t>/尾）</w:t>
                  </w:r>
                </w:p>
              </w:tc>
              <w:tc>
                <w:tcPr>
                  <w:tcW w:type="dxa" w:w="5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小计</w:t>
                  </w:r>
                  <w:r>
                    <w:rPr>
                      <w:rFonts w:ascii="仿宋_GB2312" w:hAnsi="仿宋_GB2312" w:cs="仿宋_GB2312" w:eastAsia="仿宋_GB2312"/>
                      <w:sz w:val="24"/>
                      <w:b/>
                    </w:rPr>
                    <w:t>（万元）</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青石斑鱼苗</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4.45</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62.30</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红鳍笛鲷苗</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0.78</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62.40</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紫红笛鲷苗</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1.20</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66.00</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斑节对虾苗</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0.125</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25.00</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中国鲎</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≥0.6</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2.95</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50.15</w:t>
                  </w:r>
                </w:p>
              </w:tc>
            </w:tr>
            <w:tr>
              <w:tc>
                <w:tcPr>
                  <w:tcW w:type="dxa" w:w="59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366.00</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265.85</w:t>
                  </w:r>
                </w:p>
              </w:tc>
            </w:tr>
          </w:tbl>
          <w:p>
            <w:pPr>
              <w:pStyle w:val="null3"/>
              <w:ind w:firstLine="560"/>
              <w:jc w:val="left"/>
            </w:pPr>
            <w:r>
              <w:rPr>
                <w:rFonts w:ascii="仿宋_GB2312" w:hAnsi="仿宋_GB2312" w:cs="仿宋_GB2312" w:eastAsia="仿宋_GB2312"/>
                <w:sz w:val="28"/>
              </w:rPr>
              <w:t>1.6有关要求</w:t>
            </w:r>
          </w:p>
          <w:p>
            <w:pPr>
              <w:pStyle w:val="null3"/>
              <w:ind w:firstLine="560"/>
              <w:jc w:val="left"/>
            </w:pPr>
            <w:r>
              <w:rPr>
                <w:rFonts w:ascii="仿宋_GB2312" w:hAnsi="仿宋_GB2312" w:cs="仿宋_GB2312" w:eastAsia="仿宋_GB2312"/>
                <w:sz w:val="28"/>
              </w:rPr>
              <w:t>1.6.1放流苗种育苗期检查及抽样检测</w:t>
            </w:r>
          </w:p>
          <w:p>
            <w:pPr>
              <w:pStyle w:val="null3"/>
              <w:ind w:firstLine="560"/>
              <w:jc w:val="left"/>
            </w:pPr>
            <w:r>
              <w:rPr>
                <w:rFonts w:ascii="仿宋_GB2312" w:hAnsi="仿宋_GB2312" w:cs="仿宋_GB2312" w:eastAsia="仿宋_GB2312"/>
                <w:sz w:val="28"/>
              </w:rPr>
              <w:t>1.6.1.1苗种生长及健康情况检测</w:t>
            </w:r>
          </w:p>
          <w:p>
            <w:pPr>
              <w:pStyle w:val="null3"/>
              <w:ind w:firstLine="560"/>
              <w:jc w:val="left"/>
            </w:pPr>
            <w:r>
              <w:rPr>
                <w:rFonts w:ascii="仿宋_GB2312" w:hAnsi="仿宋_GB2312" w:cs="仿宋_GB2312" w:eastAsia="仿宋_GB2312"/>
                <w:sz w:val="28"/>
              </w:rPr>
              <w:t>每次抽样检测时，在育苗场随机取苗种，分别单独测量体长和体重，确定苗种规格和均匀度情况。观察放流苗种游泳行为和摄食情况，并进行拍摄，从表观学上确定苗种健康情况。</w:t>
            </w:r>
          </w:p>
          <w:p>
            <w:pPr>
              <w:pStyle w:val="null3"/>
              <w:ind w:firstLine="560"/>
              <w:jc w:val="left"/>
            </w:pPr>
            <w:r>
              <w:rPr>
                <w:rFonts w:ascii="仿宋_GB2312" w:hAnsi="仿宋_GB2312" w:cs="仿宋_GB2312" w:eastAsia="仿宋_GB2312"/>
                <w:sz w:val="28"/>
              </w:rPr>
              <w:t>随机取活苗种分别进行镜检，观察苗种是否感染寄生虫，同时观察苗种体表是否具有烂皮、烂尾和烂鳃等细菌感染表象，从组织学上确定苗种健康情况。</w:t>
            </w:r>
          </w:p>
          <w:p>
            <w:pPr>
              <w:pStyle w:val="null3"/>
              <w:ind w:firstLine="560"/>
              <w:jc w:val="left"/>
            </w:pPr>
            <w:r>
              <w:rPr>
                <w:rFonts w:ascii="仿宋_GB2312" w:hAnsi="仿宋_GB2312" w:cs="仿宋_GB2312" w:eastAsia="仿宋_GB2312"/>
                <w:sz w:val="28"/>
              </w:rPr>
              <w:t>1.6.1.2苗种质量情况检测</w:t>
            </w:r>
          </w:p>
          <w:p>
            <w:pPr>
              <w:pStyle w:val="null3"/>
              <w:ind w:firstLine="560"/>
              <w:jc w:val="left"/>
            </w:pPr>
            <w:r>
              <w:rPr>
                <w:rFonts w:ascii="仿宋_GB2312" w:hAnsi="仿宋_GB2312" w:cs="仿宋_GB2312" w:eastAsia="仿宋_GB2312"/>
                <w:sz w:val="28"/>
              </w:rPr>
              <w:t>抽样检测时，在育苗场对每种放流苗种随机取样本进行农药残留等化学检测，确保苗种质量符合环保要求。</w:t>
            </w:r>
          </w:p>
          <w:p>
            <w:pPr>
              <w:pStyle w:val="null3"/>
              <w:ind w:firstLine="560"/>
              <w:jc w:val="left"/>
            </w:pPr>
            <w:r>
              <w:rPr>
                <w:rFonts w:ascii="仿宋_GB2312" w:hAnsi="仿宋_GB2312" w:cs="仿宋_GB2312" w:eastAsia="仿宋_GB2312"/>
                <w:sz w:val="28"/>
              </w:rPr>
              <w:t>1.6.2放流苗种的运输</w:t>
            </w:r>
          </w:p>
          <w:p>
            <w:pPr>
              <w:pStyle w:val="null3"/>
              <w:ind w:firstLine="560"/>
              <w:jc w:val="left"/>
            </w:pPr>
            <w:r>
              <w:rPr>
                <w:rFonts w:ascii="仿宋_GB2312" w:hAnsi="仿宋_GB2312" w:cs="仿宋_GB2312" w:eastAsia="仿宋_GB2312"/>
                <w:sz w:val="28"/>
              </w:rPr>
              <w:t>苗种生产供应单位须采用水罐车不间断充氧等措施和方式保障运输苗种成活。</w:t>
            </w:r>
          </w:p>
          <w:p>
            <w:pPr>
              <w:pStyle w:val="null3"/>
              <w:ind w:firstLine="560"/>
              <w:jc w:val="left"/>
            </w:pPr>
            <w:r>
              <w:rPr>
                <w:rFonts w:ascii="仿宋_GB2312" w:hAnsi="仿宋_GB2312" w:cs="仿宋_GB2312" w:eastAsia="仿宋_GB2312"/>
                <w:sz w:val="28"/>
              </w:rPr>
              <w:t>1.6.3放流苗种的品种鉴定、规格测量、计数及放流</w:t>
            </w:r>
          </w:p>
          <w:p>
            <w:pPr>
              <w:pStyle w:val="null3"/>
              <w:ind w:firstLine="560"/>
              <w:jc w:val="left"/>
            </w:pPr>
            <w:r>
              <w:rPr>
                <w:rFonts w:ascii="仿宋_GB2312" w:hAnsi="仿宋_GB2312" w:cs="仿宋_GB2312" w:eastAsia="仿宋_GB2312"/>
                <w:sz w:val="28"/>
              </w:rPr>
              <w:t>1.6.3.1品种鉴定</w:t>
            </w:r>
          </w:p>
          <w:p>
            <w:pPr>
              <w:pStyle w:val="null3"/>
              <w:ind w:firstLine="560"/>
              <w:jc w:val="left"/>
            </w:pPr>
            <w:r>
              <w:rPr>
                <w:rFonts w:ascii="仿宋_GB2312" w:hAnsi="仿宋_GB2312" w:cs="仿宋_GB2312" w:eastAsia="仿宋_GB2312"/>
                <w:sz w:val="28"/>
              </w:rPr>
              <w:t>放流前，在公证机构、苗种采购单位、苗种生产供应单位的见证下，技术支撑单位要采用观察苗种形态的方法确定放流苗种品种。</w:t>
            </w:r>
          </w:p>
          <w:p>
            <w:pPr>
              <w:pStyle w:val="null3"/>
              <w:ind w:firstLine="560"/>
              <w:jc w:val="left"/>
            </w:pPr>
            <w:r>
              <w:rPr>
                <w:rFonts w:ascii="仿宋_GB2312" w:hAnsi="仿宋_GB2312" w:cs="仿宋_GB2312" w:eastAsia="仿宋_GB2312"/>
                <w:sz w:val="28"/>
              </w:rPr>
              <w:t>青石斑鱼苗：体呈长椭圆形，头大，眼小，口大，腹鳍腹位，胸鳍圆形，尾鳍圆形，头部、体侧上半部呈灰褐色，腹部呈金黄色或淡色，体侧具</w:t>
            </w:r>
            <w:r>
              <w:rPr>
                <w:rFonts w:ascii="仿宋_GB2312" w:hAnsi="仿宋_GB2312" w:cs="仿宋_GB2312" w:eastAsia="仿宋_GB2312"/>
                <w:sz w:val="28"/>
              </w:rPr>
              <w:t>4条暗色横斑，尾柄处亦具1条横斑。</w:t>
            </w:r>
          </w:p>
          <w:p>
            <w:pPr>
              <w:pStyle w:val="null3"/>
              <w:ind w:firstLine="560"/>
              <w:jc w:val="left"/>
            </w:pPr>
            <w:r>
              <w:rPr>
                <w:rFonts w:ascii="仿宋_GB2312" w:hAnsi="仿宋_GB2312" w:cs="仿宋_GB2312" w:eastAsia="仿宋_GB2312"/>
                <w:sz w:val="28"/>
              </w:rPr>
              <w:t>红笛鲷苗：体长椭圆形而略高，背缘呈弧状弯曲。两眼间隔平坦。体粉红色或红色，腹部较淡，体侧无任何纵带；头背部由背鳍起点至吻端有一暗色斜带，尾柄上有鞍状斑。各鳍红色。</w:t>
            </w:r>
          </w:p>
          <w:p>
            <w:pPr>
              <w:pStyle w:val="null3"/>
              <w:ind w:firstLine="560"/>
              <w:jc w:val="left"/>
            </w:pPr>
            <w:r>
              <w:rPr>
                <w:rFonts w:ascii="仿宋_GB2312" w:hAnsi="仿宋_GB2312" w:cs="仿宋_GB2312" w:eastAsia="仿宋_GB2312"/>
                <w:sz w:val="28"/>
              </w:rPr>
              <w:t>紫红笛鲷苗：身体延长而侧扁，侧面观呈长椭圆形，背缘弧度大于腹缘弧度。体红褐色，腹部颜色稍浅；幼鱼体侧有</w:t>
            </w:r>
            <w:r>
              <w:rPr>
                <w:rFonts w:ascii="仿宋_GB2312" w:hAnsi="仿宋_GB2312" w:cs="仿宋_GB2312" w:eastAsia="仿宋_GB2312"/>
                <w:sz w:val="28"/>
              </w:rPr>
              <w:t>7-8条银色横带，成鱼横带消失。</w:t>
            </w:r>
          </w:p>
          <w:p>
            <w:pPr>
              <w:pStyle w:val="null3"/>
              <w:ind w:firstLine="560"/>
              <w:jc w:val="left"/>
            </w:pPr>
            <w:r>
              <w:rPr>
                <w:rFonts w:ascii="仿宋_GB2312" w:hAnsi="仿宋_GB2312" w:cs="仿宋_GB2312" w:eastAsia="仿宋_GB2312"/>
                <w:sz w:val="28"/>
              </w:rPr>
              <w:t>斑节对虾苗：斑节对虾苗体表光滑，壳稍厚，体色由棕绿色、深棕色和浅黄色组成的环状色带相间排列，额角上缘</w:t>
            </w:r>
            <w:r>
              <w:rPr>
                <w:rFonts w:ascii="仿宋_GB2312" w:hAnsi="仿宋_GB2312" w:cs="仿宋_GB2312" w:eastAsia="仿宋_GB2312"/>
                <w:sz w:val="28"/>
              </w:rPr>
              <w:t>7～8齿，下缘2～3齿；额角的尖端超过第一触角柄的末端，额角侧沟相当深，伸至头胸甲的后缘；额角侧脊较低且钝，后脊中央沟明显，有明显的肝脊和额胃脊；附肢呈黄色，尾肢后部色泽鲜艳，呈鲜蓝色和黄色，边缘呈红色；游泳足呈浅蓝色，步足和腹肢呈桃红色。</w:t>
            </w:r>
          </w:p>
          <w:p>
            <w:pPr>
              <w:pStyle w:val="null3"/>
              <w:ind w:firstLine="560"/>
              <w:jc w:val="left"/>
            </w:pPr>
            <w:r>
              <w:rPr>
                <w:rFonts w:ascii="仿宋_GB2312" w:hAnsi="仿宋_GB2312" w:cs="仿宋_GB2312" w:eastAsia="仿宋_GB2312"/>
                <w:sz w:val="28"/>
              </w:rPr>
              <w:t>中国鲎：躯体分为头胸部、腹部和尾剑三部分；体色黑褐色；头胸部具发达的马蹄形背甲，背面拱突，周缘圆弧形；背面有三条纵脊，中脊的前端两侧有一对单眼；侧脊外侧各有一个复眼，腹面凹下，有</w:t>
            </w:r>
            <w:r>
              <w:rPr>
                <w:rFonts w:ascii="仿宋_GB2312" w:hAnsi="仿宋_GB2312" w:cs="仿宋_GB2312" w:eastAsia="仿宋_GB2312"/>
                <w:sz w:val="28"/>
              </w:rPr>
              <w:t>6对附肢围在口外；腹部呈六角形，尾剑细长，断面呈三角形。</w:t>
            </w:r>
          </w:p>
          <w:p>
            <w:pPr>
              <w:pStyle w:val="null3"/>
              <w:ind w:firstLine="560"/>
              <w:jc w:val="left"/>
            </w:pPr>
            <w:r>
              <w:rPr>
                <w:rFonts w:ascii="仿宋_GB2312" w:hAnsi="仿宋_GB2312" w:cs="仿宋_GB2312" w:eastAsia="仿宋_GB2312"/>
                <w:sz w:val="28"/>
              </w:rPr>
              <w:t>1.6.3.2</w:t>
            </w:r>
            <w:r>
              <w:rPr>
                <w:rFonts w:ascii="仿宋_GB2312" w:hAnsi="仿宋_GB2312" w:cs="仿宋_GB2312" w:eastAsia="仿宋_GB2312"/>
                <w:sz w:val="28"/>
              </w:rPr>
              <w:t>规格测量</w:t>
            </w:r>
          </w:p>
          <w:p>
            <w:pPr>
              <w:pStyle w:val="null3"/>
              <w:ind w:firstLine="560"/>
              <w:jc w:val="left"/>
            </w:pPr>
            <w:r>
              <w:rPr>
                <w:rFonts w:ascii="仿宋_GB2312" w:hAnsi="仿宋_GB2312" w:cs="仿宋_GB2312" w:eastAsia="仿宋_GB2312"/>
                <w:sz w:val="28"/>
              </w:rPr>
              <w:t>放流前，在公证机构、苗种采购单位、苗种生产供应单位的见证下，技术支撑单位要随机选取</w:t>
            </w:r>
            <w:r>
              <w:rPr>
                <w:rFonts w:ascii="仿宋_GB2312" w:hAnsi="仿宋_GB2312" w:cs="仿宋_GB2312" w:eastAsia="仿宋_GB2312"/>
                <w:sz w:val="28"/>
              </w:rPr>
              <w:t>50尾放流苗种，分别进行单独量体长和称体重，然后采用平均法确定放流苗种规格，放流苗种体长达到放流要求。</w:t>
            </w:r>
          </w:p>
          <w:p>
            <w:pPr>
              <w:pStyle w:val="null3"/>
              <w:ind w:firstLine="560"/>
              <w:jc w:val="left"/>
            </w:pPr>
            <w:r>
              <w:rPr>
                <w:rFonts w:ascii="仿宋_GB2312" w:hAnsi="仿宋_GB2312" w:cs="仿宋_GB2312" w:eastAsia="仿宋_GB2312"/>
                <w:sz w:val="28"/>
              </w:rPr>
              <w:t>1.6.3.</w:t>
            </w:r>
            <w:r>
              <w:rPr>
                <w:rFonts w:ascii="仿宋_GB2312" w:hAnsi="仿宋_GB2312" w:cs="仿宋_GB2312" w:eastAsia="仿宋_GB2312"/>
                <w:sz w:val="28"/>
              </w:rPr>
              <w:t>3计数</w:t>
            </w:r>
          </w:p>
          <w:p>
            <w:pPr>
              <w:pStyle w:val="null3"/>
              <w:ind w:firstLine="560"/>
              <w:jc w:val="left"/>
            </w:pPr>
            <w:r>
              <w:rPr>
                <w:rFonts w:ascii="仿宋_GB2312" w:hAnsi="仿宋_GB2312" w:cs="仿宋_GB2312" w:eastAsia="仿宋_GB2312"/>
                <w:sz w:val="28"/>
              </w:rPr>
              <w:t>放流时，在放流苗种规格达到要求和均匀基础上，在公证处的见证下，苗种采购单位、苗种生产供应单位和技术支撑单位对于</w:t>
            </w:r>
            <w:r>
              <w:rPr>
                <w:rFonts w:ascii="仿宋_GB2312" w:hAnsi="仿宋_GB2312" w:cs="仿宋_GB2312" w:eastAsia="仿宋_GB2312"/>
                <w:sz w:val="28"/>
              </w:rPr>
              <w:t>苗种</w:t>
            </w:r>
            <w:r>
              <w:rPr>
                <w:rFonts w:ascii="仿宋_GB2312" w:hAnsi="仿宋_GB2312" w:cs="仿宋_GB2312" w:eastAsia="仿宋_GB2312"/>
                <w:sz w:val="28"/>
              </w:rPr>
              <w:t>均随机捞取</w:t>
            </w:r>
            <w:r>
              <w:rPr>
                <w:rFonts w:ascii="仿宋_GB2312" w:hAnsi="仿宋_GB2312" w:cs="仿宋_GB2312" w:eastAsia="仿宋_GB2312"/>
                <w:sz w:val="28"/>
              </w:rPr>
              <w:t>100尾样本，称取重量，获得每尾</w:t>
            </w:r>
            <w:r>
              <w:rPr>
                <w:rFonts w:ascii="仿宋_GB2312" w:hAnsi="仿宋_GB2312" w:cs="仿宋_GB2312" w:eastAsia="仿宋_GB2312"/>
                <w:sz w:val="28"/>
              </w:rPr>
              <w:t>苗种</w:t>
            </w:r>
            <w:r>
              <w:rPr>
                <w:rFonts w:ascii="仿宋_GB2312" w:hAnsi="仿宋_GB2312" w:cs="仿宋_GB2312" w:eastAsia="仿宋_GB2312"/>
                <w:sz w:val="28"/>
              </w:rPr>
              <w:t>重量平均值，然后对</w:t>
            </w:r>
            <w:r>
              <w:rPr>
                <w:rFonts w:ascii="仿宋_GB2312" w:hAnsi="仿宋_GB2312" w:cs="仿宋_GB2312" w:eastAsia="仿宋_GB2312"/>
                <w:sz w:val="28"/>
              </w:rPr>
              <w:t>苗种</w:t>
            </w:r>
            <w:r>
              <w:rPr>
                <w:rFonts w:ascii="仿宋_GB2312" w:hAnsi="仿宋_GB2312" w:cs="仿宋_GB2312" w:eastAsia="仿宋_GB2312"/>
                <w:sz w:val="28"/>
              </w:rPr>
              <w:t>称总重，用苗种的总重量除以每尾苗种重量平均值既得出</w:t>
            </w:r>
            <w:r>
              <w:rPr>
                <w:rFonts w:ascii="仿宋_GB2312" w:hAnsi="仿宋_GB2312" w:cs="仿宋_GB2312" w:eastAsia="仿宋_GB2312"/>
                <w:sz w:val="28"/>
              </w:rPr>
              <w:t>苗种</w:t>
            </w:r>
            <w:r>
              <w:rPr>
                <w:rFonts w:ascii="仿宋_GB2312" w:hAnsi="仿宋_GB2312" w:cs="仿宋_GB2312" w:eastAsia="仿宋_GB2312"/>
                <w:sz w:val="28"/>
              </w:rPr>
              <w:t>总放流数，并与要求放流的数量比较，以确定实际放流苗种数量是否达到要求。</w:t>
            </w:r>
          </w:p>
          <w:p>
            <w:pPr>
              <w:pStyle w:val="null3"/>
              <w:ind w:firstLine="560"/>
              <w:jc w:val="left"/>
            </w:pPr>
            <w:r>
              <w:rPr>
                <w:rFonts w:ascii="仿宋_GB2312" w:hAnsi="仿宋_GB2312" w:cs="仿宋_GB2312" w:eastAsia="仿宋_GB2312"/>
                <w:sz w:val="28"/>
              </w:rPr>
              <w:t>虾苗和中国鲎苗由于体重小、称量可能会导致应激大，进而影响成活率，因此，虾苗和中国鲎苗计数采样随机抽样法，即随机各抽取</w:t>
            </w:r>
            <w:r>
              <w:rPr>
                <w:rFonts w:ascii="仿宋_GB2312" w:hAnsi="仿宋_GB2312" w:cs="仿宋_GB2312" w:eastAsia="仿宋_GB2312"/>
                <w:sz w:val="28"/>
              </w:rPr>
              <w:t>3包虾苗和中国鲎苗分别点数，计算每包平均含有的虾苗和中国鲎苗数量，最后用虾苗和中国鲎苗总包数量乘以每包平均含有的虾苗和中国鲎苗数量，既得出虾苗和中国鲎苗总放流数，并与要求放流的数量比较，以确定实际放流苗种数量是否达到要求。</w:t>
            </w:r>
          </w:p>
          <w:p>
            <w:pPr>
              <w:pStyle w:val="null3"/>
              <w:ind w:firstLine="560"/>
              <w:jc w:val="left"/>
            </w:pPr>
            <w:r>
              <w:rPr>
                <w:rFonts w:ascii="仿宋_GB2312" w:hAnsi="仿宋_GB2312" w:cs="仿宋_GB2312" w:eastAsia="仿宋_GB2312"/>
                <w:sz w:val="28"/>
              </w:rPr>
              <w:t>1.6.3</w:t>
            </w: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放流</w:t>
            </w:r>
          </w:p>
          <w:p>
            <w:pPr>
              <w:pStyle w:val="null3"/>
              <w:ind w:firstLine="560"/>
              <w:jc w:val="left"/>
            </w:pPr>
            <w:r>
              <w:rPr>
                <w:rFonts w:ascii="仿宋_GB2312" w:hAnsi="仿宋_GB2312" w:cs="仿宋_GB2312" w:eastAsia="仿宋_GB2312"/>
                <w:sz w:val="28"/>
              </w:rPr>
              <w:t>放流前，技术支撑单位要测定苗种场和放流水域主要水质指标包括温度和</w:t>
            </w:r>
            <w:r>
              <w:rPr>
                <w:rFonts w:ascii="仿宋_GB2312" w:hAnsi="仿宋_GB2312" w:cs="仿宋_GB2312" w:eastAsia="仿宋_GB2312"/>
                <w:sz w:val="28"/>
              </w:rPr>
              <w:t>pH值，苗种生产供应单位要根据技术支撑单位提供的水质指标，将苗种场水质调整至放流水域水质标准，确保放流苗种能适应放流水域水质。放流时，在公证机构、苗种采购单位和技术支撑单位的共同见证下，苗种生产供应单位要采用“水+苗”方法，分步骤将苗种放流至所选定水域，放流时轻拿轻放，确保放流苗种不受伤</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1.7苗种验收要求</w:t>
            </w:r>
          </w:p>
          <w:p>
            <w:pPr>
              <w:pStyle w:val="null3"/>
              <w:ind w:firstLine="560"/>
              <w:jc w:val="left"/>
            </w:pPr>
            <w:r>
              <w:rPr>
                <w:rFonts w:ascii="仿宋_GB2312" w:hAnsi="仿宋_GB2312" w:cs="仿宋_GB2312" w:eastAsia="仿宋_GB2312"/>
                <w:sz w:val="28"/>
              </w:rPr>
              <w:t>放流苗种应符合以下要求：</w:t>
            </w:r>
          </w:p>
          <w:p>
            <w:pPr>
              <w:pStyle w:val="null3"/>
              <w:ind w:firstLine="560"/>
              <w:jc w:val="left"/>
            </w:pPr>
            <w:r>
              <w:rPr>
                <w:rFonts w:ascii="仿宋_GB2312" w:hAnsi="仿宋_GB2312" w:cs="仿宋_GB2312" w:eastAsia="仿宋_GB2312"/>
                <w:sz w:val="28"/>
              </w:rPr>
              <w:t>1.7.1</w:t>
            </w:r>
            <w:r>
              <w:rPr>
                <w:rFonts w:ascii="仿宋_GB2312" w:hAnsi="仿宋_GB2312" w:cs="仿宋_GB2312" w:eastAsia="仿宋_GB2312"/>
                <w:sz w:val="28"/>
              </w:rPr>
              <w:t>感官质量：规格整齐，活力强，外观完整，体表整洁</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1.7.2</w:t>
            </w:r>
            <w:r>
              <w:rPr>
                <w:rFonts w:ascii="仿宋_GB2312" w:hAnsi="仿宋_GB2312" w:cs="仿宋_GB2312" w:eastAsia="仿宋_GB2312"/>
                <w:sz w:val="28"/>
              </w:rPr>
              <w:t>可数指标：规格合格率</w:t>
            </w:r>
            <w:r>
              <w:rPr>
                <w:rFonts w:ascii="仿宋_GB2312" w:hAnsi="仿宋_GB2312" w:cs="仿宋_GB2312" w:eastAsia="仿宋_GB2312"/>
                <w:sz w:val="28"/>
              </w:rPr>
              <w:t>≥90%，成活率≥90%，伤残率和体色异常率之和&lt;5%</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1.7.3</w:t>
            </w:r>
            <w:r>
              <w:rPr>
                <w:rFonts w:ascii="仿宋_GB2312" w:hAnsi="仿宋_GB2312" w:cs="仿宋_GB2312" w:eastAsia="仿宋_GB2312"/>
                <w:sz w:val="28"/>
              </w:rPr>
              <w:t>疫病：农业部公告第</w:t>
            </w:r>
            <w:r>
              <w:rPr>
                <w:rFonts w:ascii="仿宋_GB2312" w:hAnsi="仿宋_GB2312" w:cs="仿宋_GB2312" w:eastAsia="仿宋_GB2312"/>
                <w:sz w:val="28"/>
              </w:rPr>
              <w:t xml:space="preserve"> 1125 号规定的水生动物疫病病种不得检出</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1.7.4</w:t>
            </w:r>
            <w:r>
              <w:rPr>
                <w:rFonts w:ascii="仿宋_GB2312" w:hAnsi="仿宋_GB2312" w:cs="仿宋_GB2312" w:eastAsia="仿宋_GB2312"/>
                <w:sz w:val="28"/>
              </w:rPr>
              <w:t>药物残留：国家、行业颁布的禁用药物不得检出，其他药物残留符合《无公害食品</w:t>
            </w:r>
            <w:r>
              <w:rPr>
                <w:rFonts w:ascii="仿宋_GB2312" w:hAnsi="仿宋_GB2312" w:cs="仿宋_GB2312" w:eastAsia="仿宋_GB2312"/>
                <w:sz w:val="28"/>
              </w:rPr>
              <w:t>-水产品中药物残留限量》（NY5070）</w:t>
            </w:r>
            <w:r>
              <w:rPr>
                <w:rFonts w:ascii="仿宋_GB2312" w:hAnsi="仿宋_GB2312" w:cs="仿宋_GB2312" w:eastAsia="仿宋_GB2312"/>
                <w:sz w:val="28"/>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8"/>
              </w:rPr>
              <w:t>（一）合同履行期限（交货期）：</w:t>
            </w:r>
            <w:r>
              <w:rPr>
                <w:rFonts w:ascii="仿宋_GB2312" w:hAnsi="仿宋_GB2312" w:cs="仿宋_GB2312" w:eastAsia="仿宋_GB2312"/>
                <w:sz w:val="28"/>
              </w:rPr>
              <w:t>2025年12月31日前，自合同生效之日起计算。</w:t>
            </w:r>
          </w:p>
          <w:p>
            <w:pPr>
              <w:pStyle w:val="null3"/>
              <w:ind w:firstLine="560"/>
              <w:jc w:val="both"/>
            </w:pPr>
            <w:r>
              <w:rPr>
                <w:rFonts w:ascii="仿宋_GB2312" w:hAnsi="仿宋_GB2312" w:cs="仿宋_GB2312" w:eastAsia="仿宋_GB2312"/>
                <w:sz w:val="28"/>
              </w:rPr>
              <w:t>（二）交货地点：采购人指定地点。</w:t>
            </w:r>
          </w:p>
          <w:p>
            <w:pPr>
              <w:pStyle w:val="null3"/>
              <w:ind w:firstLine="560"/>
              <w:jc w:val="both"/>
            </w:pPr>
            <w:r>
              <w:rPr>
                <w:rFonts w:ascii="仿宋_GB2312" w:hAnsi="仿宋_GB2312" w:cs="仿宋_GB2312" w:eastAsia="仿宋_GB2312"/>
                <w:sz w:val="28"/>
              </w:rPr>
              <w:t>（三）付款方式：</w:t>
            </w:r>
          </w:p>
          <w:p>
            <w:pPr>
              <w:pStyle w:val="null3"/>
              <w:ind w:firstLine="560"/>
              <w:jc w:val="both"/>
            </w:pPr>
            <w:r>
              <w:rPr>
                <w:rFonts w:ascii="仿宋_GB2312" w:hAnsi="仿宋_GB2312" w:cs="仿宋_GB2312" w:eastAsia="仿宋_GB2312"/>
                <w:sz w:val="28"/>
              </w:rPr>
              <w:t>1.合同签订生效后，由供应商出具等额发票和付款申请，采购人收到发票和付款申请后3个工作日内向供应商支付合同总额30%的款项。</w:t>
            </w:r>
          </w:p>
          <w:p>
            <w:pPr>
              <w:pStyle w:val="null3"/>
              <w:ind w:firstLine="560"/>
              <w:jc w:val="both"/>
            </w:pPr>
            <w:r>
              <w:rPr>
                <w:rFonts w:ascii="仿宋_GB2312" w:hAnsi="仿宋_GB2312" w:cs="仿宋_GB2312" w:eastAsia="仿宋_GB2312"/>
                <w:sz w:val="28"/>
              </w:rPr>
              <w:t>2.项目完成，经双方验收合格，由供应商出具等额发票和付款申请，采购人收到发票和付款申请后3个工作日内向供应商支付合同总额70%的款项。</w:t>
            </w:r>
          </w:p>
          <w:p>
            <w:pPr>
              <w:pStyle w:val="null3"/>
              <w:ind w:firstLine="560"/>
              <w:jc w:val="both"/>
            </w:pPr>
            <w:r>
              <w:rPr>
                <w:rFonts w:ascii="仿宋_GB2312" w:hAnsi="仿宋_GB2312" w:cs="仿宋_GB2312" w:eastAsia="仿宋_GB2312"/>
                <w:sz w:val="28"/>
              </w:rPr>
              <w:t>3.甲方支付本合同价时，因相关部门必要的审批程序和拨款程序造成支付拖延，不计取任何利息、滞纳金，也不视同违约支付违约金</w:t>
            </w:r>
          </w:p>
          <w:p>
            <w:pPr>
              <w:pStyle w:val="null3"/>
              <w:ind w:firstLine="560"/>
              <w:jc w:val="both"/>
            </w:pPr>
            <w:r>
              <w:rPr>
                <w:rFonts w:ascii="仿宋_GB2312" w:hAnsi="仿宋_GB2312" w:cs="仿宋_GB2312" w:eastAsia="仿宋_GB2312"/>
                <w:sz w:val="28"/>
              </w:rPr>
              <w:t>4.支付方式为银行转账。</w:t>
            </w:r>
          </w:p>
          <w:p>
            <w:pPr>
              <w:pStyle w:val="null3"/>
              <w:ind w:firstLine="560"/>
              <w:jc w:val="both"/>
            </w:pPr>
            <w:r>
              <w:rPr>
                <w:rFonts w:ascii="仿宋_GB2312" w:hAnsi="仿宋_GB2312" w:cs="仿宋_GB2312" w:eastAsia="仿宋_GB2312"/>
                <w:sz w:val="28"/>
              </w:rPr>
              <w:t>5.最终的支付方式按照双方签订的合同进行。</w:t>
            </w:r>
          </w:p>
          <w:p>
            <w:pPr>
              <w:pStyle w:val="null3"/>
              <w:ind w:firstLine="560"/>
              <w:jc w:val="both"/>
            </w:pPr>
            <w:r>
              <w:rPr>
                <w:rFonts w:ascii="仿宋_GB2312" w:hAnsi="仿宋_GB2312" w:cs="仿宋_GB2312" w:eastAsia="仿宋_GB2312"/>
                <w:sz w:val="28"/>
              </w:rPr>
              <w:t>（四）报价要求：</w:t>
            </w:r>
          </w:p>
          <w:p>
            <w:pPr>
              <w:pStyle w:val="null3"/>
              <w:ind w:firstLine="560"/>
              <w:jc w:val="both"/>
            </w:pPr>
            <w:r>
              <w:rPr>
                <w:rFonts w:ascii="仿宋_GB2312" w:hAnsi="仿宋_GB2312" w:cs="仿宋_GB2312" w:eastAsia="仿宋_GB2312"/>
                <w:sz w:val="28"/>
              </w:rPr>
              <w:t>1.包括但不限于苗种的购置和含运输卸货费、税费、验收、售后服务、合同实施过程中应预见和不可预见费用等。</w:t>
            </w:r>
          </w:p>
          <w:p>
            <w:pPr>
              <w:pStyle w:val="null3"/>
              <w:ind w:firstLine="560"/>
              <w:jc w:val="both"/>
            </w:pPr>
            <w:r>
              <w:rPr>
                <w:rFonts w:ascii="仿宋_GB2312" w:hAnsi="仿宋_GB2312" w:cs="仿宋_GB2312" w:eastAsia="仿宋_GB2312"/>
                <w:sz w:val="28"/>
              </w:rPr>
              <w:t>2.供应商报价不得超出单价控制价和各分项苗种采购预算的控制价。</w:t>
            </w:r>
          </w:p>
          <w:p>
            <w:pPr>
              <w:pStyle w:val="null3"/>
              <w:ind w:firstLine="560"/>
              <w:jc w:val="both"/>
            </w:pPr>
            <w:r>
              <w:rPr>
                <w:rFonts w:ascii="仿宋_GB2312" w:hAnsi="仿宋_GB2312" w:cs="仿宋_GB2312" w:eastAsia="仿宋_GB2312"/>
                <w:sz w:val="28"/>
              </w:rPr>
              <w:t>（五）验收方式：</w:t>
            </w:r>
          </w:p>
          <w:p>
            <w:pPr>
              <w:pStyle w:val="null3"/>
              <w:ind w:firstLine="560"/>
              <w:jc w:val="both"/>
            </w:pPr>
            <w:r>
              <w:rPr>
                <w:rFonts w:ascii="仿宋_GB2312" w:hAnsi="仿宋_GB2312" w:cs="仿宋_GB2312" w:eastAsia="仿宋_GB2312"/>
                <w:sz w:val="28"/>
              </w:rPr>
              <w:t>1.苗种到达采购人指定现场，双方开箱点数验收，并在验收确认单上签字。</w:t>
            </w:r>
          </w:p>
          <w:p>
            <w:pPr>
              <w:pStyle w:val="null3"/>
              <w:ind w:firstLine="560"/>
              <w:jc w:val="both"/>
            </w:pPr>
            <w:r>
              <w:rPr>
                <w:rFonts w:ascii="仿宋_GB2312" w:hAnsi="仿宋_GB2312" w:cs="仿宋_GB2312" w:eastAsia="仿宋_GB2312"/>
                <w:sz w:val="28"/>
              </w:rPr>
              <w:t>2.验收时发现死苗，由供应商补足相应的数量的苗种。</w:t>
            </w:r>
          </w:p>
          <w:p>
            <w:pPr>
              <w:pStyle w:val="null3"/>
              <w:ind w:firstLine="560"/>
              <w:jc w:val="both"/>
            </w:pPr>
            <w:r>
              <w:rPr>
                <w:rFonts w:ascii="仿宋_GB2312" w:hAnsi="仿宋_GB2312" w:cs="仿宋_GB2312" w:eastAsia="仿宋_GB2312"/>
                <w:sz w:val="28"/>
              </w:rPr>
              <w:t>（六）知识产权：采购人在中华人民共和国境内使用供应商货物时免受第三方提出的侵犯其专利权或其它知识产权的起诉。如果第三方提出侵权指控，成交人应承担由此而引起的一切法律责任和费用。</w:t>
            </w:r>
          </w:p>
          <w:p>
            <w:pPr>
              <w:pStyle w:val="null3"/>
              <w:ind w:firstLine="560"/>
              <w:jc w:val="both"/>
            </w:pPr>
            <w:r>
              <w:rPr>
                <w:rFonts w:ascii="仿宋_GB2312" w:hAnsi="仿宋_GB2312" w:cs="仿宋_GB2312" w:eastAsia="仿宋_GB2312"/>
                <w:sz w:val="28"/>
              </w:rPr>
              <w:t>（七）其它</w:t>
            </w:r>
          </w:p>
          <w:p>
            <w:pPr>
              <w:pStyle w:val="null3"/>
              <w:ind w:firstLine="560"/>
              <w:jc w:val="both"/>
            </w:pPr>
            <w:r>
              <w:rPr>
                <w:rFonts w:ascii="仿宋_GB2312" w:hAnsi="仿宋_GB2312" w:cs="仿宋_GB2312" w:eastAsia="仿宋_GB2312"/>
                <w:sz w:val="28"/>
              </w:rPr>
              <w:t>1.供应商应指派具有工作经验和技术能力的人员进行放流。</w:t>
            </w:r>
          </w:p>
          <w:p>
            <w:pPr>
              <w:pStyle w:val="null3"/>
              <w:ind w:firstLine="560"/>
              <w:jc w:val="left"/>
            </w:pPr>
            <w:r>
              <w:rPr>
                <w:rFonts w:ascii="仿宋_GB2312" w:hAnsi="仿宋_GB2312" w:cs="仿宋_GB2312" w:eastAsia="仿宋_GB2312"/>
                <w:sz w:val="28"/>
              </w:rPr>
              <w:t>2.其他未尽事宜以合同签订为准。</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1.具体按照双方签订的合同执行（如有）</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符合法律、行政法规规定的其他条件的承诺</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本项目的特定资格要求</w:t>
            </w:r>
          </w:p>
        </w:tc>
        <w:tc>
          <w:tcPr>
            <w:tcW w:type="dxa" w:w="3322"/>
          </w:tcPr>
          <w:p>
            <w:pPr>
              <w:pStyle w:val="null3"/>
              <w:jc w:val="left"/>
            </w:pPr>
            <w:r>
              <w:rPr>
                <w:rFonts w:ascii="仿宋_GB2312" w:hAnsi="仿宋_GB2312" w:cs="仿宋_GB2312" w:eastAsia="仿宋_GB2312"/>
              </w:rPr>
              <w:t>供应商须具有《水产苗种生产许可证》，提供证件复印件，盖供应商公章。</w:t>
            </w:r>
          </w:p>
        </w:tc>
        <w:tc>
          <w:tcPr>
            <w:tcW w:type="dxa" w:w="1661"/>
          </w:tcPr>
          <w:p>
            <w:pPr>
              <w:pStyle w:val="null3"/>
              <w:jc w:val="left"/>
            </w:pPr>
            <w:r>
              <w:rPr>
                <w:rFonts w:ascii="仿宋_GB2312" w:hAnsi="仿宋_GB2312" w:cs="仿宋_GB2312" w:eastAsia="仿宋_GB2312"/>
              </w:rPr>
              <w:t>本项目的特定资格要求</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其他材料 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供应商应提交的相关证明材料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自觉抵制政府采购领域商业贿赂行为承诺书</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技术需求响应</w:t>
            </w:r>
          </w:p>
        </w:tc>
        <w:tc>
          <w:tcPr>
            <w:tcW w:type="dxa" w:w="2492"/>
          </w:tcPr>
          <w:p>
            <w:pPr>
              <w:pStyle w:val="null3"/>
              <w:jc w:val="left"/>
            </w:pPr>
            <w:r>
              <w:rPr>
                <w:rFonts w:ascii="仿宋_GB2312" w:hAnsi="仿宋_GB2312" w:cs="仿宋_GB2312" w:eastAsia="仿宋_GB2312"/>
              </w:rPr>
              <w:t>根据供应商对技术需求的响应程度进行综合评审。每负偏离1项，扣1.0分，本项扣分，扣完为止。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项目理解</w:t>
            </w:r>
          </w:p>
        </w:tc>
        <w:tc>
          <w:tcPr>
            <w:tcW w:type="dxa" w:w="2492"/>
          </w:tcPr>
          <w:p>
            <w:pPr>
              <w:pStyle w:val="null3"/>
              <w:jc w:val="left"/>
            </w:pPr>
            <w:r>
              <w:rPr>
                <w:rFonts w:ascii="仿宋_GB2312" w:hAnsi="仿宋_GB2312" w:cs="仿宋_GB2312" w:eastAsia="仿宋_GB2312"/>
              </w:rPr>
              <w:t>根据供应商提供的项目理解，包括但不限于：①项目重点难点分析及应对解决方案，②合理化建议，③项目实施进度计划，④风险分析（评估）等进行综合评审。 1.以上方案共有4项，每有一项安排完整合理的，得5.0分；每缺少一项，该项得0分。 2.每有一项方案存在一定缺陷的，扣2.0分(注：内容存在缺陷是指：方案生搬硬套，与实际情况明显不符；或存在与项目明显无关的文字内容；或内容不适用项目的实际情况，与本项目采购需求无关；或内容原理错误；或对采购需求理解缺位混乱；或描述的内容混乱，重点不突出；或内容简单，仅有框架或标题，内容缺失不完善，可操作性较差；或凭空编造，内容矛盾，前后不一致，前后逻辑错误；或适用（引用）的规范及标准错误或已废止；或地点区域错误；或项名称错误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供货实施方案</w:t>
            </w:r>
          </w:p>
        </w:tc>
        <w:tc>
          <w:tcPr>
            <w:tcW w:type="dxa" w:w="2492"/>
          </w:tcPr>
          <w:p>
            <w:pPr>
              <w:pStyle w:val="null3"/>
              <w:jc w:val="left"/>
            </w:pPr>
            <w:r>
              <w:rPr>
                <w:rFonts w:ascii="仿宋_GB2312" w:hAnsi="仿宋_GB2312" w:cs="仿宋_GB2312" w:eastAsia="仿宋_GB2312"/>
              </w:rPr>
              <w:t>根据供应商提供的管理制度，包括但不限于：①货物组织方案，②货物包装方案，③货物运输方案，④供货应急处置方案等进行综合评审。 1.以上方案共有4项，每有一项安排完整合理的，得5.0分；每缺少一项，该项得0分。 2.每有一项方案存在一定缺陷的，扣2.0分(注：内容存在缺陷是指：方案生搬硬套，与实际情况明显不符；或存在与项目明显无关的文字内容；或内容不适用项目的实际情况，与本项目采购需求无关；或内容原理错误；或对采购需求理解缺位混乱；或描述的内容混乱，重点不突出；或内容简单，仅有框架或标题，内容缺失不完善，可操作性较差；或凭空编造，内容矛盾，前后不一致，前后逻辑错误；或适用（引用）的规范及标准错误或已废止；或地点区域错误；或项名称错误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质量保证方案</w:t>
            </w:r>
          </w:p>
        </w:tc>
        <w:tc>
          <w:tcPr>
            <w:tcW w:type="dxa" w:w="2492"/>
          </w:tcPr>
          <w:p>
            <w:pPr>
              <w:pStyle w:val="null3"/>
              <w:jc w:val="left"/>
            </w:pPr>
            <w:r>
              <w:rPr>
                <w:rFonts w:ascii="仿宋_GB2312" w:hAnsi="仿宋_GB2312" w:cs="仿宋_GB2312" w:eastAsia="仿宋_GB2312"/>
              </w:rPr>
              <w:t>根据供应商提供的质量保证方案，包括但不限于：①质量保证体系，②质量保证范围，③质量保证承诺，④质量保证措施等进行综合评审。 1.以上方案共有4项，每有一项安排完整合理的，得2.5分；每缺少一项，该项得0分。 2.每有一项方案存在一定缺陷的，扣1.0分(注：内容存在缺陷是指：方案生搬硬套，与实际情况明显不符；或存在与项目明显无关的文字内容；或内容不适用项目的实际情况，与本项目采购需求无关；或内容原理错误；或对采购需求理解缺位混乱；或描述的内容混乱，重点不突出；或内容简单，仅有框架或标题，内容缺失不完善，可操作性较差；或凭空编造，内容矛盾，前后不一致，前后逻辑错误；或适用（引用）的规范及标准错误或已废止；或地点区域错误；或项名称错误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供应商提供2022年01月01日以来类似项目业绩，每提供1个得2.5分。本项最高5.0分。 证明材料：提供合同，复印件盖供应商公章，不提供不得分。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技术力量</w:t>
            </w:r>
          </w:p>
        </w:tc>
        <w:tc>
          <w:tcPr>
            <w:tcW w:type="dxa" w:w="2492"/>
          </w:tcPr>
          <w:p>
            <w:pPr>
              <w:pStyle w:val="null3"/>
              <w:jc w:val="left"/>
            </w:pPr>
            <w:r>
              <w:rPr>
                <w:rFonts w:ascii="仿宋_GB2312" w:hAnsi="仿宋_GB2312" w:cs="仿宋_GB2312" w:eastAsia="仿宋_GB2312"/>
              </w:rPr>
              <w:t>根据供应商提供的相关专业技术力量进行综合评审。 1.具备水产养殖专业类高级工程师2人或中级工程师3人的，得10.0分； 2.具备水产养殖专业类高级工程师1人或中级工程师2人的，得5.0分。 3.不提供不得分。 证明材料：提供相关人员职称证、身份证和其在供应商处服务的聘书或劳动合同，复印件盖供应商公章。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苗场（基地）</w:t>
            </w:r>
          </w:p>
        </w:tc>
        <w:tc>
          <w:tcPr>
            <w:tcW w:type="dxa" w:w="2492"/>
          </w:tcPr>
          <w:p>
            <w:pPr>
              <w:pStyle w:val="null3"/>
              <w:jc w:val="left"/>
            </w:pPr>
            <w:r>
              <w:rPr>
                <w:rFonts w:ascii="仿宋_GB2312" w:hAnsi="仿宋_GB2312" w:cs="仿宋_GB2312" w:eastAsia="仿宋_GB2312"/>
              </w:rPr>
              <w:t>1.供应商拥有苗场（基地）面积在20亩（含）以上的，得5.0分； 2.供应商拥有苗场（基地）面积在20亩（不含）以下的，得3.0分； 证明材料：提供苗场（基地）租赁合同或自有产权证明，复印件盖供应商公章。不提供不得分。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详见附件：第五章 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HNMJ-2025024</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临高县2025年度海水增殖放流项目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临高县2025年度海水增殖放流项目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C09040100-鱼苗、鱼种培育和养殖服务</w:t>
            </w:r>
          </w:p>
        </w:tc>
        <w:tc>
          <w:tcPr>
            <w:tcW w:type="dxa" w:w="1038"/>
          </w:tcPr>
          <w:p>
            <w:pPr>
              <w:pStyle w:val="null3"/>
              <w:jc w:val="left"/>
            </w:pPr>
            <w:r>
              <w:rPr>
                <w:rFonts w:ascii="仿宋_GB2312" w:hAnsi="仿宋_GB2312" w:cs="仿宋_GB2312" w:eastAsia="仿宋_GB2312"/>
              </w:rPr>
              <w:t xml:space="preserve"> 366.00万尾（粒）</w:t>
            </w:r>
          </w:p>
        </w:tc>
        <w:tc>
          <w:tcPr>
            <w:tcW w:type="dxa" w:w="1038"/>
          </w:tcPr>
          <w:p>
            <w:pPr>
              <w:pStyle w:val="null3"/>
              <w:jc w:val="left"/>
            </w:pPr>
            <w:r>
              <w:rPr>
                <w:rFonts w:ascii="仿宋_GB2312" w:hAnsi="仿宋_GB2312" w:cs="仿宋_GB2312" w:eastAsia="仿宋_GB2312"/>
              </w:rPr>
              <w:t xml:space="preserve"> 2658500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备注：数量可以根据供应商的报价后实际总数量填写，但须≥366万尾（粒）</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详见附件：符合法律、行政法规规定的其他条件的承诺</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详见附件：本项目的特定资格要求</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