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57063C">
      <w:pPr>
        <w:pStyle w:val="2"/>
        <w:keepNext/>
        <w:keepLines/>
        <w:pageBreakBefore w:val="0"/>
        <w:widowControl w:val="0"/>
        <w:kinsoku/>
        <w:wordWrap/>
        <w:overflowPunct/>
        <w:topLinePunct w:val="0"/>
        <w:autoSpaceDE/>
        <w:autoSpaceDN/>
        <w:bidi w:val="0"/>
        <w:adjustRightInd/>
        <w:snapToGrid/>
        <w:spacing w:before="0" w:after="0" w:line="500" w:lineRule="exact"/>
        <w:jc w:val="center"/>
        <w:textAlignment w:val="auto"/>
        <w:rPr>
          <w:rFonts w:hint="default"/>
          <w:sz w:val="28"/>
          <w:szCs w:val="28"/>
          <w:lang w:val="en-US" w:eastAsia="zh-CN"/>
        </w:rPr>
      </w:pPr>
      <w:r>
        <w:rPr>
          <w:rFonts w:hint="eastAsia"/>
          <w:sz w:val="28"/>
          <w:szCs w:val="28"/>
          <w:lang w:val="en-US" w:eastAsia="zh-CN"/>
        </w:rPr>
        <w:t>第五章  政府采购合同（范本，仅供参考）</w:t>
      </w:r>
    </w:p>
    <w:p w14:paraId="4B6391D7">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ascii="宋体" w:hAnsi="宋体" w:eastAsia="宋体" w:cs="宋体"/>
          <w:color w:val="auto"/>
          <w:sz w:val="28"/>
          <w:szCs w:val="24"/>
        </w:rPr>
      </w:pPr>
    </w:p>
    <w:p w14:paraId="245D40F0">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ascii="宋体" w:hAnsi="宋体" w:eastAsia="宋体" w:cs="宋体"/>
          <w:color w:val="auto"/>
          <w:sz w:val="28"/>
          <w:szCs w:val="24"/>
        </w:rPr>
      </w:pPr>
      <w:r>
        <w:rPr>
          <w:rFonts w:hint="eastAsia" w:ascii="宋体" w:hAnsi="宋体" w:eastAsia="宋体" w:cs="宋体"/>
          <w:color w:val="auto"/>
          <w:sz w:val="28"/>
          <w:szCs w:val="24"/>
        </w:rPr>
        <w:t>合同编号：</w:t>
      </w:r>
    </w:p>
    <w:p w14:paraId="60C9F65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rPr>
      </w:pPr>
    </w:p>
    <w:p w14:paraId="0CF8B350">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bCs/>
          <w:color w:val="auto"/>
          <w:sz w:val="36"/>
          <w:szCs w:val="32"/>
          <w:lang w:eastAsia="zh-CN"/>
        </w:rPr>
      </w:pPr>
    </w:p>
    <w:p w14:paraId="7B933587">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bCs/>
          <w:color w:val="auto"/>
          <w:sz w:val="36"/>
          <w:szCs w:val="32"/>
          <w:lang w:eastAsia="zh-CN"/>
        </w:rPr>
      </w:pPr>
    </w:p>
    <w:p w14:paraId="6DF7B1D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lang w:eastAsia="zh-CN"/>
        </w:rPr>
        <w:t>临高县</w:t>
      </w:r>
      <w:r>
        <w:rPr>
          <w:rFonts w:hint="eastAsia" w:ascii="宋体" w:hAnsi="宋体" w:cs="宋体"/>
          <w:b w:val="0"/>
          <w:bCs w:val="0"/>
          <w:color w:val="auto"/>
          <w:sz w:val="28"/>
          <w:szCs w:val="28"/>
          <w:lang w:eastAsia="zh-CN"/>
        </w:rPr>
        <w:t>2025</w:t>
      </w:r>
      <w:r>
        <w:rPr>
          <w:rFonts w:hint="eastAsia" w:ascii="宋体" w:hAnsi="宋体" w:eastAsia="宋体" w:cs="宋体"/>
          <w:b w:val="0"/>
          <w:bCs w:val="0"/>
          <w:color w:val="auto"/>
          <w:sz w:val="28"/>
          <w:szCs w:val="28"/>
          <w:lang w:eastAsia="zh-CN"/>
        </w:rPr>
        <w:t>年海水增殖放流项目</w:t>
      </w:r>
      <w:r>
        <w:rPr>
          <w:rFonts w:hint="eastAsia" w:ascii="宋体" w:hAnsi="宋体" w:eastAsia="宋体" w:cs="宋体"/>
          <w:b w:val="0"/>
          <w:bCs w:val="0"/>
          <w:color w:val="auto"/>
          <w:sz w:val="28"/>
          <w:szCs w:val="28"/>
        </w:rPr>
        <w:t>合同</w:t>
      </w:r>
    </w:p>
    <w:p w14:paraId="3356A4C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auto"/>
          <w:sz w:val="28"/>
          <w:szCs w:val="28"/>
        </w:rPr>
      </w:pPr>
    </w:p>
    <w:p w14:paraId="482132D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auto"/>
          <w:sz w:val="28"/>
          <w:szCs w:val="28"/>
        </w:rPr>
      </w:pPr>
    </w:p>
    <w:p w14:paraId="43C982B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8"/>
          <w:szCs w:val="28"/>
        </w:rPr>
      </w:pPr>
    </w:p>
    <w:p w14:paraId="6238B23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auto"/>
          <w:sz w:val="28"/>
          <w:szCs w:val="28"/>
          <w:lang w:eastAsia="zh-CN"/>
        </w:rPr>
      </w:pPr>
      <w:r>
        <w:rPr>
          <w:rFonts w:hint="eastAsia" w:ascii="宋体" w:hAnsi="宋体" w:eastAsia="宋体" w:cs="宋体"/>
          <w:b w:val="0"/>
          <w:bCs w:val="0"/>
          <w:color w:val="auto"/>
          <w:sz w:val="28"/>
          <w:szCs w:val="28"/>
        </w:rPr>
        <w:t>项目名称：</w:t>
      </w:r>
      <w:r>
        <w:rPr>
          <w:rFonts w:hint="eastAsia" w:ascii="宋体" w:hAnsi="宋体" w:eastAsia="宋体" w:cs="宋体"/>
          <w:b w:val="0"/>
          <w:bCs w:val="0"/>
          <w:color w:val="auto"/>
          <w:sz w:val="28"/>
          <w:szCs w:val="28"/>
          <w:u w:val="single"/>
          <w:lang w:eastAsia="zh-CN"/>
        </w:rPr>
        <w:t>临高县</w:t>
      </w:r>
      <w:r>
        <w:rPr>
          <w:rFonts w:hint="eastAsia" w:ascii="宋体" w:hAnsi="宋体" w:cs="宋体"/>
          <w:b w:val="0"/>
          <w:bCs w:val="0"/>
          <w:color w:val="auto"/>
          <w:sz w:val="28"/>
          <w:szCs w:val="28"/>
          <w:u w:val="single"/>
          <w:lang w:eastAsia="zh-CN"/>
        </w:rPr>
        <w:t>2025</w:t>
      </w:r>
      <w:r>
        <w:rPr>
          <w:rFonts w:hint="eastAsia" w:ascii="宋体" w:hAnsi="宋体" w:eastAsia="宋体" w:cs="宋体"/>
          <w:b w:val="0"/>
          <w:bCs w:val="0"/>
          <w:color w:val="auto"/>
          <w:sz w:val="28"/>
          <w:szCs w:val="28"/>
          <w:u w:val="single"/>
          <w:lang w:eastAsia="zh-CN"/>
        </w:rPr>
        <w:t>年海水增殖放流项目</w:t>
      </w:r>
    </w:p>
    <w:p w14:paraId="2F921BB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auto"/>
          <w:sz w:val="28"/>
          <w:szCs w:val="28"/>
        </w:rPr>
      </w:pPr>
    </w:p>
    <w:p w14:paraId="20356E7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auto"/>
          <w:sz w:val="28"/>
          <w:szCs w:val="28"/>
          <w:lang w:val="en-US" w:eastAsia="zh-CN"/>
        </w:rPr>
      </w:pPr>
      <w:r>
        <w:rPr>
          <w:rFonts w:hint="eastAsia" w:ascii="宋体" w:hAnsi="宋体" w:eastAsia="宋体" w:cs="宋体"/>
          <w:b w:val="0"/>
          <w:bCs w:val="0"/>
          <w:color w:val="auto"/>
          <w:sz w:val="28"/>
          <w:szCs w:val="28"/>
          <w:lang w:val="en-US" w:eastAsia="zh-CN"/>
        </w:rPr>
        <w:t>采购人</w:t>
      </w:r>
      <w:r>
        <w:rPr>
          <w:rFonts w:hint="eastAsia" w:ascii="宋体" w:hAnsi="宋体" w:eastAsia="宋体" w:cs="宋体"/>
          <w:b w:val="0"/>
          <w:bCs w:val="0"/>
          <w:color w:val="auto"/>
          <w:sz w:val="28"/>
          <w:szCs w:val="28"/>
        </w:rPr>
        <w:t>（甲方）：</w:t>
      </w:r>
      <w:r>
        <w:rPr>
          <w:rFonts w:hint="eastAsia" w:ascii="宋体" w:hAnsi="宋体" w:eastAsia="宋体" w:cs="宋体"/>
          <w:b w:val="0"/>
          <w:bCs w:val="0"/>
          <w:color w:val="auto"/>
          <w:sz w:val="28"/>
          <w:szCs w:val="28"/>
          <w:u w:val="single"/>
          <w:lang w:eastAsia="zh-CN"/>
        </w:rPr>
        <w:t>临高县农业农村局</w:t>
      </w:r>
      <w:r>
        <w:rPr>
          <w:rFonts w:hint="eastAsia" w:ascii="宋体" w:hAnsi="宋体" w:eastAsia="宋体" w:cs="宋体"/>
          <w:b w:val="0"/>
          <w:bCs w:val="0"/>
          <w:color w:val="auto"/>
          <w:sz w:val="28"/>
          <w:szCs w:val="28"/>
          <w:u w:val="single"/>
          <w:lang w:val="en-US" w:eastAsia="zh-CN"/>
        </w:rPr>
        <w:t xml:space="preserve">   </w:t>
      </w:r>
      <w:r>
        <w:rPr>
          <w:rFonts w:hint="eastAsia" w:ascii="宋体" w:hAnsi="宋体" w:eastAsia="宋体" w:cs="宋体"/>
          <w:b w:val="0"/>
          <w:bCs w:val="0"/>
          <w:color w:val="auto"/>
          <w:sz w:val="28"/>
          <w:szCs w:val="28"/>
        </w:rPr>
        <w:t xml:space="preserve">  </w:t>
      </w:r>
      <w:r>
        <w:rPr>
          <w:rFonts w:hint="eastAsia" w:ascii="宋体" w:hAnsi="宋体" w:eastAsia="宋体" w:cs="宋体"/>
          <w:b w:val="0"/>
          <w:bCs w:val="0"/>
          <w:color w:val="auto"/>
          <w:sz w:val="28"/>
          <w:szCs w:val="28"/>
          <w:lang w:val="en-US" w:eastAsia="zh-CN"/>
        </w:rPr>
        <w:t xml:space="preserve"> </w:t>
      </w:r>
    </w:p>
    <w:p w14:paraId="057156A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auto"/>
          <w:sz w:val="28"/>
          <w:szCs w:val="28"/>
        </w:rPr>
      </w:pPr>
    </w:p>
    <w:p w14:paraId="27599D6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auto"/>
          <w:sz w:val="28"/>
          <w:szCs w:val="28"/>
        </w:rPr>
      </w:pPr>
      <w:r>
        <w:rPr>
          <w:rFonts w:hint="eastAsia" w:ascii="宋体" w:hAnsi="宋体" w:cs="宋体"/>
          <w:b w:val="0"/>
          <w:bCs w:val="0"/>
          <w:color w:val="auto"/>
          <w:sz w:val="28"/>
          <w:szCs w:val="28"/>
          <w:lang w:val="en-US" w:eastAsia="zh-CN"/>
        </w:rPr>
        <w:t>成交</w:t>
      </w:r>
      <w:r>
        <w:rPr>
          <w:rFonts w:hint="eastAsia" w:ascii="宋体" w:hAnsi="宋体" w:eastAsia="宋体" w:cs="宋体"/>
          <w:b w:val="0"/>
          <w:bCs w:val="0"/>
          <w:color w:val="auto"/>
          <w:sz w:val="28"/>
          <w:szCs w:val="28"/>
          <w:lang w:val="en-US" w:eastAsia="zh-CN"/>
        </w:rPr>
        <w:t>人</w:t>
      </w:r>
      <w:r>
        <w:rPr>
          <w:rFonts w:hint="eastAsia" w:ascii="宋体" w:hAnsi="宋体" w:eastAsia="宋体" w:cs="宋体"/>
          <w:b w:val="0"/>
          <w:bCs w:val="0"/>
          <w:color w:val="auto"/>
          <w:sz w:val="28"/>
          <w:szCs w:val="28"/>
        </w:rPr>
        <w:t>（乙方）：</w:t>
      </w:r>
      <w:r>
        <w:rPr>
          <w:rFonts w:hint="eastAsia" w:ascii="宋体" w:hAnsi="宋体" w:eastAsia="宋体" w:cs="宋体"/>
          <w:b w:val="0"/>
          <w:bCs w:val="0"/>
          <w:color w:val="auto"/>
          <w:sz w:val="28"/>
          <w:szCs w:val="28"/>
          <w:u w:val="single"/>
          <w:lang w:val="en-US" w:eastAsia="zh-CN"/>
        </w:rPr>
        <w:t xml:space="preserve">XXXXXXX               </w:t>
      </w:r>
      <w:r>
        <w:rPr>
          <w:rFonts w:hint="eastAsia" w:ascii="宋体" w:hAnsi="宋体" w:eastAsia="宋体" w:cs="宋体"/>
          <w:b w:val="0"/>
          <w:bCs w:val="0"/>
          <w:color w:val="auto"/>
          <w:sz w:val="28"/>
          <w:szCs w:val="28"/>
          <w:lang w:val="en-US" w:eastAsia="zh-CN"/>
        </w:rPr>
        <w:t xml:space="preserve">      </w:t>
      </w:r>
      <w:r>
        <w:rPr>
          <w:rFonts w:hint="eastAsia" w:ascii="宋体" w:hAnsi="宋体" w:eastAsia="宋体" w:cs="宋体"/>
          <w:b w:val="0"/>
          <w:bCs w:val="0"/>
          <w:color w:val="auto"/>
          <w:sz w:val="28"/>
          <w:szCs w:val="28"/>
        </w:rPr>
        <w:t xml:space="preserve">                        </w:t>
      </w:r>
    </w:p>
    <w:p w14:paraId="3F044D0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auto"/>
          <w:sz w:val="28"/>
          <w:szCs w:val="28"/>
        </w:rPr>
      </w:pPr>
    </w:p>
    <w:p w14:paraId="39B57FD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color w:val="auto"/>
          <w:sz w:val="28"/>
          <w:szCs w:val="28"/>
          <w:lang w:val="en-US" w:eastAsia="zh-CN"/>
        </w:rPr>
      </w:pPr>
      <w:r>
        <w:rPr>
          <w:rFonts w:hint="eastAsia" w:ascii="宋体" w:hAnsi="宋体" w:eastAsia="宋体" w:cs="宋体"/>
          <w:b w:val="0"/>
          <w:bCs w:val="0"/>
          <w:color w:val="auto"/>
          <w:sz w:val="28"/>
          <w:szCs w:val="28"/>
        </w:rPr>
        <w:t xml:space="preserve">签订时间: </w:t>
      </w:r>
      <w:r>
        <w:rPr>
          <w:rFonts w:hint="eastAsia" w:ascii="宋体" w:hAnsi="宋体" w:eastAsia="宋体" w:cs="宋体"/>
          <w:b w:val="0"/>
          <w:bCs w:val="0"/>
          <w:color w:val="auto"/>
          <w:sz w:val="28"/>
          <w:szCs w:val="28"/>
          <w:u w:val="single"/>
          <w:lang w:val="en-US" w:eastAsia="zh-CN"/>
        </w:rPr>
        <w:t xml:space="preserve">                               </w:t>
      </w:r>
      <w:r>
        <w:rPr>
          <w:rFonts w:hint="eastAsia" w:ascii="宋体" w:hAnsi="宋体" w:eastAsia="宋体" w:cs="宋体"/>
          <w:b w:val="0"/>
          <w:bCs w:val="0"/>
          <w:color w:val="auto"/>
          <w:sz w:val="28"/>
          <w:szCs w:val="28"/>
        </w:rPr>
        <w:t xml:space="preserve">                            </w:t>
      </w:r>
      <w:r>
        <w:rPr>
          <w:rFonts w:hint="eastAsia" w:ascii="宋体" w:hAnsi="宋体" w:eastAsia="宋体" w:cs="宋体"/>
          <w:b w:val="0"/>
          <w:bCs w:val="0"/>
          <w:color w:val="auto"/>
          <w:sz w:val="28"/>
          <w:szCs w:val="28"/>
          <w:lang w:val="en-US" w:eastAsia="zh-CN"/>
        </w:rPr>
        <w:t xml:space="preserve">    </w:t>
      </w:r>
    </w:p>
    <w:p w14:paraId="3F27CCD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rPr>
      </w:pPr>
      <w:r>
        <w:rPr>
          <w:rFonts w:hint="eastAsia" w:ascii="宋体" w:hAnsi="宋体" w:eastAsia="宋体" w:cs="宋体"/>
          <w:b w:val="0"/>
          <w:bCs w:val="0"/>
          <w:color w:val="auto"/>
          <w:sz w:val="28"/>
          <w:szCs w:val="28"/>
        </w:rPr>
        <w:t>签订地点：</w:t>
      </w:r>
      <w:r>
        <w:rPr>
          <w:rFonts w:hint="eastAsia" w:ascii="宋体" w:hAnsi="宋体" w:eastAsia="宋体" w:cs="宋体"/>
          <w:b w:val="0"/>
          <w:bCs w:val="0"/>
          <w:color w:val="auto"/>
          <w:sz w:val="28"/>
          <w:szCs w:val="28"/>
          <w:u w:val="single"/>
          <w:lang w:val="en-US" w:eastAsia="zh-CN"/>
        </w:rPr>
        <w:t xml:space="preserve">                       </w:t>
      </w:r>
      <w:r>
        <w:rPr>
          <w:rFonts w:hint="eastAsia" w:ascii="宋体" w:hAnsi="宋体" w:eastAsia="宋体" w:cs="宋体"/>
          <w:color w:val="auto"/>
          <w:sz w:val="28"/>
          <w:szCs w:val="24"/>
          <w:u w:val="single"/>
          <w:lang w:val="en-US" w:eastAsia="zh-CN"/>
        </w:rPr>
        <w:t xml:space="preserve">        </w:t>
      </w:r>
      <w:r>
        <w:rPr>
          <w:rFonts w:hint="eastAsia" w:ascii="宋体" w:hAnsi="宋体" w:eastAsia="宋体" w:cs="宋体"/>
          <w:color w:val="auto"/>
          <w:sz w:val="28"/>
          <w:szCs w:val="24"/>
        </w:rPr>
        <w:t xml:space="preserve">  </w:t>
      </w:r>
      <w:r>
        <w:rPr>
          <w:rFonts w:hint="eastAsia" w:ascii="宋体" w:hAnsi="宋体" w:eastAsia="宋体" w:cs="宋体"/>
          <w:color w:val="auto"/>
        </w:rPr>
        <w:t xml:space="preserve">                                 </w:t>
      </w:r>
    </w:p>
    <w:p w14:paraId="33B0008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rPr>
      </w:pPr>
    </w:p>
    <w:p w14:paraId="24B02FD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rPr>
      </w:pPr>
    </w:p>
    <w:p w14:paraId="756F8C6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rPr>
      </w:pPr>
    </w:p>
    <w:p w14:paraId="3FF8575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rPr>
      </w:pPr>
    </w:p>
    <w:p w14:paraId="5063722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rPr>
      </w:pPr>
    </w:p>
    <w:p w14:paraId="5E791FB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rPr>
      </w:pPr>
    </w:p>
    <w:p w14:paraId="0BFBD32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lang w:val="en-US" w:eastAsia="zh-CN"/>
        </w:rPr>
      </w:pPr>
    </w:p>
    <w:p w14:paraId="4AAF8634">
      <w:pPr>
        <w:keepNext w:val="0"/>
        <w:keepLines w:val="0"/>
        <w:pageBreakBefore w:val="0"/>
        <w:widowControl w:val="0"/>
        <w:kinsoku/>
        <w:wordWrap/>
        <w:overflowPunct/>
        <w:topLinePunct w:val="0"/>
        <w:autoSpaceDE/>
        <w:autoSpaceDN/>
        <w:bidi w:val="0"/>
        <w:textAlignment w:val="auto"/>
        <w:rPr>
          <w:rFonts w:hint="eastAsia" w:ascii="宋体" w:hAnsi="宋体" w:eastAsia="宋体" w:cs="宋体"/>
          <w:color w:val="auto"/>
          <w:sz w:val="28"/>
          <w:szCs w:val="28"/>
          <w:lang w:val="en-US"/>
        </w:rPr>
      </w:pPr>
      <w:r>
        <w:rPr>
          <w:rFonts w:hint="eastAsia" w:ascii="宋体" w:hAnsi="宋体" w:eastAsia="宋体" w:cs="宋体"/>
          <w:color w:val="auto"/>
          <w:sz w:val="28"/>
          <w:szCs w:val="28"/>
          <w:lang w:val="en-US" w:eastAsia="zh-CN"/>
        </w:rPr>
        <w:t>采购人(甲方):临高县农业农村局</w:t>
      </w:r>
    </w:p>
    <w:p w14:paraId="2C1B94B8">
      <w:pPr>
        <w:keepNext w:val="0"/>
        <w:keepLines w:val="0"/>
        <w:pageBreakBefore w:val="0"/>
        <w:widowControl w:val="0"/>
        <w:kinsoku/>
        <w:wordWrap/>
        <w:overflowPunct/>
        <w:topLinePunct w:val="0"/>
        <w:autoSpaceDE/>
        <w:autoSpaceDN/>
        <w:bidi w:val="0"/>
        <w:textAlignment w:val="auto"/>
        <w:rPr>
          <w:rFonts w:hint="eastAsia" w:ascii="宋体" w:hAnsi="宋体" w:eastAsia="宋体" w:cs="宋体"/>
          <w:color w:val="auto"/>
          <w:sz w:val="28"/>
          <w:szCs w:val="28"/>
          <w:lang w:val="en-US" w:eastAsia="zh-CN"/>
        </w:rPr>
      </w:pPr>
      <w:r>
        <w:rPr>
          <w:rFonts w:hint="eastAsia" w:ascii="宋体" w:hAnsi="宋体" w:cs="宋体"/>
          <w:color w:val="auto"/>
          <w:sz w:val="28"/>
          <w:szCs w:val="28"/>
          <w:lang w:val="en-US" w:eastAsia="zh-CN"/>
        </w:rPr>
        <w:t>成交</w:t>
      </w:r>
      <w:r>
        <w:rPr>
          <w:rFonts w:hint="eastAsia" w:ascii="宋体" w:hAnsi="宋体" w:eastAsia="宋体" w:cs="宋体"/>
          <w:color w:val="auto"/>
          <w:sz w:val="28"/>
          <w:szCs w:val="28"/>
          <w:lang w:val="en-US" w:eastAsia="zh-CN"/>
        </w:rPr>
        <w:t>人(乙方):</w:t>
      </w:r>
      <w:r>
        <w:rPr>
          <w:rFonts w:hint="eastAsia" w:ascii="宋体" w:hAnsi="宋体" w:eastAsia="宋体" w:cs="宋体"/>
          <w:color w:val="auto"/>
          <w:sz w:val="28"/>
          <w:szCs w:val="28"/>
          <w:u w:val="single"/>
          <w:lang w:val="en-US" w:eastAsia="zh-CN"/>
        </w:rPr>
        <w:t xml:space="preserve"> XXXXX    </w:t>
      </w:r>
      <w:r>
        <w:rPr>
          <w:rFonts w:hint="eastAsia" w:ascii="宋体" w:hAnsi="宋体" w:eastAsia="宋体" w:cs="宋体"/>
          <w:color w:val="auto"/>
          <w:sz w:val="28"/>
          <w:szCs w:val="28"/>
          <w:lang w:val="en-US" w:eastAsia="zh-CN"/>
        </w:rPr>
        <w:t xml:space="preserve"> </w:t>
      </w:r>
    </w:p>
    <w:p w14:paraId="0BFEBCEB">
      <w:pPr>
        <w:keepNext w:val="0"/>
        <w:keepLines w:val="0"/>
        <w:pageBreakBefore w:val="0"/>
        <w:widowControl w:val="0"/>
        <w:kinsoku/>
        <w:wordWrap/>
        <w:overflowPunct/>
        <w:topLinePunct w:val="0"/>
        <w:autoSpaceDE/>
        <w:autoSpaceDN/>
        <w:bidi w:val="0"/>
        <w:ind w:firstLine="840" w:firstLineChars="3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根据《中华人民共和国政府采购法》、《中华人民共和国民法典》及《临高县2025年度海水增殖放流项目》(项目编号：</w:t>
      </w:r>
      <w:r>
        <w:rPr>
          <w:rFonts w:hint="eastAsia" w:ascii="宋体" w:hAnsi="宋体" w:cs="宋体"/>
          <w:color w:val="auto"/>
          <w:sz w:val="28"/>
          <w:szCs w:val="28"/>
          <w:lang w:val="en-US" w:eastAsia="zh-CN"/>
        </w:rPr>
        <w:t>HNMJ-2025024</w:t>
      </w:r>
      <w:r>
        <w:rPr>
          <w:rFonts w:hint="eastAsia" w:ascii="宋体" w:hAnsi="宋体" w:eastAsia="宋体" w:cs="宋体"/>
          <w:color w:val="auto"/>
          <w:sz w:val="28"/>
          <w:szCs w:val="28"/>
          <w:lang w:val="en-US" w:eastAsia="zh-CN"/>
        </w:rPr>
        <w:t xml:space="preserve"> )的《</w:t>
      </w:r>
      <w:r>
        <w:rPr>
          <w:rFonts w:hint="eastAsia" w:ascii="宋体" w:hAnsi="宋体" w:cs="宋体"/>
          <w:color w:val="auto"/>
          <w:sz w:val="28"/>
          <w:szCs w:val="28"/>
          <w:lang w:val="en-US" w:eastAsia="zh-CN"/>
        </w:rPr>
        <w:t>竞争性磋商文件</w:t>
      </w:r>
      <w:r>
        <w:rPr>
          <w:rFonts w:hint="eastAsia" w:ascii="宋体" w:hAnsi="宋体" w:eastAsia="宋体" w:cs="宋体"/>
          <w:color w:val="auto"/>
          <w:sz w:val="28"/>
          <w:szCs w:val="28"/>
          <w:lang w:val="en-US" w:eastAsia="zh-CN"/>
        </w:rPr>
        <w:t>》、乙方的《</w:t>
      </w:r>
      <w:r>
        <w:rPr>
          <w:rFonts w:hint="eastAsia" w:ascii="宋体" w:hAnsi="宋体" w:cs="宋体"/>
          <w:color w:val="auto"/>
          <w:sz w:val="28"/>
          <w:szCs w:val="28"/>
          <w:lang w:val="en-US" w:eastAsia="zh-CN"/>
        </w:rPr>
        <w:t>响应</w:t>
      </w:r>
      <w:r>
        <w:rPr>
          <w:rFonts w:hint="eastAsia" w:ascii="宋体" w:hAnsi="宋体" w:eastAsia="宋体" w:cs="宋体"/>
          <w:color w:val="auto"/>
          <w:sz w:val="28"/>
          <w:szCs w:val="28"/>
          <w:lang w:val="en-US" w:eastAsia="zh-CN"/>
        </w:rPr>
        <w:t>文件》及《</w:t>
      </w:r>
      <w:r>
        <w:rPr>
          <w:rFonts w:hint="eastAsia" w:ascii="宋体" w:hAnsi="宋体" w:cs="宋体"/>
          <w:color w:val="auto"/>
          <w:sz w:val="28"/>
          <w:szCs w:val="28"/>
          <w:lang w:val="en-US" w:eastAsia="zh-CN"/>
        </w:rPr>
        <w:t>成交</w:t>
      </w:r>
      <w:r>
        <w:rPr>
          <w:rFonts w:hint="eastAsia" w:ascii="宋体" w:hAnsi="宋体" w:eastAsia="宋体" w:cs="宋体"/>
          <w:color w:val="auto"/>
          <w:sz w:val="28"/>
          <w:szCs w:val="28"/>
          <w:lang w:val="en-US" w:eastAsia="zh-CN"/>
        </w:rPr>
        <w:t>通知书》,甲、乙双方同意签订本合同。详细技术说明及其他有关合同项目的特定信息由合同附件予以说明，合同附件及本项目的《</w:t>
      </w:r>
      <w:r>
        <w:rPr>
          <w:rFonts w:hint="eastAsia" w:ascii="宋体" w:hAnsi="宋体" w:cs="宋体"/>
          <w:color w:val="auto"/>
          <w:sz w:val="28"/>
          <w:szCs w:val="28"/>
          <w:lang w:val="en-US" w:eastAsia="zh-CN"/>
        </w:rPr>
        <w:t>采购</w:t>
      </w:r>
      <w:r>
        <w:rPr>
          <w:rFonts w:hint="eastAsia" w:ascii="宋体" w:hAnsi="宋体" w:eastAsia="宋体" w:cs="宋体"/>
          <w:color w:val="auto"/>
          <w:sz w:val="28"/>
          <w:szCs w:val="28"/>
          <w:lang w:val="en-US" w:eastAsia="zh-CN"/>
        </w:rPr>
        <w:t>文件》、《</w:t>
      </w:r>
      <w:r>
        <w:rPr>
          <w:rFonts w:hint="eastAsia" w:ascii="宋体" w:hAnsi="宋体" w:cs="宋体"/>
          <w:color w:val="auto"/>
          <w:sz w:val="28"/>
          <w:szCs w:val="28"/>
          <w:lang w:val="en-US" w:eastAsia="zh-CN"/>
        </w:rPr>
        <w:t>响应</w:t>
      </w:r>
      <w:r>
        <w:rPr>
          <w:rFonts w:hint="eastAsia" w:ascii="宋体" w:hAnsi="宋体" w:eastAsia="宋体" w:cs="宋体"/>
          <w:color w:val="auto"/>
          <w:sz w:val="28"/>
          <w:szCs w:val="28"/>
          <w:lang w:val="en-US" w:eastAsia="zh-CN"/>
        </w:rPr>
        <w:t>文件》、《</w:t>
      </w:r>
      <w:r>
        <w:rPr>
          <w:rFonts w:hint="eastAsia" w:ascii="宋体" w:hAnsi="宋体" w:cs="宋体"/>
          <w:color w:val="auto"/>
          <w:sz w:val="28"/>
          <w:szCs w:val="28"/>
          <w:lang w:val="en-US" w:eastAsia="zh-CN"/>
        </w:rPr>
        <w:t>成交</w:t>
      </w:r>
      <w:bookmarkStart w:id="0" w:name="_GoBack"/>
      <w:bookmarkEnd w:id="0"/>
      <w:r>
        <w:rPr>
          <w:rFonts w:hint="eastAsia" w:ascii="宋体" w:hAnsi="宋体" w:eastAsia="宋体" w:cs="宋体"/>
          <w:color w:val="auto"/>
          <w:sz w:val="28"/>
          <w:szCs w:val="28"/>
          <w:lang w:val="en-US" w:eastAsia="zh-CN"/>
        </w:rPr>
        <w:t>通知书》等均为本合同不可分割的部分。双方同意共同遵守如下条款：</w:t>
      </w:r>
    </w:p>
    <w:p w14:paraId="4DBB3B4C">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一、合同标的及金额等</w:t>
      </w:r>
    </w:p>
    <w:tbl>
      <w:tblPr>
        <w:tblStyle w:val="19"/>
        <w:tblW w:w="5096"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586"/>
        <w:gridCol w:w="1748"/>
        <w:gridCol w:w="1480"/>
        <w:gridCol w:w="1541"/>
        <w:gridCol w:w="1549"/>
        <w:gridCol w:w="1568"/>
      </w:tblGrid>
      <w:tr w14:paraId="005B2C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8" w:hRule="atLeast"/>
        </w:trPr>
        <w:tc>
          <w:tcPr>
            <w:tcW w:w="346" w:type="pct"/>
            <w:noWrap w:val="0"/>
            <w:vAlign w:val="center"/>
          </w:tcPr>
          <w:p w14:paraId="4645F2E5">
            <w:pPr>
              <w:keepNext w:val="0"/>
              <w:keepLines w:val="0"/>
              <w:pageBreakBefore w:val="0"/>
              <w:widowControl w:val="0"/>
              <w:kinsoku/>
              <w:wordWrap/>
              <w:overflowPunct/>
              <w:topLinePunct w:val="0"/>
              <w:autoSpaceDE/>
              <w:autoSpaceDN/>
              <w:bidi w:val="0"/>
              <w:jc w:val="center"/>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序号</w:t>
            </w:r>
          </w:p>
        </w:tc>
        <w:tc>
          <w:tcPr>
            <w:tcW w:w="1031" w:type="pct"/>
            <w:noWrap w:val="0"/>
            <w:vAlign w:val="center"/>
          </w:tcPr>
          <w:p w14:paraId="432D0563">
            <w:pPr>
              <w:keepNext w:val="0"/>
              <w:keepLines w:val="0"/>
              <w:pageBreakBefore w:val="0"/>
              <w:widowControl w:val="0"/>
              <w:kinsoku/>
              <w:wordWrap/>
              <w:overflowPunct/>
              <w:topLinePunct w:val="0"/>
              <w:autoSpaceDE/>
              <w:autoSpaceDN/>
              <w:bidi w:val="0"/>
              <w:jc w:val="center"/>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苗种类别</w:t>
            </w:r>
          </w:p>
        </w:tc>
        <w:tc>
          <w:tcPr>
            <w:tcW w:w="873" w:type="pct"/>
            <w:noWrap w:val="0"/>
            <w:vAlign w:val="center"/>
          </w:tcPr>
          <w:p w14:paraId="2746984F">
            <w:pPr>
              <w:keepNext w:val="0"/>
              <w:keepLines w:val="0"/>
              <w:pageBreakBefore w:val="0"/>
              <w:widowControl w:val="0"/>
              <w:kinsoku/>
              <w:wordWrap/>
              <w:overflowPunct/>
              <w:topLinePunct w:val="0"/>
              <w:autoSpaceDE/>
              <w:autoSpaceDN/>
              <w:bidi w:val="0"/>
              <w:jc w:val="center"/>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规格</w:t>
            </w:r>
            <w:r>
              <w:rPr>
                <w:rFonts w:hint="eastAsia" w:ascii="宋体" w:hAnsi="宋体" w:eastAsia="宋体" w:cs="宋体"/>
                <w:b/>
                <w:bCs/>
                <w:color w:val="auto"/>
                <w:sz w:val="24"/>
                <w:szCs w:val="24"/>
                <w:lang w:val="en-US" w:eastAsia="zh-CN"/>
              </w:rPr>
              <w:t>/全长</w:t>
            </w:r>
            <w:r>
              <w:rPr>
                <w:rFonts w:hint="eastAsia" w:ascii="宋体" w:hAnsi="宋体" w:eastAsia="宋体" w:cs="宋体"/>
                <w:b/>
                <w:bCs/>
                <w:color w:val="auto"/>
                <w:sz w:val="24"/>
                <w:szCs w:val="24"/>
                <w:lang w:eastAsia="zh-CN"/>
              </w:rPr>
              <w:t>（cm）</w:t>
            </w:r>
          </w:p>
        </w:tc>
        <w:tc>
          <w:tcPr>
            <w:tcW w:w="909" w:type="pct"/>
            <w:noWrap w:val="0"/>
            <w:vAlign w:val="center"/>
          </w:tcPr>
          <w:p w14:paraId="3655D3A0">
            <w:pPr>
              <w:keepNext w:val="0"/>
              <w:keepLines w:val="0"/>
              <w:pageBreakBefore w:val="0"/>
              <w:widowControl w:val="0"/>
              <w:kinsoku/>
              <w:wordWrap/>
              <w:overflowPunct/>
              <w:topLinePunct w:val="0"/>
              <w:autoSpaceDE/>
              <w:autoSpaceDN/>
              <w:bidi w:val="0"/>
              <w:jc w:val="center"/>
              <w:textAlignment w:val="auto"/>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单价</w:t>
            </w:r>
          </w:p>
          <w:p w14:paraId="2E875236">
            <w:pPr>
              <w:keepNext w:val="0"/>
              <w:keepLines w:val="0"/>
              <w:pageBreakBefore w:val="0"/>
              <w:widowControl w:val="0"/>
              <w:kinsoku/>
              <w:wordWrap/>
              <w:overflowPunct/>
              <w:topLinePunct w:val="0"/>
              <w:autoSpaceDE/>
              <w:autoSpaceDN/>
              <w:bidi w:val="0"/>
              <w:jc w:val="center"/>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（元/尾）</w:t>
            </w:r>
          </w:p>
        </w:tc>
        <w:tc>
          <w:tcPr>
            <w:tcW w:w="914" w:type="pct"/>
            <w:noWrap w:val="0"/>
            <w:vAlign w:val="center"/>
          </w:tcPr>
          <w:p w14:paraId="2F00A6EE">
            <w:pPr>
              <w:keepNext w:val="0"/>
              <w:keepLines w:val="0"/>
              <w:pageBreakBefore w:val="0"/>
              <w:widowControl w:val="0"/>
              <w:kinsoku/>
              <w:wordWrap/>
              <w:overflowPunct/>
              <w:topLinePunct w:val="0"/>
              <w:autoSpaceDE/>
              <w:autoSpaceDN/>
              <w:bidi w:val="0"/>
              <w:jc w:val="center"/>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单项金额</w:t>
            </w:r>
          </w:p>
          <w:p w14:paraId="3253895D">
            <w:pPr>
              <w:keepNext w:val="0"/>
              <w:keepLines w:val="0"/>
              <w:pageBreakBefore w:val="0"/>
              <w:widowControl w:val="0"/>
              <w:kinsoku/>
              <w:wordWrap/>
              <w:overflowPunct/>
              <w:topLinePunct w:val="0"/>
              <w:autoSpaceDE/>
              <w:autoSpaceDN/>
              <w:bidi w:val="0"/>
              <w:jc w:val="center"/>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小计</w:t>
            </w:r>
            <w:r>
              <w:rPr>
                <w:rFonts w:hint="eastAsia" w:ascii="宋体" w:hAnsi="宋体" w:eastAsia="宋体" w:cs="宋体"/>
                <w:b/>
                <w:bCs/>
                <w:color w:val="auto"/>
                <w:sz w:val="24"/>
                <w:szCs w:val="24"/>
                <w:lang w:eastAsia="zh-CN"/>
              </w:rPr>
              <w:t>（元）</w:t>
            </w:r>
          </w:p>
        </w:tc>
        <w:tc>
          <w:tcPr>
            <w:tcW w:w="925" w:type="pct"/>
            <w:noWrap w:val="0"/>
            <w:vAlign w:val="center"/>
          </w:tcPr>
          <w:p w14:paraId="078FBE8C">
            <w:pPr>
              <w:keepNext w:val="0"/>
              <w:keepLines w:val="0"/>
              <w:pageBreakBefore w:val="0"/>
              <w:widowControl w:val="0"/>
              <w:kinsoku/>
              <w:wordWrap/>
              <w:overflowPunct/>
              <w:topLinePunct w:val="0"/>
              <w:autoSpaceDE/>
              <w:autoSpaceDN/>
              <w:bidi w:val="0"/>
              <w:jc w:val="center"/>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单项</w:t>
            </w:r>
            <w:r>
              <w:rPr>
                <w:rFonts w:hint="eastAsia" w:ascii="宋体" w:hAnsi="宋体" w:eastAsia="宋体" w:cs="宋体"/>
                <w:b/>
                <w:bCs/>
                <w:color w:val="auto"/>
                <w:sz w:val="24"/>
                <w:szCs w:val="24"/>
              </w:rPr>
              <w:t>数量</w:t>
            </w:r>
          </w:p>
          <w:p w14:paraId="3211C4DC">
            <w:pPr>
              <w:keepNext w:val="0"/>
              <w:keepLines w:val="0"/>
              <w:pageBreakBefore w:val="0"/>
              <w:widowControl w:val="0"/>
              <w:kinsoku/>
              <w:wordWrap/>
              <w:overflowPunct/>
              <w:topLinePunct w:val="0"/>
              <w:autoSpaceDE/>
              <w:autoSpaceDN/>
              <w:bidi w:val="0"/>
              <w:jc w:val="center"/>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小计</w:t>
            </w: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万</w:t>
            </w:r>
            <w:r>
              <w:rPr>
                <w:rFonts w:hint="eastAsia" w:ascii="宋体" w:hAnsi="宋体" w:eastAsia="宋体" w:cs="宋体"/>
                <w:b/>
                <w:bCs/>
                <w:color w:val="auto"/>
                <w:sz w:val="24"/>
                <w:szCs w:val="24"/>
                <w:lang w:eastAsia="zh-CN"/>
              </w:rPr>
              <w:t>尾）</w:t>
            </w:r>
          </w:p>
        </w:tc>
      </w:tr>
      <w:tr w14:paraId="401621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7" w:hRule="atLeast"/>
        </w:trPr>
        <w:tc>
          <w:tcPr>
            <w:tcW w:w="346" w:type="pct"/>
            <w:noWrap w:val="0"/>
            <w:vAlign w:val="center"/>
          </w:tcPr>
          <w:p w14:paraId="549B61B2">
            <w:pPr>
              <w:spacing w:line="240" w:lineRule="auto"/>
              <w:jc w:val="center"/>
              <w:rPr>
                <w:rFonts w:hint="eastAsia" w:ascii="宋体" w:hAnsi="宋体" w:eastAsia="宋体" w:cs="宋体"/>
                <w:color w:val="auto"/>
                <w:sz w:val="24"/>
                <w:szCs w:val="24"/>
              </w:rPr>
            </w:pPr>
            <w:r>
              <w:rPr>
                <w:rFonts w:hint="eastAsia" w:ascii="仿宋" w:hAnsi="仿宋" w:eastAsia="仿宋" w:cs="仿宋"/>
                <w:color w:val="auto"/>
                <w:sz w:val="24"/>
                <w:szCs w:val="24"/>
                <w:lang w:val="en-US" w:eastAsia="zh-CN"/>
              </w:rPr>
              <w:t>1</w:t>
            </w:r>
          </w:p>
        </w:tc>
        <w:tc>
          <w:tcPr>
            <w:tcW w:w="1031" w:type="pct"/>
            <w:noWrap w:val="0"/>
            <w:vAlign w:val="center"/>
          </w:tcPr>
          <w:p w14:paraId="7B772D93">
            <w:pPr>
              <w:keepNext w:val="0"/>
              <w:keepLines w:val="0"/>
              <w:widowControl/>
              <w:suppressLineNumbers w:val="0"/>
              <w:jc w:val="left"/>
              <w:textAlignment w:val="center"/>
              <w:rPr>
                <w:rFonts w:hint="eastAsia" w:ascii="宋体" w:hAnsi="宋体" w:eastAsia="宋体" w:cs="宋体"/>
                <w:color w:val="auto"/>
                <w:sz w:val="24"/>
                <w:szCs w:val="24"/>
              </w:rPr>
            </w:pPr>
            <w:r>
              <w:rPr>
                <w:rFonts w:hint="default" w:ascii="仿宋_GB2312" w:hAnsi="宋体" w:eastAsia="仿宋_GB2312" w:cs="仿宋_GB2312"/>
                <w:i w:val="0"/>
                <w:iCs w:val="0"/>
                <w:color w:val="auto"/>
                <w:kern w:val="0"/>
                <w:sz w:val="24"/>
                <w:szCs w:val="24"/>
                <w:u w:val="none"/>
                <w:lang w:val="en-US" w:eastAsia="zh-CN" w:bidi="ar"/>
              </w:rPr>
              <w:t>青石斑鱼苗</w:t>
            </w:r>
          </w:p>
        </w:tc>
        <w:tc>
          <w:tcPr>
            <w:tcW w:w="873" w:type="pct"/>
            <w:noWrap w:val="0"/>
            <w:vAlign w:val="center"/>
          </w:tcPr>
          <w:p w14:paraId="3FE510C5">
            <w:pPr>
              <w:keepNext w:val="0"/>
              <w:keepLines w:val="0"/>
              <w:widowControl/>
              <w:suppressLineNumbers w:val="0"/>
              <w:jc w:val="center"/>
              <w:textAlignment w:val="center"/>
              <w:rPr>
                <w:rFonts w:hint="eastAsia" w:ascii="宋体" w:hAnsi="宋体" w:eastAsia="宋体" w:cs="宋体"/>
                <w:color w:val="auto"/>
                <w:sz w:val="24"/>
                <w:szCs w:val="24"/>
              </w:rPr>
            </w:pPr>
            <w:r>
              <w:rPr>
                <w:rFonts w:hint="eastAsia" w:ascii="宋体" w:hAnsi="宋体" w:eastAsia="宋体" w:cs="宋体"/>
                <w:i w:val="0"/>
                <w:iCs w:val="0"/>
                <w:color w:val="auto"/>
                <w:kern w:val="0"/>
                <w:sz w:val="24"/>
                <w:szCs w:val="24"/>
                <w:u w:val="none"/>
                <w:lang w:val="en-US" w:eastAsia="zh-CN" w:bidi="ar"/>
              </w:rPr>
              <w:t>≥5.5</w:t>
            </w:r>
          </w:p>
        </w:tc>
        <w:tc>
          <w:tcPr>
            <w:tcW w:w="909" w:type="pct"/>
            <w:noWrap w:val="0"/>
            <w:vAlign w:val="center"/>
          </w:tcPr>
          <w:p w14:paraId="45187175">
            <w:pPr>
              <w:keepNext w:val="0"/>
              <w:keepLines w:val="0"/>
              <w:pageBreakBefore w:val="0"/>
              <w:widowControl w:val="0"/>
              <w:kinsoku/>
              <w:wordWrap/>
              <w:overflowPunct/>
              <w:topLinePunct w:val="0"/>
              <w:autoSpaceDE/>
              <w:autoSpaceDN/>
              <w:bidi w:val="0"/>
              <w:jc w:val="right"/>
              <w:textAlignment w:val="auto"/>
              <w:rPr>
                <w:rFonts w:hint="eastAsia" w:ascii="宋体" w:hAnsi="宋体" w:eastAsia="宋体" w:cs="宋体"/>
                <w:color w:val="auto"/>
                <w:sz w:val="24"/>
                <w:szCs w:val="24"/>
              </w:rPr>
            </w:pPr>
          </w:p>
        </w:tc>
        <w:tc>
          <w:tcPr>
            <w:tcW w:w="914" w:type="pct"/>
            <w:noWrap w:val="0"/>
            <w:vAlign w:val="center"/>
          </w:tcPr>
          <w:p w14:paraId="09D1EF6B">
            <w:pPr>
              <w:keepNext w:val="0"/>
              <w:keepLines w:val="0"/>
              <w:pageBreakBefore w:val="0"/>
              <w:widowControl w:val="0"/>
              <w:kinsoku/>
              <w:wordWrap/>
              <w:overflowPunct/>
              <w:topLinePunct w:val="0"/>
              <w:autoSpaceDE/>
              <w:autoSpaceDN/>
              <w:bidi w:val="0"/>
              <w:jc w:val="right"/>
              <w:textAlignment w:val="auto"/>
              <w:rPr>
                <w:rFonts w:hint="eastAsia" w:ascii="宋体" w:hAnsi="宋体" w:eastAsia="宋体" w:cs="宋体"/>
                <w:color w:val="auto"/>
                <w:sz w:val="24"/>
                <w:szCs w:val="24"/>
              </w:rPr>
            </w:pPr>
          </w:p>
        </w:tc>
        <w:tc>
          <w:tcPr>
            <w:tcW w:w="925" w:type="pct"/>
            <w:noWrap w:val="0"/>
            <w:vAlign w:val="center"/>
          </w:tcPr>
          <w:p w14:paraId="0DBD44CA">
            <w:pPr>
              <w:keepNext w:val="0"/>
              <w:keepLines w:val="0"/>
              <w:pageBreakBefore w:val="0"/>
              <w:widowControl w:val="0"/>
              <w:kinsoku/>
              <w:wordWrap/>
              <w:overflowPunct/>
              <w:topLinePunct w:val="0"/>
              <w:autoSpaceDE/>
              <w:autoSpaceDN/>
              <w:bidi w:val="0"/>
              <w:jc w:val="right"/>
              <w:textAlignment w:val="auto"/>
              <w:rPr>
                <w:rFonts w:hint="eastAsia" w:ascii="宋体" w:hAnsi="宋体" w:eastAsia="宋体" w:cs="宋体"/>
                <w:color w:val="auto"/>
                <w:sz w:val="24"/>
                <w:szCs w:val="24"/>
                <w:lang w:eastAsia="zh-CN"/>
              </w:rPr>
            </w:pPr>
          </w:p>
        </w:tc>
      </w:tr>
      <w:tr w14:paraId="2DFE37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346" w:type="pct"/>
            <w:noWrap w:val="0"/>
            <w:vAlign w:val="center"/>
          </w:tcPr>
          <w:p w14:paraId="1FA5D0E5">
            <w:pPr>
              <w:spacing w:line="240" w:lineRule="auto"/>
              <w:jc w:val="center"/>
              <w:rPr>
                <w:rFonts w:hint="eastAsia" w:ascii="宋体" w:hAnsi="宋体" w:eastAsia="宋体" w:cs="宋体"/>
                <w:color w:val="auto"/>
                <w:sz w:val="24"/>
                <w:szCs w:val="24"/>
              </w:rPr>
            </w:pPr>
            <w:r>
              <w:rPr>
                <w:rFonts w:hint="eastAsia" w:ascii="仿宋" w:hAnsi="仿宋" w:eastAsia="仿宋" w:cs="仿宋"/>
                <w:color w:val="auto"/>
                <w:sz w:val="24"/>
                <w:szCs w:val="24"/>
                <w:lang w:val="en-US" w:eastAsia="zh-CN"/>
              </w:rPr>
              <w:t>2</w:t>
            </w:r>
          </w:p>
        </w:tc>
        <w:tc>
          <w:tcPr>
            <w:tcW w:w="1031" w:type="pct"/>
            <w:noWrap w:val="0"/>
            <w:vAlign w:val="center"/>
          </w:tcPr>
          <w:p w14:paraId="16B4EFB7">
            <w:pPr>
              <w:keepNext w:val="0"/>
              <w:keepLines w:val="0"/>
              <w:widowControl/>
              <w:suppressLineNumbers w:val="0"/>
              <w:jc w:val="left"/>
              <w:textAlignment w:val="center"/>
              <w:rPr>
                <w:rFonts w:hint="eastAsia" w:ascii="宋体" w:hAnsi="宋体" w:eastAsia="宋体" w:cs="宋体"/>
                <w:color w:val="auto"/>
                <w:sz w:val="24"/>
                <w:szCs w:val="24"/>
              </w:rPr>
            </w:pPr>
            <w:r>
              <w:rPr>
                <w:rFonts w:hint="eastAsia" w:ascii="宋体" w:hAnsi="宋体" w:eastAsia="宋体" w:cs="宋体"/>
                <w:i w:val="0"/>
                <w:iCs w:val="0"/>
                <w:color w:val="auto"/>
                <w:kern w:val="0"/>
                <w:sz w:val="24"/>
                <w:szCs w:val="24"/>
                <w:u w:val="none"/>
                <w:lang w:val="en-US" w:eastAsia="zh-CN" w:bidi="ar"/>
              </w:rPr>
              <w:t>红鳍笛鲷苗</w:t>
            </w:r>
          </w:p>
        </w:tc>
        <w:tc>
          <w:tcPr>
            <w:tcW w:w="873" w:type="pct"/>
            <w:noWrap w:val="0"/>
            <w:vAlign w:val="center"/>
          </w:tcPr>
          <w:p w14:paraId="43779A25">
            <w:pPr>
              <w:keepNext w:val="0"/>
              <w:keepLines w:val="0"/>
              <w:widowControl/>
              <w:suppressLineNumbers w:val="0"/>
              <w:jc w:val="center"/>
              <w:textAlignment w:val="center"/>
              <w:rPr>
                <w:rFonts w:hint="eastAsia" w:ascii="宋体" w:hAnsi="宋体" w:eastAsia="宋体" w:cs="宋体"/>
                <w:color w:val="auto"/>
                <w:sz w:val="24"/>
                <w:szCs w:val="24"/>
              </w:rPr>
            </w:pPr>
            <w:r>
              <w:rPr>
                <w:rFonts w:hint="eastAsia" w:ascii="宋体" w:hAnsi="宋体" w:eastAsia="宋体" w:cs="宋体"/>
                <w:i w:val="0"/>
                <w:iCs w:val="0"/>
                <w:color w:val="auto"/>
                <w:kern w:val="0"/>
                <w:sz w:val="24"/>
                <w:szCs w:val="24"/>
                <w:u w:val="none"/>
                <w:lang w:val="en-US" w:eastAsia="zh-CN" w:bidi="ar"/>
              </w:rPr>
              <w:t>≥5.5</w:t>
            </w:r>
          </w:p>
        </w:tc>
        <w:tc>
          <w:tcPr>
            <w:tcW w:w="909" w:type="pct"/>
            <w:noWrap w:val="0"/>
            <w:vAlign w:val="center"/>
          </w:tcPr>
          <w:p w14:paraId="600C6494">
            <w:pPr>
              <w:keepNext w:val="0"/>
              <w:keepLines w:val="0"/>
              <w:pageBreakBefore w:val="0"/>
              <w:widowControl w:val="0"/>
              <w:kinsoku/>
              <w:wordWrap/>
              <w:overflowPunct/>
              <w:topLinePunct w:val="0"/>
              <w:autoSpaceDE/>
              <w:autoSpaceDN/>
              <w:bidi w:val="0"/>
              <w:jc w:val="right"/>
              <w:textAlignment w:val="auto"/>
              <w:rPr>
                <w:rFonts w:hint="eastAsia" w:ascii="宋体" w:hAnsi="宋体" w:eastAsia="宋体" w:cs="宋体"/>
                <w:color w:val="auto"/>
                <w:sz w:val="24"/>
                <w:szCs w:val="24"/>
              </w:rPr>
            </w:pPr>
          </w:p>
        </w:tc>
        <w:tc>
          <w:tcPr>
            <w:tcW w:w="914" w:type="pct"/>
            <w:noWrap w:val="0"/>
            <w:vAlign w:val="center"/>
          </w:tcPr>
          <w:p w14:paraId="73BD31E7">
            <w:pPr>
              <w:keepNext w:val="0"/>
              <w:keepLines w:val="0"/>
              <w:pageBreakBefore w:val="0"/>
              <w:widowControl w:val="0"/>
              <w:kinsoku/>
              <w:wordWrap/>
              <w:overflowPunct/>
              <w:topLinePunct w:val="0"/>
              <w:autoSpaceDE/>
              <w:autoSpaceDN/>
              <w:bidi w:val="0"/>
              <w:jc w:val="right"/>
              <w:textAlignment w:val="auto"/>
              <w:rPr>
                <w:rFonts w:hint="eastAsia" w:ascii="宋体" w:hAnsi="宋体" w:eastAsia="宋体" w:cs="宋体"/>
                <w:color w:val="auto"/>
                <w:sz w:val="24"/>
                <w:szCs w:val="24"/>
              </w:rPr>
            </w:pPr>
          </w:p>
        </w:tc>
        <w:tc>
          <w:tcPr>
            <w:tcW w:w="925" w:type="pct"/>
            <w:noWrap w:val="0"/>
            <w:vAlign w:val="center"/>
          </w:tcPr>
          <w:p w14:paraId="089D9C2C">
            <w:pPr>
              <w:keepNext w:val="0"/>
              <w:keepLines w:val="0"/>
              <w:pageBreakBefore w:val="0"/>
              <w:widowControl w:val="0"/>
              <w:kinsoku/>
              <w:wordWrap/>
              <w:overflowPunct/>
              <w:topLinePunct w:val="0"/>
              <w:autoSpaceDE/>
              <w:autoSpaceDN/>
              <w:bidi w:val="0"/>
              <w:jc w:val="right"/>
              <w:textAlignment w:val="auto"/>
              <w:rPr>
                <w:rFonts w:hint="eastAsia" w:ascii="宋体" w:hAnsi="宋体" w:eastAsia="宋体" w:cs="宋体"/>
                <w:color w:val="auto"/>
                <w:sz w:val="24"/>
                <w:szCs w:val="24"/>
                <w:lang w:eastAsia="zh-CN"/>
              </w:rPr>
            </w:pPr>
          </w:p>
        </w:tc>
      </w:tr>
      <w:tr w14:paraId="63EECD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48" w:hRule="atLeast"/>
        </w:trPr>
        <w:tc>
          <w:tcPr>
            <w:tcW w:w="346" w:type="pct"/>
            <w:noWrap w:val="0"/>
            <w:vAlign w:val="center"/>
          </w:tcPr>
          <w:p w14:paraId="2BADF9E7">
            <w:pPr>
              <w:spacing w:line="240" w:lineRule="auto"/>
              <w:jc w:val="center"/>
              <w:rPr>
                <w:rFonts w:hint="eastAsia" w:ascii="宋体" w:hAnsi="宋体" w:eastAsia="宋体" w:cs="宋体"/>
                <w:color w:val="auto"/>
                <w:sz w:val="24"/>
                <w:szCs w:val="24"/>
              </w:rPr>
            </w:pPr>
            <w:r>
              <w:rPr>
                <w:rFonts w:hint="eastAsia" w:ascii="仿宋" w:hAnsi="仿宋" w:eastAsia="仿宋" w:cs="仿宋"/>
                <w:color w:val="auto"/>
                <w:sz w:val="24"/>
                <w:szCs w:val="24"/>
                <w:lang w:val="en-US" w:eastAsia="zh-CN"/>
              </w:rPr>
              <w:t>3</w:t>
            </w:r>
          </w:p>
        </w:tc>
        <w:tc>
          <w:tcPr>
            <w:tcW w:w="1031" w:type="pct"/>
            <w:noWrap w:val="0"/>
            <w:vAlign w:val="center"/>
          </w:tcPr>
          <w:p w14:paraId="3DA79F42">
            <w:pPr>
              <w:keepNext w:val="0"/>
              <w:keepLines w:val="0"/>
              <w:widowControl/>
              <w:suppressLineNumbers w:val="0"/>
              <w:jc w:val="left"/>
              <w:textAlignment w:val="center"/>
              <w:rPr>
                <w:rFonts w:hint="eastAsia" w:ascii="宋体" w:hAnsi="宋体" w:eastAsia="宋体" w:cs="宋体"/>
                <w:color w:val="auto"/>
                <w:sz w:val="24"/>
                <w:szCs w:val="24"/>
              </w:rPr>
            </w:pPr>
            <w:r>
              <w:rPr>
                <w:rFonts w:hint="eastAsia" w:ascii="宋体" w:hAnsi="宋体" w:eastAsia="宋体" w:cs="宋体"/>
                <w:i w:val="0"/>
                <w:iCs w:val="0"/>
                <w:color w:val="auto"/>
                <w:kern w:val="0"/>
                <w:sz w:val="24"/>
                <w:szCs w:val="24"/>
                <w:u w:val="none"/>
                <w:lang w:val="en-US" w:eastAsia="zh-CN" w:bidi="ar"/>
              </w:rPr>
              <w:t>紫红笛鲷苗</w:t>
            </w:r>
          </w:p>
        </w:tc>
        <w:tc>
          <w:tcPr>
            <w:tcW w:w="873" w:type="pct"/>
            <w:noWrap w:val="0"/>
            <w:vAlign w:val="center"/>
          </w:tcPr>
          <w:p w14:paraId="20ABEC71">
            <w:pPr>
              <w:keepNext w:val="0"/>
              <w:keepLines w:val="0"/>
              <w:widowControl/>
              <w:suppressLineNumbers w:val="0"/>
              <w:jc w:val="center"/>
              <w:textAlignment w:val="center"/>
              <w:rPr>
                <w:rFonts w:hint="eastAsia" w:ascii="宋体" w:hAnsi="宋体" w:eastAsia="宋体" w:cs="宋体"/>
                <w:color w:val="auto"/>
                <w:sz w:val="24"/>
                <w:szCs w:val="24"/>
              </w:rPr>
            </w:pPr>
            <w:r>
              <w:rPr>
                <w:rFonts w:hint="eastAsia" w:ascii="宋体" w:hAnsi="宋体" w:eastAsia="宋体" w:cs="宋体"/>
                <w:i w:val="0"/>
                <w:iCs w:val="0"/>
                <w:color w:val="auto"/>
                <w:kern w:val="0"/>
                <w:sz w:val="24"/>
                <w:szCs w:val="24"/>
                <w:u w:val="none"/>
                <w:lang w:val="en-US" w:eastAsia="zh-CN" w:bidi="ar"/>
              </w:rPr>
              <w:t>≥5.5</w:t>
            </w:r>
          </w:p>
        </w:tc>
        <w:tc>
          <w:tcPr>
            <w:tcW w:w="909" w:type="pct"/>
            <w:noWrap w:val="0"/>
            <w:vAlign w:val="center"/>
          </w:tcPr>
          <w:p w14:paraId="3ED10CB1">
            <w:pPr>
              <w:keepNext w:val="0"/>
              <w:keepLines w:val="0"/>
              <w:pageBreakBefore w:val="0"/>
              <w:widowControl w:val="0"/>
              <w:kinsoku/>
              <w:wordWrap/>
              <w:overflowPunct/>
              <w:topLinePunct w:val="0"/>
              <w:autoSpaceDE/>
              <w:autoSpaceDN/>
              <w:bidi w:val="0"/>
              <w:jc w:val="right"/>
              <w:textAlignment w:val="auto"/>
              <w:rPr>
                <w:rFonts w:hint="eastAsia" w:ascii="宋体" w:hAnsi="宋体" w:eastAsia="宋体" w:cs="宋体"/>
                <w:color w:val="auto"/>
                <w:sz w:val="24"/>
                <w:szCs w:val="24"/>
              </w:rPr>
            </w:pPr>
          </w:p>
        </w:tc>
        <w:tc>
          <w:tcPr>
            <w:tcW w:w="914" w:type="pct"/>
            <w:noWrap w:val="0"/>
            <w:vAlign w:val="center"/>
          </w:tcPr>
          <w:p w14:paraId="38660BB9">
            <w:pPr>
              <w:keepNext w:val="0"/>
              <w:keepLines w:val="0"/>
              <w:pageBreakBefore w:val="0"/>
              <w:widowControl w:val="0"/>
              <w:kinsoku/>
              <w:wordWrap/>
              <w:overflowPunct/>
              <w:topLinePunct w:val="0"/>
              <w:autoSpaceDE/>
              <w:autoSpaceDN/>
              <w:bidi w:val="0"/>
              <w:jc w:val="right"/>
              <w:textAlignment w:val="auto"/>
              <w:rPr>
                <w:rFonts w:hint="eastAsia" w:ascii="宋体" w:hAnsi="宋体" w:eastAsia="宋体" w:cs="宋体"/>
                <w:color w:val="auto"/>
                <w:sz w:val="24"/>
                <w:szCs w:val="24"/>
              </w:rPr>
            </w:pPr>
          </w:p>
        </w:tc>
        <w:tc>
          <w:tcPr>
            <w:tcW w:w="925" w:type="pct"/>
            <w:noWrap w:val="0"/>
            <w:vAlign w:val="center"/>
          </w:tcPr>
          <w:p w14:paraId="4808A3D1">
            <w:pPr>
              <w:keepNext w:val="0"/>
              <w:keepLines w:val="0"/>
              <w:pageBreakBefore w:val="0"/>
              <w:widowControl w:val="0"/>
              <w:kinsoku/>
              <w:wordWrap/>
              <w:overflowPunct/>
              <w:topLinePunct w:val="0"/>
              <w:autoSpaceDE/>
              <w:autoSpaceDN/>
              <w:bidi w:val="0"/>
              <w:jc w:val="right"/>
              <w:textAlignment w:val="auto"/>
              <w:rPr>
                <w:rFonts w:hint="eastAsia" w:ascii="宋体" w:hAnsi="宋体" w:eastAsia="宋体" w:cs="宋体"/>
                <w:color w:val="auto"/>
                <w:sz w:val="24"/>
                <w:szCs w:val="24"/>
              </w:rPr>
            </w:pPr>
          </w:p>
        </w:tc>
      </w:tr>
      <w:tr w14:paraId="3DDDB3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346" w:type="pct"/>
            <w:noWrap w:val="0"/>
            <w:vAlign w:val="center"/>
          </w:tcPr>
          <w:p w14:paraId="1C696117">
            <w:pPr>
              <w:spacing w:line="240" w:lineRule="auto"/>
              <w:jc w:val="center"/>
              <w:rPr>
                <w:rFonts w:hint="eastAsia" w:ascii="宋体" w:hAnsi="宋体" w:eastAsia="宋体" w:cs="宋体"/>
                <w:color w:val="auto"/>
                <w:sz w:val="24"/>
                <w:szCs w:val="24"/>
              </w:rPr>
            </w:pPr>
            <w:r>
              <w:rPr>
                <w:rFonts w:hint="eastAsia" w:ascii="仿宋" w:hAnsi="仿宋" w:eastAsia="仿宋" w:cs="仿宋"/>
                <w:color w:val="auto"/>
                <w:sz w:val="24"/>
                <w:szCs w:val="24"/>
                <w:lang w:val="en-US" w:eastAsia="zh-CN"/>
              </w:rPr>
              <w:t>4</w:t>
            </w:r>
          </w:p>
        </w:tc>
        <w:tc>
          <w:tcPr>
            <w:tcW w:w="1031" w:type="pct"/>
            <w:noWrap w:val="0"/>
            <w:vAlign w:val="center"/>
          </w:tcPr>
          <w:p w14:paraId="123C2A24">
            <w:pPr>
              <w:keepNext w:val="0"/>
              <w:keepLines w:val="0"/>
              <w:widowControl/>
              <w:suppressLineNumbers w:val="0"/>
              <w:jc w:val="left"/>
              <w:textAlignment w:val="center"/>
              <w:rPr>
                <w:rFonts w:hint="eastAsia" w:ascii="宋体" w:hAnsi="宋体" w:eastAsia="宋体" w:cs="宋体"/>
                <w:color w:val="auto"/>
                <w:sz w:val="24"/>
                <w:szCs w:val="24"/>
                <w:lang w:eastAsia="zh-CN"/>
              </w:rPr>
            </w:pPr>
            <w:r>
              <w:rPr>
                <w:rFonts w:hint="eastAsia" w:ascii="宋体" w:hAnsi="宋体" w:eastAsia="宋体" w:cs="宋体"/>
                <w:i w:val="0"/>
                <w:iCs w:val="0"/>
                <w:color w:val="auto"/>
                <w:kern w:val="0"/>
                <w:sz w:val="24"/>
                <w:szCs w:val="24"/>
                <w:u w:val="none"/>
                <w:lang w:val="en-US" w:eastAsia="zh-CN" w:bidi="ar"/>
              </w:rPr>
              <w:t>斑节对虾苗</w:t>
            </w:r>
          </w:p>
        </w:tc>
        <w:tc>
          <w:tcPr>
            <w:tcW w:w="873" w:type="pct"/>
            <w:noWrap w:val="0"/>
            <w:vAlign w:val="center"/>
          </w:tcPr>
          <w:p w14:paraId="5FFAB7BC">
            <w:pPr>
              <w:keepNext w:val="0"/>
              <w:keepLines w:val="0"/>
              <w:widowControl/>
              <w:suppressLineNumbers w:val="0"/>
              <w:jc w:val="center"/>
              <w:textAlignment w:val="center"/>
              <w:rPr>
                <w:rFonts w:hint="eastAsia" w:ascii="宋体" w:hAnsi="宋体" w:eastAsia="宋体" w:cs="宋体"/>
                <w:color w:val="auto"/>
                <w:sz w:val="24"/>
                <w:szCs w:val="24"/>
                <w:lang w:eastAsia="zh-CN"/>
              </w:rPr>
            </w:pPr>
            <w:r>
              <w:rPr>
                <w:rFonts w:hint="eastAsia" w:ascii="宋体" w:hAnsi="宋体" w:eastAsia="宋体" w:cs="宋体"/>
                <w:i w:val="0"/>
                <w:iCs w:val="0"/>
                <w:color w:val="auto"/>
                <w:kern w:val="0"/>
                <w:sz w:val="24"/>
                <w:szCs w:val="24"/>
                <w:u w:val="none"/>
                <w:lang w:val="en-US" w:eastAsia="zh-CN" w:bidi="ar"/>
              </w:rPr>
              <w:t>≥2.5</w:t>
            </w:r>
          </w:p>
        </w:tc>
        <w:tc>
          <w:tcPr>
            <w:tcW w:w="909" w:type="pct"/>
            <w:noWrap w:val="0"/>
            <w:vAlign w:val="center"/>
          </w:tcPr>
          <w:p w14:paraId="44D6C6BF">
            <w:pPr>
              <w:keepNext w:val="0"/>
              <w:keepLines w:val="0"/>
              <w:pageBreakBefore w:val="0"/>
              <w:widowControl w:val="0"/>
              <w:kinsoku/>
              <w:wordWrap/>
              <w:overflowPunct/>
              <w:topLinePunct w:val="0"/>
              <w:autoSpaceDE/>
              <w:autoSpaceDN/>
              <w:bidi w:val="0"/>
              <w:jc w:val="right"/>
              <w:textAlignment w:val="auto"/>
              <w:rPr>
                <w:rFonts w:hint="eastAsia" w:ascii="宋体" w:hAnsi="宋体" w:eastAsia="宋体" w:cs="宋体"/>
                <w:color w:val="auto"/>
                <w:sz w:val="24"/>
                <w:szCs w:val="24"/>
              </w:rPr>
            </w:pPr>
          </w:p>
        </w:tc>
        <w:tc>
          <w:tcPr>
            <w:tcW w:w="914" w:type="pct"/>
            <w:noWrap w:val="0"/>
            <w:vAlign w:val="center"/>
          </w:tcPr>
          <w:p w14:paraId="1D1726D1">
            <w:pPr>
              <w:keepNext w:val="0"/>
              <w:keepLines w:val="0"/>
              <w:pageBreakBefore w:val="0"/>
              <w:widowControl w:val="0"/>
              <w:kinsoku/>
              <w:wordWrap/>
              <w:overflowPunct/>
              <w:topLinePunct w:val="0"/>
              <w:autoSpaceDE/>
              <w:autoSpaceDN/>
              <w:bidi w:val="0"/>
              <w:jc w:val="right"/>
              <w:textAlignment w:val="auto"/>
              <w:rPr>
                <w:rFonts w:hint="eastAsia" w:ascii="宋体" w:hAnsi="宋体" w:eastAsia="宋体" w:cs="宋体"/>
                <w:color w:val="auto"/>
                <w:sz w:val="24"/>
                <w:szCs w:val="24"/>
              </w:rPr>
            </w:pPr>
          </w:p>
        </w:tc>
        <w:tc>
          <w:tcPr>
            <w:tcW w:w="925" w:type="pct"/>
            <w:noWrap w:val="0"/>
            <w:vAlign w:val="center"/>
          </w:tcPr>
          <w:p w14:paraId="06D385B1">
            <w:pPr>
              <w:keepNext w:val="0"/>
              <w:keepLines w:val="0"/>
              <w:pageBreakBefore w:val="0"/>
              <w:widowControl w:val="0"/>
              <w:kinsoku/>
              <w:wordWrap/>
              <w:overflowPunct/>
              <w:topLinePunct w:val="0"/>
              <w:autoSpaceDE/>
              <w:autoSpaceDN/>
              <w:bidi w:val="0"/>
              <w:jc w:val="right"/>
              <w:textAlignment w:val="auto"/>
              <w:rPr>
                <w:rFonts w:hint="eastAsia" w:ascii="宋体" w:hAnsi="宋体" w:eastAsia="宋体" w:cs="宋体"/>
                <w:color w:val="auto"/>
                <w:sz w:val="24"/>
                <w:szCs w:val="24"/>
              </w:rPr>
            </w:pPr>
          </w:p>
        </w:tc>
      </w:tr>
      <w:tr w14:paraId="18FBB0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346" w:type="pct"/>
            <w:noWrap w:val="0"/>
            <w:vAlign w:val="center"/>
          </w:tcPr>
          <w:p w14:paraId="4493FDFD">
            <w:pPr>
              <w:spacing w:line="240" w:lineRule="auto"/>
              <w:jc w:val="center"/>
              <w:rPr>
                <w:rFonts w:hint="eastAsia" w:ascii="宋体" w:hAnsi="宋体" w:eastAsia="宋体" w:cs="宋体"/>
                <w:color w:val="auto"/>
                <w:sz w:val="24"/>
                <w:szCs w:val="24"/>
              </w:rPr>
            </w:pPr>
            <w:r>
              <w:rPr>
                <w:rFonts w:hint="eastAsia" w:ascii="仿宋" w:hAnsi="仿宋" w:eastAsia="仿宋" w:cs="仿宋"/>
                <w:color w:val="auto"/>
                <w:sz w:val="24"/>
                <w:szCs w:val="24"/>
                <w:lang w:val="en-US" w:eastAsia="zh-CN"/>
              </w:rPr>
              <w:t>5</w:t>
            </w:r>
          </w:p>
        </w:tc>
        <w:tc>
          <w:tcPr>
            <w:tcW w:w="1031" w:type="pct"/>
            <w:noWrap w:val="0"/>
            <w:vAlign w:val="center"/>
          </w:tcPr>
          <w:p w14:paraId="24F1865E">
            <w:pPr>
              <w:keepNext w:val="0"/>
              <w:keepLines w:val="0"/>
              <w:widowControl/>
              <w:suppressLineNumbers w:val="0"/>
              <w:jc w:val="left"/>
              <w:textAlignment w:val="center"/>
              <w:rPr>
                <w:rFonts w:hint="eastAsia" w:ascii="宋体" w:hAnsi="宋体" w:eastAsia="宋体" w:cs="宋体"/>
                <w:color w:val="auto"/>
                <w:sz w:val="24"/>
                <w:szCs w:val="24"/>
              </w:rPr>
            </w:pPr>
            <w:r>
              <w:rPr>
                <w:rFonts w:hint="eastAsia" w:ascii="宋体" w:hAnsi="宋体" w:eastAsia="宋体" w:cs="宋体"/>
                <w:i w:val="0"/>
                <w:iCs w:val="0"/>
                <w:color w:val="auto"/>
                <w:kern w:val="0"/>
                <w:sz w:val="24"/>
                <w:szCs w:val="24"/>
                <w:u w:val="none"/>
                <w:lang w:val="en-US" w:eastAsia="zh-CN" w:bidi="ar"/>
              </w:rPr>
              <w:t>中国鲎</w:t>
            </w:r>
          </w:p>
        </w:tc>
        <w:tc>
          <w:tcPr>
            <w:tcW w:w="873" w:type="pct"/>
            <w:noWrap w:val="0"/>
            <w:vAlign w:val="center"/>
          </w:tcPr>
          <w:p w14:paraId="2D137AF9">
            <w:pPr>
              <w:keepNext w:val="0"/>
              <w:keepLines w:val="0"/>
              <w:widowControl/>
              <w:suppressLineNumbers w:val="0"/>
              <w:jc w:val="center"/>
              <w:textAlignment w:val="center"/>
              <w:rPr>
                <w:rFonts w:hint="eastAsia" w:ascii="宋体" w:hAnsi="宋体" w:eastAsia="宋体" w:cs="宋体"/>
                <w:color w:val="auto"/>
                <w:sz w:val="24"/>
                <w:szCs w:val="24"/>
                <w:lang w:eastAsia="zh-CN"/>
              </w:rPr>
            </w:pPr>
            <w:r>
              <w:rPr>
                <w:rFonts w:hint="eastAsia" w:ascii="宋体" w:hAnsi="宋体" w:eastAsia="宋体" w:cs="宋体"/>
                <w:i w:val="0"/>
                <w:iCs w:val="0"/>
                <w:color w:val="auto"/>
                <w:kern w:val="0"/>
                <w:sz w:val="24"/>
                <w:szCs w:val="24"/>
                <w:u w:val="none"/>
                <w:lang w:val="en-US" w:eastAsia="zh-CN" w:bidi="ar"/>
              </w:rPr>
              <w:t>≥0.6</w:t>
            </w:r>
          </w:p>
        </w:tc>
        <w:tc>
          <w:tcPr>
            <w:tcW w:w="909" w:type="pct"/>
            <w:noWrap w:val="0"/>
            <w:vAlign w:val="center"/>
          </w:tcPr>
          <w:p w14:paraId="61F0B827">
            <w:pPr>
              <w:keepNext w:val="0"/>
              <w:keepLines w:val="0"/>
              <w:pageBreakBefore w:val="0"/>
              <w:widowControl w:val="0"/>
              <w:kinsoku/>
              <w:wordWrap/>
              <w:overflowPunct/>
              <w:topLinePunct w:val="0"/>
              <w:autoSpaceDE/>
              <w:autoSpaceDN/>
              <w:bidi w:val="0"/>
              <w:jc w:val="right"/>
              <w:textAlignment w:val="auto"/>
              <w:rPr>
                <w:rFonts w:hint="eastAsia" w:ascii="宋体" w:hAnsi="宋体" w:eastAsia="宋体" w:cs="宋体"/>
                <w:color w:val="auto"/>
                <w:sz w:val="24"/>
                <w:szCs w:val="24"/>
              </w:rPr>
            </w:pPr>
          </w:p>
        </w:tc>
        <w:tc>
          <w:tcPr>
            <w:tcW w:w="914" w:type="pct"/>
            <w:noWrap w:val="0"/>
            <w:vAlign w:val="center"/>
          </w:tcPr>
          <w:p w14:paraId="3EC07059">
            <w:pPr>
              <w:keepNext w:val="0"/>
              <w:keepLines w:val="0"/>
              <w:pageBreakBefore w:val="0"/>
              <w:widowControl w:val="0"/>
              <w:kinsoku/>
              <w:wordWrap/>
              <w:overflowPunct/>
              <w:topLinePunct w:val="0"/>
              <w:autoSpaceDE/>
              <w:autoSpaceDN/>
              <w:bidi w:val="0"/>
              <w:jc w:val="right"/>
              <w:textAlignment w:val="auto"/>
              <w:rPr>
                <w:rFonts w:hint="eastAsia" w:ascii="宋体" w:hAnsi="宋体" w:eastAsia="宋体" w:cs="宋体"/>
                <w:color w:val="auto"/>
                <w:sz w:val="24"/>
                <w:szCs w:val="24"/>
              </w:rPr>
            </w:pPr>
          </w:p>
        </w:tc>
        <w:tc>
          <w:tcPr>
            <w:tcW w:w="925" w:type="pct"/>
            <w:noWrap w:val="0"/>
            <w:vAlign w:val="center"/>
          </w:tcPr>
          <w:p w14:paraId="456C47E5">
            <w:pPr>
              <w:keepNext w:val="0"/>
              <w:keepLines w:val="0"/>
              <w:pageBreakBefore w:val="0"/>
              <w:widowControl w:val="0"/>
              <w:kinsoku/>
              <w:wordWrap/>
              <w:overflowPunct/>
              <w:topLinePunct w:val="0"/>
              <w:autoSpaceDE/>
              <w:autoSpaceDN/>
              <w:bidi w:val="0"/>
              <w:jc w:val="right"/>
              <w:textAlignment w:val="auto"/>
              <w:rPr>
                <w:rFonts w:hint="eastAsia" w:ascii="宋体" w:hAnsi="宋体" w:eastAsia="宋体" w:cs="宋体"/>
                <w:color w:val="auto"/>
                <w:sz w:val="24"/>
                <w:szCs w:val="24"/>
              </w:rPr>
            </w:pPr>
          </w:p>
        </w:tc>
      </w:tr>
      <w:tr w14:paraId="7E86EC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4" w:hRule="atLeast"/>
        </w:trPr>
        <w:tc>
          <w:tcPr>
            <w:tcW w:w="346" w:type="pct"/>
            <w:noWrap w:val="0"/>
            <w:vAlign w:val="center"/>
          </w:tcPr>
          <w:p w14:paraId="40A657B1">
            <w:pPr>
              <w:keepNext w:val="0"/>
              <w:keepLines w:val="0"/>
              <w:pageBreakBefore w:val="0"/>
              <w:widowControl w:val="0"/>
              <w:kinsoku/>
              <w:wordWrap/>
              <w:overflowPunct/>
              <w:topLinePunct w:val="0"/>
              <w:autoSpaceDE/>
              <w:autoSpaceDN/>
              <w:bidi w:val="0"/>
              <w:jc w:val="center"/>
              <w:textAlignment w:val="auto"/>
              <w:rPr>
                <w:rFonts w:hint="eastAsia" w:ascii="宋体" w:hAnsi="宋体" w:eastAsia="宋体" w:cs="宋体"/>
                <w:color w:val="auto"/>
                <w:sz w:val="24"/>
                <w:szCs w:val="24"/>
                <w:lang w:eastAsia="zh-CN"/>
              </w:rPr>
            </w:pPr>
          </w:p>
        </w:tc>
        <w:tc>
          <w:tcPr>
            <w:tcW w:w="1031" w:type="pct"/>
            <w:noWrap w:val="0"/>
            <w:vAlign w:val="center"/>
          </w:tcPr>
          <w:p w14:paraId="3DA33FB1">
            <w:pPr>
              <w:keepNext w:val="0"/>
              <w:keepLines w:val="0"/>
              <w:pageBreakBefore w:val="0"/>
              <w:widowControl w:val="0"/>
              <w:kinsoku/>
              <w:wordWrap/>
              <w:overflowPunct/>
              <w:topLinePunct w:val="0"/>
              <w:autoSpaceDE/>
              <w:autoSpaceDN/>
              <w:bidi w:val="0"/>
              <w:jc w:val="center"/>
              <w:textAlignment w:val="auto"/>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总计</w:t>
            </w:r>
          </w:p>
        </w:tc>
        <w:tc>
          <w:tcPr>
            <w:tcW w:w="873" w:type="pct"/>
            <w:noWrap w:val="0"/>
            <w:vAlign w:val="top"/>
          </w:tcPr>
          <w:p w14:paraId="130C620B">
            <w:pPr>
              <w:keepNext w:val="0"/>
              <w:keepLines w:val="0"/>
              <w:pageBreakBefore w:val="0"/>
              <w:widowControl w:val="0"/>
              <w:kinsoku/>
              <w:wordWrap/>
              <w:overflowPunct/>
              <w:topLinePunct w:val="0"/>
              <w:autoSpaceDE/>
              <w:autoSpaceDN/>
              <w:bidi w:val="0"/>
              <w:textAlignment w:val="auto"/>
              <w:rPr>
                <w:rFonts w:hint="eastAsia" w:ascii="宋体" w:hAnsi="宋体" w:eastAsia="宋体" w:cs="宋体"/>
                <w:b/>
                <w:bCs/>
                <w:color w:val="auto"/>
                <w:sz w:val="24"/>
                <w:szCs w:val="24"/>
                <w:lang w:eastAsia="zh-CN"/>
              </w:rPr>
            </w:pPr>
          </w:p>
        </w:tc>
        <w:tc>
          <w:tcPr>
            <w:tcW w:w="909" w:type="pct"/>
            <w:noWrap w:val="0"/>
            <w:vAlign w:val="center"/>
          </w:tcPr>
          <w:p w14:paraId="35283D35">
            <w:pPr>
              <w:keepNext w:val="0"/>
              <w:keepLines w:val="0"/>
              <w:pageBreakBefore w:val="0"/>
              <w:widowControl w:val="0"/>
              <w:kinsoku/>
              <w:wordWrap/>
              <w:overflowPunct/>
              <w:topLinePunct w:val="0"/>
              <w:autoSpaceDE/>
              <w:autoSpaceDN/>
              <w:bidi w:val="0"/>
              <w:jc w:val="right"/>
              <w:textAlignment w:val="auto"/>
              <w:rPr>
                <w:rFonts w:hint="eastAsia" w:ascii="宋体" w:hAnsi="宋体" w:eastAsia="宋体" w:cs="宋体"/>
                <w:b/>
                <w:bCs/>
                <w:color w:val="auto"/>
                <w:sz w:val="24"/>
                <w:szCs w:val="24"/>
              </w:rPr>
            </w:pPr>
          </w:p>
        </w:tc>
        <w:tc>
          <w:tcPr>
            <w:tcW w:w="914" w:type="pct"/>
            <w:noWrap w:val="0"/>
            <w:vAlign w:val="center"/>
          </w:tcPr>
          <w:p w14:paraId="0F7A3890">
            <w:pPr>
              <w:keepNext w:val="0"/>
              <w:keepLines w:val="0"/>
              <w:pageBreakBefore w:val="0"/>
              <w:widowControl w:val="0"/>
              <w:kinsoku/>
              <w:wordWrap/>
              <w:overflowPunct/>
              <w:topLinePunct w:val="0"/>
              <w:autoSpaceDE/>
              <w:autoSpaceDN/>
              <w:bidi w:val="0"/>
              <w:jc w:val="right"/>
              <w:textAlignment w:val="auto"/>
              <w:rPr>
                <w:rFonts w:hint="eastAsia" w:ascii="宋体" w:hAnsi="宋体" w:eastAsia="宋体" w:cs="宋体"/>
                <w:b/>
                <w:bCs/>
                <w:color w:val="auto"/>
                <w:sz w:val="24"/>
                <w:szCs w:val="24"/>
              </w:rPr>
            </w:pPr>
          </w:p>
        </w:tc>
        <w:tc>
          <w:tcPr>
            <w:tcW w:w="925" w:type="pct"/>
            <w:noWrap w:val="0"/>
            <w:vAlign w:val="center"/>
          </w:tcPr>
          <w:p w14:paraId="7ADCEE59">
            <w:pPr>
              <w:keepNext w:val="0"/>
              <w:keepLines w:val="0"/>
              <w:pageBreakBefore w:val="0"/>
              <w:widowControl w:val="0"/>
              <w:kinsoku/>
              <w:wordWrap/>
              <w:overflowPunct/>
              <w:topLinePunct w:val="0"/>
              <w:autoSpaceDE/>
              <w:autoSpaceDN/>
              <w:bidi w:val="0"/>
              <w:jc w:val="right"/>
              <w:textAlignment w:val="auto"/>
              <w:rPr>
                <w:rFonts w:hint="eastAsia" w:ascii="宋体" w:hAnsi="宋体" w:eastAsia="宋体" w:cs="宋体"/>
                <w:b/>
                <w:bCs/>
                <w:color w:val="auto"/>
                <w:sz w:val="24"/>
                <w:szCs w:val="24"/>
                <w:lang w:eastAsia="zh-CN"/>
              </w:rPr>
            </w:pPr>
          </w:p>
        </w:tc>
      </w:tr>
    </w:tbl>
    <w:p w14:paraId="795635B9">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宋体" w:hAnsi="宋体" w:eastAsia="宋体" w:cs="宋体"/>
          <w:b/>
          <w:bCs/>
          <w:color w:val="auto"/>
          <w:sz w:val="28"/>
          <w:szCs w:val="28"/>
          <w:lang w:val="en-US" w:eastAsia="zh-CN"/>
        </w:rPr>
      </w:pPr>
    </w:p>
    <w:p w14:paraId="242B897A">
      <w:pPr>
        <w:keepNext w:val="0"/>
        <w:keepLines w:val="0"/>
        <w:pageBreakBefore w:val="0"/>
        <w:widowControl w:val="0"/>
        <w:kinsoku/>
        <w:wordWrap/>
        <w:overflowPunct/>
        <w:topLinePunct w:val="0"/>
        <w:autoSpaceDE/>
        <w:autoSpaceDN/>
        <w:bidi w:val="0"/>
        <w:adjustRightInd/>
        <w:snapToGrid/>
        <w:spacing w:line="240" w:lineRule="auto"/>
        <w:ind w:firstLine="562" w:firstLineChars="200"/>
        <w:textAlignment w:val="auto"/>
        <w:rPr>
          <w:rFonts w:hint="eastAsia" w:ascii="宋体" w:hAnsi="宋体" w:eastAsia="宋体" w:cs="宋体"/>
          <w:b/>
          <w:bCs/>
          <w:color w:val="auto"/>
          <w:sz w:val="28"/>
          <w:szCs w:val="28"/>
          <w:lang w:val="en-US"/>
        </w:rPr>
      </w:pPr>
      <w:r>
        <w:rPr>
          <w:rFonts w:hint="eastAsia" w:ascii="宋体" w:hAnsi="宋体" w:eastAsia="宋体" w:cs="宋体"/>
          <w:b/>
          <w:bCs/>
          <w:color w:val="auto"/>
          <w:sz w:val="28"/>
          <w:szCs w:val="28"/>
          <w:lang w:val="en-US" w:eastAsia="zh-CN"/>
        </w:rPr>
        <w:t>二、付款：</w:t>
      </w:r>
    </w:p>
    <w:p w14:paraId="51BCE1C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val="0"/>
          <w:bCs w:val="0"/>
          <w:color w:val="auto"/>
          <w:sz w:val="28"/>
          <w:szCs w:val="24"/>
          <w:lang w:val="en-US" w:eastAsia="zh-CN"/>
        </w:rPr>
        <w:t>(一)本合同签订生效之日起XX个工作日内，甲方凭乙方开具的正式有效 发票向乙方支付本合同标的额XX%预付款，计人民币：大写XXXX(¥XXXXX.00元)。</w:t>
      </w:r>
    </w:p>
    <w:p w14:paraId="4B91CC6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val="0"/>
          <w:bCs w:val="0"/>
          <w:color w:val="auto"/>
          <w:sz w:val="28"/>
          <w:szCs w:val="24"/>
          <w:lang w:val="en-US" w:eastAsia="zh-CN"/>
        </w:rPr>
        <w:t>(二)采购货物全部运达甲方指定地点，经甲方验收合格并在乙方完成全部 鱼苗投放且甲方对乙方提交的相关验收报告资料进行确认后，在XX个工作日内， 甲方凭乙方开具的正式有效发票向乙方一次性支付本合同标的额XX%的货款（尾款）,计人民币：大写：XXXXX (¥XXXX.00元)。</w:t>
      </w:r>
    </w:p>
    <w:p w14:paraId="51F0818B">
      <w:pPr>
        <w:keepNext w:val="0"/>
        <w:keepLines w:val="0"/>
        <w:pageBreakBefore w:val="0"/>
        <w:widowControl w:val="0"/>
        <w:kinsoku/>
        <w:wordWrap/>
        <w:overflowPunct/>
        <w:topLinePunct w:val="0"/>
        <w:autoSpaceDE/>
        <w:autoSpaceDN/>
        <w:bidi w:val="0"/>
        <w:adjustRightInd/>
        <w:snapToGrid/>
        <w:spacing w:line="240" w:lineRule="auto"/>
        <w:ind w:firstLine="562" w:firstLineChars="200"/>
        <w:textAlignment w:val="auto"/>
        <w:rPr>
          <w:rFonts w:hint="eastAsia" w:ascii="宋体" w:hAnsi="宋体" w:eastAsia="宋体" w:cs="宋体"/>
          <w:b/>
          <w:bCs/>
          <w:color w:val="auto"/>
          <w:sz w:val="28"/>
          <w:szCs w:val="24"/>
          <w:lang w:val="en-US" w:eastAsia="zh-CN"/>
        </w:rPr>
      </w:pPr>
      <w:r>
        <w:rPr>
          <w:rFonts w:hint="eastAsia" w:ascii="宋体" w:hAnsi="宋体" w:eastAsia="宋体" w:cs="宋体"/>
          <w:b/>
          <w:bCs/>
          <w:color w:val="auto"/>
          <w:sz w:val="28"/>
          <w:szCs w:val="24"/>
          <w:lang w:val="en-US" w:eastAsia="zh-CN"/>
        </w:rPr>
        <w:t>三、交货</w:t>
      </w:r>
    </w:p>
    <w:p w14:paraId="20B6FA9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val="0"/>
          <w:bCs w:val="0"/>
          <w:color w:val="auto"/>
          <w:sz w:val="28"/>
          <w:szCs w:val="24"/>
          <w:lang w:val="en-US" w:eastAsia="zh-CN"/>
        </w:rPr>
        <w:t>(一)交货方式：鱼苗由乙方负责包装并运送至甲方指定的地点。</w:t>
      </w:r>
    </w:p>
    <w:p w14:paraId="1D08D418">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val="0"/>
          <w:bCs w:val="0"/>
          <w:color w:val="auto"/>
          <w:sz w:val="28"/>
          <w:szCs w:val="24"/>
          <w:lang w:val="en-US" w:eastAsia="zh-CN"/>
        </w:rPr>
        <w:t>(二)乙方将鱼苗运送至甲方指定地点在经甲方验收合格之前，鱼苗的所有权、一切风险责任及由此产生的一切相关费用均由乙方承担，乙方承担把鱼苗按甲方要求合理投放到指定水域，所有的搬卸、投放及运输费用由乙方负责。</w:t>
      </w:r>
    </w:p>
    <w:p w14:paraId="521C9FFC">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val="0"/>
          <w:bCs w:val="0"/>
          <w:color w:val="auto"/>
          <w:sz w:val="28"/>
          <w:szCs w:val="24"/>
          <w:lang w:val="en-US" w:eastAsia="zh-CN"/>
        </w:rPr>
        <w:t>(三)交货时间：从签订合同之日起至</w:t>
      </w:r>
      <w:r>
        <w:rPr>
          <w:rFonts w:hint="eastAsia" w:ascii="宋体" w:hAnsi="宋体" w:cs="宋体"/>
          <w:b w:val="0"/>
          <w:bCs w:val="0"/>
          <w:color w:val="auto"/>
          <w:sz w:val="28"/>
          <w:szCs w:val="24"/>
          <w:lang w:val="en-US" w:eastAsia="zh-CN"/>
        </w:rPr>
        <w:t>2025</w:t>
      </w:r>
      <w:r>
        <w:rPr>
          <w:rFonts w:hint="eastAsia" w:ascii="宋体" w:hAnsi="宋体" w:eastAsia="宋体" w:cs="宋体"/>
          <w:b w:val="0"/>
          <w:bCs w:val="0"/>
          <w:color w:val="auto"/>
          <w:sz w:val="28"/>
          <w:szCs w:val="24"/>
          <w:lang w:val="en-US" w:eastAsia="zh-CN"/>
        </w:rPr>
        <w:t>年XX月XX日前，如有特殊情况 需适当延长时间的，甲乙双方可具体协商解决，或签订补充协议。甲方根据实际 情况确定供苗数量、交货时间和地点，接到甲方交货通知后，乙方应在XX天内把鱼苗运到指定地点。</w:t>
      </w:r>
    </w:p>
    <w:p w14:paraId="50DA60A9">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val="0"/>
          <w:bCs w:val="0"/>
          <w:color w:val="auto"/>
          <w:sz w:val="28"/>
          <w:szCs w:val="24"/>
          <w:lang w:val="en-US" w:eastAsia="zh-CN"/>
        </w:rPr>
        <w:t>(四)交货地点：采购人指定的地点(具体投放地点以实际勘定为准)</w:t>
      </w:r>
    </w:p>
    <w:p w14:paraId="574E26BE">
      <w:pPr>
        <w:keepNext w:val="0"/>
        <w:keepLines w:val="0"/>
        <w:pageBreakBefore w:val="0"/>
        <w:widowControl w:val="0"/>
        <w:kinsoku/>
        <w:wordWrap/>
        <w:overflowPunct/>
        <w:topLinePunct w:val="0"/>
        <w:autoSpaceDE/>
        <w:autoSpaceDN/>
        <w:bidi w:val="0"/>
        <w:adjustRightInd/>
        <w:snapToGrid/>
        <w:spacing w:line="240" w:lineRule="auto"/>
        <w:ind w:firstLine="562"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bCs/>
          <w:color w:val="auto"/>
          <w:sz w:val="28"/>
          <w:szCs w:val="24"/>
          <w:lang w:val="en-US" w:eastAsia="zh-CN"/>
        </w:rPr>
        <w:t>四、货物验收和技术服务</w:t>
      </w:r>
    </w:p>
    <w:p w14:paraId="36F83C72">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val="0"/>
          <w:bCs w:val="0"/>
          <w:color w:val="auto"/>
          <w:sz w:val="28"/>
          <w:szCs w:val="24"/>
          <w:lang w:val="en-US" w:eastAsia="zh-CN"/>
        </w:rPr>
        <w:t>(一)乙方交付的鱼苗必须满足中国法律法规、相关部门的相应产业标准及 本合同的要求。乙方承诺向甲方提供的鱼苗必须是本地种的原种或子一代苗种作为放流品种，在品种、规格、数量上与合同对应，应健康、成熟、品质良好，放 流死亡率不得大于XX‰ ,且乙方须向甲方提交具有法律效力的放流鱼苗检验检疫证明。</w:t>
      </w:r>
    </w:p>
    <w:p w14:paraId="4EF8D09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val="0"/>
          <w:bCs w:val="0"/>
          <w:color w:val="auto"/>
          <w:sz w:val="28"/>
          <w:szCs w:val="24"/>
          <w:lang w:val="en-US" w:eastAsia="zh-CN"/>
        </w:rPr>
        <w:t>(二)若在鱼苗接收验收时发现鱼苗有任何的短少、缺损、缺陷或与合同约 定不符，甲方和乙方代表将制作并签署一份详细验收报告；在乙方未派代表到场 或是不配合签署时，该报告可由甲方单方签署，该报告将作为甲方要求乙方进行 退货、更换或补充发货的有效证据。乙方负责于甲方通知之日起 XX个工作日内 自付费用进行更换、补充发货并送至本合同确定的甲方指定地点，有关费用由乙方承担。</w:t>
      </w:r>
    </w:p>
    <w:p w14:paraId="2738A23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val="0"/>
          <w:bCs w:val="0"/>
          <w:color w:val="auto"/>
          <w:sz w:val="28"/>
          <w:szCs w:val="24"/>
          <w:lang w:val="en-US" w:eastAsia="zh-CN"/>
        </w:rPr>
        <w:t>(三)未能通过甲方验收的鱼苗，以及甲方接收后发现有不符合合同约定的 鱼苗，由乙方自费回收。如乙方未在甲方发出通知后 XX天内收回，则甲方可自 行处理该鱼苗，乙方不得干涉更不得对此向甲方主张任何权利，如甲方处理鱼苗而产生相关费用的，则由乙方全额承担。</w:t>
      </w:r>
    </w:p>
    <w:p w14:paraId="5E553E1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val="0"/>
          <w:bCs w:val="0"/>
          <w:color w:val="auto"/>
          <w:sz w:val="28"/>
          <w:szCs w:val="24"/>
          <w:lang w:val="en-US" w:eastAsia="zh-CN"/>
        </w:rPr>
        <w:t>(四)甲方聘请技术支撑单位的技术人员、公证人员等有关人员，进行品种规格的认定、测算和计数，并形成正式验收材料。</w:t>
      </w:r>
    </w:p>
    <w:p w14:paraId="4DADE702">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val="0"/>
          <w:bCs w:val="0"/>
          <w:color w:val="auto"/>
          <w:sz w:val="28"/>
          <w:szCs w:val="24"/>
          <w:lang w:val="en-US" w:eastAsia="zh-CN"/>
        </w:rPr>
        <w:t>五、违约责任及侵权处理</w:t>
      </w:r>
    </w:p>
    <w:p w14:paraId="65CD9C8D">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val="0"/>
          <w:bCs w:val="0"/>
          <w:color w:val="auto"/>
          <w:sz w:val="28"/>
          <w:szCs w:val="24"/>
          <w:lang w:val="en-US" w:eastAsia="zh-CN"/>
        </w:rPr>
        <w:t>(一)甲方违约责任</w:t>
      </w:r>
    </w:p>
    <w:p w14:paraId="5E9D78AB">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val="0"/>
          <w:bCs w:val="0"/>
          <w:color w:val="auto"/>
          <w:sz w:val="28"/>
          <w:szCs w:val="24"/>
          <w:lang w:val="en-US" w:eastAsia="zh-CN"/>
        </w:rPr>
        <w:t>1、乙方提供的鱼苗符合合同约定条件而甲方无正当理由拒绝接受鱼苗的， 甲方应向乙方支付合同总价XX% 的违约金。因财政审批或拨款延迟等非甲方过错原因导致甲方付款延期的，乙方表示谅解，不视为甲方违约。</w:t>
      </w:r>
    </w:p>
    <w:p w14:paraId="1AD79B42">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val="0"/>
          <w:bCs w:val="0"/>
          <w:color w:val="auto"/>
          <w:sz w:val="28"/>
          <w:szCs w:val="24"/>
          <w:lang w:val="en-US" w:eastAsia="zh-CN"/>
        </w:rPr>
        <w:t>(二)乙方违约责任</w:t>
      </w:r>
    </w:p>
    <w:p w14:paraId="4E53CEF1">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p>
    <w:p w14:paraId="6407BADB">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val="0"/>
          <w:bCs w:val="0"/>
          <w:color w:val="auto"/>
          <w:sz w:val="28"/>
          <w:szCs w:val="24"/>
          <w:lang w:val="en-US" w:eastAsia="zh-CN"/>
        </w:rPr>
        <w:t>1、双方应当按照合同规定的期限履行义务。对于因乙方原因使得交货、验 收等任一阶段工作延误的，每延迟一天，乙方应按相当于合同总价XX% 的标准向 甲方支付违约金，以此类推。因任一阶段工作延迟而使甲方额外增加的各项费用 由乙方承担。如乙方任一阶段工作延迟使甲方遭受损失的，乙方还应承担甲方由 此造成的损失。如乙方延迟累计总天数超过XX天时，甲方有权视情况解除本合 同。该合同解除并不免除乙方根据甲方要求应当承担的上述违约责任。且乙方应将甲方的已付款项予以立即退回。</w:t>
      </w:r>
    </w:p>
    <w:p w14:paraId="025F655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val="0"/>
          <w:bCs w:val="0"/>
          <w:color w:val="auto"/>
          <w:sz w:val="28"/>
          <w:szCs w:val="24"/>
          <w:lang w:val="en-US" w:eastAsia="zh-CN"/>
        </w:rPr>
        <w:t>2、对于乙方根据本合同约定应当承担的各项违约金及损失赔偿，甲方均有权依据本合同规定从应支付乙方的款项中扣除。</w:t>
      </w:r>
    </w:p>
    <w:p w14:paraId="5E7E7CE5">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val="0"/>
          <w:bCs w:val="0"/>
          <w:color w:val="auto"/>
          <w:sz w:val="28"/>
          <w:szCs w:val="24"/>
          <w:lang w:val="en-US" w:eastAsia="zh-CN"/>
        </w:rPr>
        <w:t>3、如乙方提供的鱼苗不符合合同要求或者质量、功能存在瑕疵，或者甲方使用乙方提供的鱼苗造成他人财产损害的，乙方应向甲方支付本合同总XX%的违约金，并承担相应赔偿责任；如导致甲方对外产生赔偿责任的，则甲方有权 向乙方追偿，追偿金额范围包括但不仅限于赔偿款、律师费、保全费、保函费等一切相关费用。</w:t>
      </w:r>
    </w:p>
    <w:p w14:paraId="5B6EC133">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val="0"/>
          <w:bCs w:val="0"/>
          <w:color w:val="auto"/>
          <w:sz w:val="28"/>
          <w:szCs w:val="24"/>
          <w:lang w:val="en-US" w:eastAsia="zh-CN"/>
        </w:rPr>
        <w:t>六、不可抗力</w:t>
      </w:r>
    </w:p>
    <w:p w14:paraId="6225020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val="0"/>
          <w:bCs w:val="0"/>
          <w:color w:val="auto"/>
          <w:sz w:val="28"/>
          <w:szCs w:val="24"/>
          <w:lang w:val="en-US" w:eastAsia="zh-CN"/>
        </w:rPr>
        <w:t>(一)本合同所称不可抗力，是指本合同各方不能预见，而且对其发生和后 果不能防止或不能避免且不可克服的客观情况，包括但不限于：战争、严重火灾、洪水、台风、地震、国家政策的重大改制等。</w:t>
      </w:r>
    </w:p>
    <w:p w14:paraId="720052AC">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val="0"/>
          <w:bCs w:val="0"/>
          <w:color w:val="auto"/>
          <w:sz w:val="28"/>
          <w:szCs w:val="24"/>
          <w:lang w:val="en-US" w:eastAsia="zh-CN"/>
        </w:rPr>
        <w:t>(二)本合同任何一方因不可抗力不能履行或不能完全履行本合同的义务时， 应在不可抗力发生之日起XX天内通知本合同的其他方，并在不可抗力发生之日起XX天内向其他方提供由有关部门出具的不可抗力证明。</w:t>
      </w:r>
    </w:p>
    <w:p w14:paraId="2EC0A03E">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val="0"/>
          <w:bCs w:val="0"/>
          <w:color w:val="auto"/>
          <w:sz w:val="28"/>
          <w:szCs w:val="24"/>
          <w:lang w:val="en-US" w:eastAsia="zh-CN"/>
        </w:rPr>
        <w:t>(三)因不可抗力不能履行合同的，根据不可抗力的影响，受影响方部分或 全部免除责任，但法律另有规定的除外，延迟履行合同后发生不可抗力的，不能免除责任。</w:t>
      </w:r>
    </w:p>
    <w:p w14:paraId="0E1F4D3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val="0"/>
          <w:bCs w:val="0"/>
          <w:color w:val="auto"/>
          <w:sz w:val="28"/>
          <w:szCs w:val="24"/>
          <w:lang w:val="en-US" w:eastAsia="zh-CN"/>
        </w:rPr>
        <w:t>(四)如果因不可抗力的影响致使本合同终止履行XX天或以上的，任一方均有权终止本合同，并书面通知对方。</w:t>
      </w:r>
    </w:p>
    <w:p w14:paraId="5DEA2653">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val="0"/>
          <w:bCs w:val="0"/>
          <w:color w:val="auto"/>
          <w:sz w:val="28"/>
          <w:szCs w:val="24"/>
          <w:lang w:val="en-US" w:eastAsia="zh-CN"/>
        </w:rPr>
        <w:t>七、双方的银行信息</w:t>
      </w:r>
    </w:p>
    <w:p w14:paraId="0C81113E">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val="0"/>
          <w:bCs w:val="0"/>
          <w:color w:val="auto"/>
          <w:sz w:val="28"/>
          <w:szCs w:val="24"/>
          <w:lang w:val="en-US" w:eastAsia="zh-CN"/>
        </w:rPr>
        <w:t>开户银行名称、地址和帐号</w:t>
      </w:r>
    </w:p>
    <w:p w14:paraId="35612BC8">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val="0"/>
          <w:bCs w:val="0"/>
          <w:color w:val="auto"/>
          <w:sz w:val="28"/>
          <w:szCs w:val="24"/>
          <w:lang w:val="en-US" w:eastAsia="zh-CN"/>
        </w:rPr>
        <w:t xml:space="preserve">（一）甲方                     </w:t>
      </w:r>
    </w:p>
    <w:p w14:paraId="55C45C6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val="0"/>
          <w:bCs w:val="0"/>
          <w:color w:val="auto"/>
          <w:sz w:val="28"/>
          <w:szCs w:val="24"/>
          <w:lang w:val="en-US" w:eastAsia="zh-CN"/>
        </w:rPr>
        <w:t>开户银行：</w:t>
      </w:r>
    </w:p>
    <w:p w14:paraId="2CC689E4">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val="0"/>
          <w:bCs w:val="0"/>
          <w:color w:val="auto"/>
          <w:sz w:val="28"/>
          <w:szCs w:val="24"/>
          <w:lang w:val="en-US" w:eastAsia="zh-CN"/>
        </w:rPr>
        <w:t>开户名称：</w:t>
      </w:r>
    </w:p>
    <w:p w14:paraId="2E8D7CFA">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val="0"/>
          <w:bCs w:val="0"/>
          <w:color w:val="auto"/>
          <w:sz w:val="28"/>
          <w:szCs w:val="24"/>
          <w:lang w:val="en-US" w:eastAsia="zh-CN"/>
        </w:rPr>
        <w:t xml:space="preserve">帐号：                      </w:t>
      </w:r>
    </w:p>
    <w:p w14:paraId="2F4A2532">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val="0"/>
          <w:bCs w:val="0"/>
          <w:color w:val="auto"/>
          <w:sz w:val="28"/>
          <w:szCs w:val="24"/>
          <w:lang w:val="en-US" w:eastAsia="zh-CN"/>
        </w:rPr>
        <w:t>（二）乙方</w:t>
      </w:r>
    </w:p>
    <w:p w14:paraId="1B9836F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val="0"/>
          <w:bCs w:val="0"/>
          <w:color w:val="auto"/>
          <w:sz w:val="28"/>
          <w:szCs w:val="24"/>
          <w:lang w:val="en-US" w:eastAsia="zh-CN"/>
        </w:rPr>
        <w:t xml:space="preserve">开户银行：                      </w:t>
      </w:r>
    </w:p>
    <w:p w14:paraId="261134B1">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val="0"/>
          <w:bCs w:val="0"/>
          <w:color w:val="auto"/>
          <w:sz w:val="28"/>
          <w:szCs w:val="24"/>
          <w:lang w:val="en-US" w:eastAsia="zh-CN"/>
        </w:rPr>
        <w:t xml:space="preserve">开户名称：                      </w:t>
      </w:r>
    </w:p>
    <w:p w14:paraId="5220244E">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val="0"/>
          <w:bCs w:val="0"/>
          <w:color w:val="auto"/>
          <w:sz w:val="28"/>
          <w:szCs w:val="24"/>
          <w:lang w:val="en-US" w:eastAsia="zh-CN"/>
        </w:rPr>
        <w:t>帐号：</w:t>
      </w:r>
    </w:p>
    <w:p w14:paraId="428E3384">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val="0"/>
          <w:bCs w:val="0"/>
          <w:color w:val="auto"/>
          <w:sz w:val="28"/>
          <w:szCs w:val="24"/>
          <w:lang w:val="en-US" w:eastAsia="zh-CN"/>
        </w:rPr>
        <w:t>八、合同纠纷处理</w:t>
      </w:r>
    </w:p>
    <w:p w14:paraId="2017E64E">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val="0"/>
          <w:bCs w:val="0"/>
          <w:color w:val="auto"/>
          <w:sz w:val="28"/>
          <w:szCs w:val="24"/>
          <w:lang w:val="en-US" w:eastAsia="zh-CN"/>
        </w:rPr>
        <w:t>本合同执行过程中如发生纠纷，作如下处理：</w:t>
      </w:r>
    </w:p>
    <w:p w14:paraId="6B02C1DC">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val="0"/>
          <w:bCs w:val="0"/>
          <w:color w:val="auto"/>
          <w:sz w:val="28"/>
          <w:szCs w:val="24"/>
          <w:lang w:val="en-US" w:eastAsia="zh-CN"/>
        </w:rPr>
        <w:t>双方因履行本合同而发生的争议，应协商解决。协商不成的，应向甲方所在地有管辖权的人民法院起诉。</w:t>
      </w:r>
    </w:p>
    <w:p w14:paraId="7D18ED95">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val="0"/>
          <w:bCs w:val="0"/>
          <w:color w:val="auto"/>
          <w:sz w:val="28"/>
          <w:szCs w:val="24"/>
          <w:lang w:val="en-US" w:eastAsia="zh-CN"/>
        </w:rPr>
        <w:t>九、合同生效</w:t>
      </w:r>
    </w:p>
    <w:p w14:paraId="102A214D">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val="0"/>
          <w:bCs w:val="0"/>
          <w:color w:val="auto"/>
          <w:sz w:val="28"/>
          <w:szCs w:val="24"/>
          <w:lang w:val="en-US" w:eastAsia="zh-CN"/>
        </w:rPr>
        <w:t>本合同由甲乙双方签名盖章后生效。</w:t>
      </w:r>
    </w:p>
    <w:p w14:paraId="634ED30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val="0"/>
          <w:bCs w:val="0"/>
          <w:color w:val="auto"/>
          <w:sz w:val="28"/>
          <w:szCs w:val="24"/>
          <w:lang w:val="en-US" w:eastAsia="zh-CN"/>
        </w:rPr>
        <w:t>十、 合同鉴证</w:t>
      </w:r>
    </w:p>
    <w:p w14:paraId="58E182F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val="0"/>
          <w:bCs w:val="0"/>
          <w:color w:val="auto"/>
          <w:sz w:val="28"/>
          <w:szCs w:val="24"/>
          <w:lang w:val="en-US" w:eastAsia="zh-CN"/>
        </w:rPr>
        <w:t>招标代理机构应当在本合同上签章，以证明本合同条款与招标文件、投标文件的相关要求相符并且未对采购货物和技术参数进行实质性修改。</w:t>
      </w:r>
    </w:p>
    <w:p w14:paraId="7EFEA3E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val="0"/>
          <w:bCs w:val="0"/>
          <w:color w:val="auto"/>
          <w:sz w:val="28"/>
          <w:szCs w:val="24"/>
          <w:lang w:val="en-US" w:eastAsia="zh-CN"/>
        </w:rPr>
        <w:t>十一、 组成本合同的文件包括：</w:t>
      </w:r>
    </w:p>
    <w:p w14:paraId="27C4B13D">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val="0"/>
          <w:bCs w:val="0"/>
          <w:color w:val="auto"/>
          <w:sz w:val="28"/>
          <w:szCs w:val="24"/>
          <w:lang w:val="en-US" w:eastAsia="zh-CN"/>
        </w:rPr>
        <w:t>(一)本项目招标文件；</w:t>
      </w:r>
    </w:p>
    <w:p w14:paraId="513F35C5">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val="0"/>
          <w:bCs w:val="0"/>
          <w:color w:val="auto"/>
          <w:sz w:val="28"/>
          <w:szCs w:val="24"/>
          <w:lang w:val="en-US" w:eastAsia="zh-CN"/>
        </w:rPr>
        <w:t>(二)乙方的投标文件和评标时的澄清函(如有);</w:t>
      </w:r>
    </w:p>
    <w:p w14:paraId="73274643">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val="0"/>
          <w:bCs w:val="0"/>
          <w:color w:val="auto"/>
          <w:sz w:val="28"/>
          <w:szCs w:val="24"/>
          <w:lang w:val="en-US" w:eastAsia="zh-CN"/>
        </w:rPr>
        <w:t>(三)中标通知书；</w:t>
      </w:r>
    </w:p>
    <w:p w14:paraId="14B1AEA5">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val="0"/>
          <w:bCs w:val="0"/>
          <w:color w:val="auto"/>
          <w:sz w:val="28"/>
          <w:szCs w:val="24"/>
          <w:lang w:val="en-US" w:eastAsia="zh-CN"/>
        </w:rPr>
        <w:t>(四)甲乙双方商定的其他必要文件。</w:t>
      </w:r>
    </w:p>
    <w:p w14:paraId="1C5D6EF4">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val="0"/>
          <w:bCs w:val="0"/>
          <w:color w:val="auto"/>
          <w:sz w:val="28"/>
          <w:szCs w:val="24"/>
          <w:lang w:val="en-US" w:eastAsia="zh-CN"/>
        </w:rPr>
        <w:t>上述合同文件内容互为补充，如有不明确，由甲方负责解释。</w:t>
      </w:r>
    </w:p>
    <w:p w14:paraId="47E61F53">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val="0"/>
          <w:bCs w:val="0"/>
          <w:color w:val="auto"/>
          <w:sz w:val="28"/>
          <w:szCs w:val="24"/>
          <w:lang w:val="en-US" w:eastAsia="zh-CN"/>
        </w:rPr>
        <w:t>十二、合同备案</w:t>
      </w:r>
    </w:p>
    <w:p w14:paraId="4B986ECA">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4"/>
          <w:lang w:val="en-US" w:eastAsia="zh-CN"/>
        </w:rPr>
      </w:pPr>
      <w:r>
        <w:rPr>
          <w:rFonts w:hint="eastAsia" w:ascii="宋体" w:hAnsi="宋体" w:eastAsia="宋体" w:cs="宋体"/>
          <w:b w:val="0"/>
          <w:bCs w:val="0"/>
          <w:color w:val="auto"/>
          <w:sz w:val="28"/>
          <w:szCs w:val="24"/>
          <w:lang w:val="en-US" w:eastAsia="zh-CN"/>
        </w:rPr>
        <w:t>本合同一式伍份，中文书写。甲方贰份、乙方贰份，招标代理机构备案壹份</w:t>
      </w:r>
    </w:p>
    <w:p w14:paraId="3E6BC36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color w:val="auto"/>
          <w:sz w:val="28"/>
          <w:szCs w:val="28"/>
          <w:u w:val="none"/>
          <w:lang w:val="en-US" w:eastAsia="zh-CN"/>
        </w:rPr>
      </w:pPr>
      <w:r>
        <w:rPr>
          <w:rFonts w:hint="eastAsia" w:ascii="宋体" w:hAnsi="宋体" w:eastAsia="宋体" w:cs="宋体"/>
          <w:b w:val="0"/>
          <w:bCs w:val="0"/>
          <w:color w:val="auto"/>
          <w:sz w:val="28"/>
          <w:szCs w:val="28"/>
          <w:u w:val="none"/>
          <w:lang w:val="en-US" w:eastAsia="zh-CN"/>
        </w:rPr>
        <w:t>（以下无正文，为签署页）</w:t>
      </w:r>
    </w:p>
    <w:p w14:paraId="23D96B8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color w:val="auto"/>
          <w:sz w:val="28"/>
          <w:szCs w:val="28"/>
          <w:u w:val="none"/>
          <w:lang w:val="en-US" w:eastAsia="zh-CN"/>
        </w:rPr>
      </w:pPr>
    </w:p>
    <w:p w14:paraId="3284A2E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color w:val="auto"/>
          <w:sz w:val="28"/>
          <w:szCs w:val="28"/>
          <w:u w:val="none"/>
          <w:lang w:val="en-US" w:eastAsia="zh-CN"/>
        </w:rPr>
      </w:pPr>
      <w:r>
        <w:rPr>
          <w:rFonts w:hint="eastAsia" w:ascii="宋体" w:hAnsi="宋体" w:eastAsia="宋体" w:cs="宋体"/>
          <w:b w:val="0"/>
          <w:bCs w:val="0"/>
          <w:color w:val="auto"/>
          <w:sz w:val="28"/>
          <w:szCs w:val="28"/>
          <w:u w:val="none"/>
          <w:lang w:val="en-US" w:eastAsia="zh-CN"/>
        </w:rPr>
        <w:t>甲方（盖章）：</w:t>
      </w:r>
    </w:p>
    <w:p w14:paraId="50839DD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color w:val="auto"/>
          <w:sz w:val="28"/>
          <w:szCs w:val="28"/>
          <w:u w:val="none"/>
          <w:lang w:val="en-US" w:eastAsia="zh-CN"/>
        </w:rPr>
      </w:pPr>
      <w:r>
        <w:rPr>
          <w:rFonts w:hint="eastAsia" w:ascii="宋体" w:hAnsi="宋体" w:eastAsia="宋体" w:cs="宋体"/>
          <w:b w:val="0"/>
          <w:bCs w:val="0"/>
          <w:color w:val="auto"/>
          <w:sz w:val="28"/>
          <w:szCs w:val="28"/>
          <w:u w:val="none"/>
          <w:lang w:val="en-US" w:eastAsia="zh-CN"/>
        </w:rPr>
        <w:t>法定代表人或授权代代表（签名或盖章）：</w:t>
      </w:r>
    </w:p>
    <w:p w14:paraId="3C84D132">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color w:val="auto"/>
          <w:sz w:val="28"/>
          <w:szCs w:val="28"/>
          <w:u w:val="none"/>
          <w:lang w:val="en-US" w:eastAsia="zh-CN"/>
        </w:rPr>
      </w:pPr>
      <w:r>
        <w:rPr>
          <w:rFonts w:hint="eastAsia" w:ascii="宋体" w:hAnsi="宋体" w:eastAsia="宋体" w:cs="宋体"/>
          <w:b w:val="0"/>
          <w:bCs w:val="0"/>
          <w:color w:val="auto"/>
          <w:sz w:val="28"/>
          <w:szCs w:val="28"/>
          <w:u w:val="none"/>
          <w:lang w:val="en-US" w:eastAsia="zh-CN"/>
        </w:rPr>
        <w:t>地址：</w:t>
      </w:r>
    </w:p>
    <w:p w14:paraId="2781EF7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color w:val="auto"/>
          <w:sz w:val="28"/>
          <w:szCs w:val="28"/>
          <w:u w:val="none"/>
          <w:lang w:val="en-US" w:eastAsia="zh-CN"/>
        </w:rPr>
      </w:pPr>
      <w:r>
        <w:rPr>
          <w:rFonts w:hint="eastAsia" w:ascii="宋体" w:hAnsi="宋体" w:eastAsia="宋体" w:cs="宋体"/>
          <w:b w:val="0"/>
          <w:bCs w:val="0"/>
          <w:color w:val="auto"/>
          <w:sz w:val="28"/>
          <w:szCs w:val="28"/>
          <w:u w:val="none"/>
          <w:lang w:val="en-US" w:eastAsia="zh-CN"/>
        </w:rPr>
        <w:t>签约时间：</w:t>
      </w:r>
      <w:r>
        <w:rPr>
          <w:rFonts w:hint="eastAsia" w:ascii="宋体" w:hAnsi="宋体" w:cs="宋体"/>
          <w:b w:val="0"/>
          <w:bCs w:val="0"/>
          <w:color w:val="auto"/>
          <w:sz w:val="28"/>
          <w:szCs w:val="28"/>
          <w:u w:val="none"/>
          <w:lang w:val="en-US" w:eastAsia="zh-CN"/>
        </w:rPr>
        <w:t>2025</w:t>
      </w:r>
      <w:r>
        <w:rPr>
          <w:rFonts w:hint="eastAsia" w:ascii="宋体" w:hAnsi="宋体" w:eastAsia="宋体" w:cs="宋体"/>
          <w:b w:val="0"/>
          <w:bCs w:val="0"/>
          <w:color w:val="auto"/>
          <w:sz w:val="28"/>
          <w:szCs w:val="28"/>
          <w:u w:val="none"/>
          <w:lang w:val="en-US" w:eastAsia="zh-CN"/>
        </w:rPr>
        <w:t xml:space="preserve">年   月   日 </w:t>
      </w:r>
    </w:p>
    <w:p w14:paraId="526234AB">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color w:val="auto"/>
          <w:sz w:val="28"/>
          <w:szCs w:val="28"/>
          <w:u w:val="none"/>
          <w:lang w:val="en-US" w:eastAsia="zh-CN"/>
        </w:rPr>
      </w:pPr>
    </w:p>
    <w:p w14:paraId="4231C2D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color w:val="auto"/>
          <w:sz w:val="28"/>
          <w:szCs w:val="28"/>
          <w:u w:val="none"/>
          <w:lang w:val="en-US" w:eastAsia="zh-CN"/>
        </w:rPr>
      </w:pPr>
    </w:p>
    <w:p w14:paraId="424B3DD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color w:val="auto"/>
          <w:sz w:val="28"/>
          <w:szCs w:val="28"/>
          <w:u w:val="none"/>
          <w:lang w:val="en-US" w:eastAsia="zh-CN"/>
        </w:rPr>
      </w:pPr>
      <w:r>
        <w:rPr>
          <w:rFonts w:hint="eastAsia" w:ascii="宋体" w:hAnsi="宋体" w:eastAsia="宋体" w:cs="宋体"/>
          <w:b w:val="0"/>
          <w:bCs w:val="0"/>
          <w:color w:val="auto"/>
          <w:sz w:val="28"/>
          <w:szCs w:val="28"/>
          <w:u w:val="none"/>
          <w:lang w:val="en-US" w:eastAsia="zh-CN"/>
        </w:rPr>
        <w:t>乙方（盖章）：</w:t>
      </w:r>
    </w:p>
    <w:p w14:paraId="18C6C8A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color w:val="auto"/>
          <w:sz w:val="28"/>
          <w:szCs w:val="28"/>
          <w:u w:val="none"/>
          <w:lang w:val="en-US" w:eastAsia="zh-CN"/>
        </w:rPr>
      </w:pPr>
      <w:r>
        <w:rPr>
          <w:rFonts w:hint="eastAsia" w:ascii="宋体" w:hAnsi="宋体" w:eastAsia="宋体" w:cs="宋体"/>
          <w:b w:val="0"/>
          <w:bCs w:val="0"/>
          <w:color w:val="auto"/>
          <w:sz w:val="28"/>
          <w:szCs w:val="28"/>
          <w:u w:val="none"/>
          <w:lang w:val="en-US" w:eastAsia="zh-CN"/>
        </w:rPr>
        <w:t>法定代表人或授权代代表（签名或盖章）：</w:t>
      </w:r>
    </w:p>
    <w:p w14:paraId="097D894E">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color w:val="auto"/>
          <w:sz w:val="28"/>
          <w:szCs w:val="28"/>
          <w:u w:val="none"/>
          <w:lang w:val="en-US" w:eastAsia="zh-CN"/>
        </w:rPr>
      </w:pPr>
      <w:r>
        <w:rPr>
          <w:rFonts w:hint="eastAsia" w:ascii="宋体" w:hAnsi="宋体" w:eastAsia="宋体" w:cs="宋体"/>
          <w:b w:val="0"/>
          <w:bCs w:val="0"/>
          <w:color w:val="auto"/>
          <w:sz w:val="28"/>
          <w:szCs w:val="28"/>
          <w:u w:val="none"/>
          <w:lang w:val="en-US" w:eastAsia="zh-CN"/>
        </w:rPr>
        <w:t>地址：</w:t>
      </w:r>
    </w:p>
    <w:p w14:paraId="6426E43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color w:val="auto"/>
          <w:sz w:val="28"/>
          <w:szCs w:val="28"/>
          <w:u w:val="none"/>
          <w:lang w:val="en-US" w:eastAsia="zh-CN"/>
        </w:rPr>
      </w:pPr>
      <w:r>
        <w:rPr>
          <w:rFonts w:hint="eastAsia" w:ascii="宋体" w:hAnsi="宋体" w:eastAsia="宋体" w:cs="宋体"/>
          <w:b w:val="0"/>
          <w:bCs w:val="0"/>
          <w:color w:val="auto"/>
          <w:sz w:val="28"/>
          <w:szCs w:val="28"/>
          <w:u w:val="none"/>
          <w:lang w:val="en-US" w:eastAsia="zh-CN"/>
        </w:rPr>
        <w:t>签约时间：</w:t>
      </w:r>
      <w:r>
        <w:rPr>
          <w:rFonts w:hint="eastAsia" w:ascii="宋体" w:hAnsi="宋体" w:cs="宋体"/>
          <w:b w:val="0"/>
          <w:bCs w:val="0"/>
          <w:color w:val="auto"/>
          <w:sz w:val="28"/>
          <w:szCs w:val="28"/>
          <w:u w:val="none"/>
          <w:lang w:val="en-US" w:eastAsia="zh-CN"/>
        </w:rPr>
        <w:t>2025</w:t>
      </w:r>
      <w:r>
        <w:rPr>
          <w:rFonts w:hint="eastAsia" w:ascii="宋体" w:hAnsi="宋体" w:eastAsia="宋体" w:cs="宋体"/>
          <w:b w:val="0"/>
          <w:bCs w:val="0"/>
          <w:color w:val="auto"/>
          <w:sz w:val="28"/>
          <w:szCs w:val="28"/>
          <w:u w:val="none"/>
          <w:lang w:val="en-US" w:eastAsia="zh-CN"/>
        </w:rPr>
        <w:t xml:space="preserve">年   月   日 </w:t>
      </w:r>
    </w:p>
    <w:p w14:paraId="0CDF64BA">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color w:val="auto"/>
          <w:sz w:val="28"/>
          <w:szCs w:val="28"/>
          <w:u w:val="none"/>
          <w:lang w:val="en-US" w:eastAsia="zh-CN"/>
        </w:rPr>
      </w:pPr>
    </w:p>
    <w:p w14:paraId="05E9749C">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宋体" w:hAnsi="宋体" w:eastAsia="宋体" w:cs="宋体"/>
          <w:b/>
          <w:bCs/>
          <w:color w:val="auto"/>
          <w:sz w:val="28"/>
          <w:szCs w:val="28"/>
          <w:u w:val="none"/>
          <w:lang w:val="en-US" w:eastAsia="zh-CN"/>
        </w:rPr>
      </w:pPr>
      <w:r>
        <w:rPr>
          <w:rFonts w:hint="eastAsia" w:ascii="宋体" w:hAnsi="宋体" w:eastAsia="宋体" w:cs="宋体"/>
          <w:b/>
          <w:bCs/>
          <w:color w:val="auto"/>
          <w:sz w:val="28"/>
          <w:szCs w:val="28"/>
          <w:u w:val="none"/>
          <w:lang w:val="en-US" w:eastAsia="zh-CN"/>
        </w:rPr>
        <w:t>合同鉴证</w:t>
      </w:r>
    </w:p>
    <w:p w14:paraId="0302DC1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color w:val="auto"/>
          <w:sz w:val="28"/>
          <w:szCs w:val="28"/>
          <w:u w:val="none"/>
          <w:lang w:val="en-US" w:eastAsia="zh-CN"/>
        </w:rPr>
      </w:pPr>
      <w:r>
        <w:rPr>
          <w:rFonts w:hint="eastAsia" w:ascii="宋体" w:hAnsi="宋体" w:eastAsia="宋体" w:cs="宋体"/>
          <w:b w:val="0"/>
          <w:bCs w:val="0"/>
          <w:color w:val="auto"/>
          <w:sz w:val="28"/>
          <w:szCs w:val="28"/>
          <w:u w:val="none"/>
          <w:lang w:val="en-US" w:eastAsia="zh-CN"/>
        </w:rPr>
        <w:t>采购代理机构：</w:t>
      </w:r>
    </w:p>
    <w:p w14:paraId="6C626D2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color w:val="auto"/>
          <w:sz w:val="28"/>
          <w:szCs w:val="28"/>
          <w:u w:val="none"/>
          <w:lang w:val="en-US" w:eastAsia="zh-CN"/>
        </w:rPr>
      </w:pPr>
      <w:r>
        <w:rPr>
          <w:rFonts w:hint="eastAsia" w:ascii="宋体" w:hAnsi="宋体" w:eastAsia="宋体" w:cs="宋体"/>
          <w:b w:val="0"/>
          <w:bCs w:val="0"/>
          <w:color w:val="auto"/>
          <w:sz w:val="28"/>
          <w:szCs w:val="28"/>
          <w:u w:val="none"/>
          <w:lang w:val="en-US" w:eastAsia="zh-CN"/>
        </w:rPr>
        <w:t>经办人：</w:t>
      </w:r>
    </w:p>
    <w:p w14:paraId="6A25D5F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color w:val="auto"/>
          <w:sz w:val="28"/>
          <w:szCs w:val="28"/>
          <w:u w:val="none"/>
          <w:lang w:val="en-US" w:eastAsia="zh-CN"/>
        </w:rPr>
      </w:pPr>
      <w:r>
        <w:rPr>
          <w:rFonts w:hint="eastAsia" w:ascii="宋体" w:hAnsi="宋体" w:eastAsia="宋体" w:cs="宋体"/>
          <w:b w:val="0"/>
          <w:bCs w:val="0"/>
          <w:color w:val="auto"/>
          <w:sz w:val="28"/>
          <w:szCs w:val="28"/>
          <w:u w:val="none"/>
          <w:lang w:val="en-US" w:eastAsia="zh-CN"/>
        </w:rPr>
        <w:t>日期：</w:t>
      </w:r>
      <w:r>
        <w:rPr>
          <w:rFonts w:hint="eastAsia" w:ascii="宋体" w:hAnsi="宋体" w:cs="宋体"/>
          <w:b w:val="0"/>
          <w:bCs w:val="0"/>
          <w:color w:val="auto"/>
          <w:sz w:val="28"/>
          <w:szCs w:val="28"/>
          <w:u w:val="none"/>
          <w:lang w:val="en-US" w:eastAsia="zh-CN"/>
        </w:rPr>
        <w:t>2025</w:t>
      </w:r>
      <w:r>
        <w:rPr>
          <w:rFonts w:hint="eastAsia" w:ascii="宋体" w:hAnsi="宋体" w:eastAsia="宋体" w:cs="宋体"/>
          <w:b w:val="0"/>
          <w:bCs w:val="0"/>
          <w:color w:val="auto"/>
          <w:sz w:val="28"/>
          <w:szCs w:val="28"/>
          <w:u w:val="none"/>
          <w:lang w:val="en-US" w:eastAsia="zh-CN"/>
        </w:rPr>
        <w:t>年  月   日</w:t>
      </w:r>
    </w:p>
    <w:p w14:paraId="291A747B">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color w:val="auto"/>
          <w:sz w:val="28"/>
          <w:szCs w:val="28"/>
          <w:u w:val="none"/>
          <w:lang w:val="en-US" w:eastAsia="zh-CN"/>
        </w:rPr>
      </w:pPr>
    </w:p>
    <w:p w14:paraId="51072EFC">
      <w:pPr>
        <w:keepNext w:val="0"/>
        <w:keepLines w:val="0"/>
        <w:pageBreakBefore w:val="0"/>
        <w:widowControl w:val="0"/>
        <w:kinsoku/>
        <w:wordWrap/>
        <w:overflowPunct/>
        <w:topLinePunct w:val="0"/>
        <w:autoSpaceDE/>
        <w:autoSpaceDN/>
        <w:bidi w:val="0"/>
        <w:adjustRightInd/>
        <w:snapToGrid/>
        <w:spacing w:line="240" w:lineRule="auto"/>
        <w:jc w:val="right"/>
        <w:textAlignment w:val="auto"/>
        <w:rPr>
          <w:rFonts w:hint="eastAsia" w:ascii="宋体" w:hAnsi="宋体" w:eastAsia="宋体" w:cs="宋体"/>
          <w:b w:val="0"/>
          <w:bCs w:val="0"/>
          <w:color w:val="auto"/>
          <w:sz w:val="28"/>
          <w:szCs w:val="28"/>
          <w:u w:val="none"/>
          <w:lang w:val="en-US" w:eastAsia="zh-CN"/>
        </w:rPr>
      </w:pPr>
      <w:r>
        <w:rPr>
          <w:rFonts w:hint="eastAsia" w:ascii="宋体" w:hAnsi="宋体" w:eastAsia="宋体" w:cs="宋体"/>
          <w:b w:val="0"/>
          <w:bCs w:val="0"/>
          <w:color w:val="auto"/>
          <w:sz w:val="28"/>
          <w:szCs w:val="28"/>
          <w:u w:val="none"/>
          <w:lang w:val="en-US" w:eastAsia="zh-CN"/>
        </w:rPr>
        <w:t>合同签订地点：海南省临高县</w:t>
      </w:r>
    </w:p>
    <w:p w14:paraId="6674E76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6706FF"/>
    <w:rsid w:val="012F12AE"/>
    <w:rsid w:val="01D0719C"/>
    <w:rsid w:val="020C262D"/>
    <w:rsid w:val="021D2978"/>
    <w:rsid w:val="028F54D2"/>
    <w:rsid w:val="03294FDC"/>
    <w:rsid w:val="04841E52"/>
    <w:rsid w:val="048E5DAF"/>
    <w:rsid w:val="073C6DA2"/>
    <w:rsid w:val="0776210B"/>
    <w:rsid w:val="083A27B3"/>
    <w:rsid w:val="0A060D07"/>
    <w:rsid w:val="0A6A2A52"/>
    <w:rsid w:val="0A9A6462"/>
    <w:rsid w:val="0AD87142"/>
    <w:rsid w:val="0AEA4137"/>
    <w:rsid w:val="0B0F2DC9"/>
    <w:rsid w:val="0B3A3A79"/>
    <w:rsid w:val="0BD5788C"/>
    <w:rsid w:val="0C195F8F"/>
    <w:rsid w:val="0C4722B5"/>
    <w:rsid w:val="0D597C25"/>
    <w:rsid w:val="0E624346"/>
    <w:rsid w:val="0F0F6D42"/>
    <w:rsid w:val="10261D4F"/>
    <w:rsid w:val="106E52CC"/>
    <w:rsid w:val="11124D95"/>
    <w:rsid w:val="11815149"/>
    <w:rsid w:val="11E96006"/>
    <w:rsid w:val="130F229A"/>
    <w:rsid w:val="13E8235A"/>
    <w:rsid w:val="15607F9A"/>
    <w:rsid w:val="17E25CDB"/>
    <w:rsid w:val="1918771C"/>
    <w:rsid w:val="191D2BD7"/>
    <w:rsid w:val="1929279E"/>
    <w:rsid w:val="1A960991"/>
    <w:rsid w:val="1B73275F"/>
    <w:rsid w:val="1BA12013"/>
    <w:rsid w:val="1C863629"/>
    <w:rsid w:val="1CE67F8B"/>
    <w:rsid w:val="1E0E12EA"/>
    <w:rsid w:val="1F031941"/>
    <w:rsid w:val="20084BD8"/>
    <w:rsid w:val="209B0D26"/>
    <w:rsid w:val="20AA449B"/>
    <w:rsid w:val="215B3FA9"/>
    <w:rsid w:val="23691056"/>
    <w:rsid w:val="237779BB"/>
    <w:rsid w:val="2387120A"/>
    <w:rsid w:val="23E0299C"/>
    <w:rsid w:val="275D5BF7"/>
    <w:rsid w:val="28214961"/>
    <w:rsid w:val="286B0408"/>
    <w:rsid w:val="28983BA9"/>
    <w:rsid w:val="29EE0ED6"/>
    <w:rsid w:val="29F23C53"/>
    <w:rsid w:val="2A455B26"/>
    <w:rsid w:val="2A6706FF"/>
    <w:rsid w:val="2C0C6035"/>
    <w:rsid w:val="2C323F0D"/>
    <w:rsid w:val="2C8C78F3"/>
    <w:rsid w:val="2E3870C5"/>
    <w:rsid w:val="2E3D6774"/>
    <w:rsid w:val="2EE717EC"/>
    <w:rsid w:val="2EE803D8"/>
    <w:rsid w:val="2F1F384D"/>
    <w:rsid w:val="2FAB1B17"/>
    <w:rsid w:val="30AF18A6"/>
    <w:rsid w:val="30E00D45"/>
    <w:rsid w:val="30E654BD"/>
    <w:rsid w:val="312C1DF5"/>
    <w:rsid w:val="32AA4A97"/>
    <w:rsid w:val="33076E6D"/>
    <w:rsid w:val="33080CD0"/>
    <w:rsid w:val="33A2463F"/>
    <w:rsid w:val="33C40EC3"/>
    <w:rsid w:val="34B95882"/>
    <w:rsid w:val="34F470EF"/>
    <w:rsid w:val="36DD73F9"/>
    <w:rsid w:val="37E26F07"/>
    <w:rsid w:val="38A9297F"/>
    <w:rsid w:val="38E43F5D"/>
    <w:rsid w:val="399149B5"/>
    <w:rsid w:val="3B1A11CE"/>
    <w:rsid w:val="3B430F45"/>
    <w:rsid w:val="3B4B6E70"/>
    <w:rsid w:val="3B5C72CF"/>
    <w:rsid w:val="3E307165"/>
    <w:rsid w:val="3E7546F7"/>
    <w:rsid w:val="3E7F14AB"/>
    <w:rsid w:val="4041463C"/>
    <w:rsid w:val="40D366CF"/>
    <w:rsid w:val="417A73EC"/>
    <w:rsid w:val="418C4B96"/>
    <w:rsid w:val="42DC347E"/>
    <w:rsid w:val="4300442F"/>
    <w:rsid w:val="43FA20B8"/>
    <w:rsid w:val="44203D7B"/>
    <w:rsid w:val="45EB49C9"/>
    <w:rsid w:val="462F6DE4"/>
    <w:rsid w:val="463E381A"/>
    <w:rsid w:val="475A2A6E"/>
    <w:rsid w:val="47694B4C"/>
    <w:rsid w:val="47C40705"/>
    <w:rsid w:val="47F338F7"/>
    <w:rsid w:val="48680A41"/>
    <w:rsid w:val="48794B17"/>
    <w:rsid w:val="48E525EB"/>
    <w:rsid w:val="49580ED3"/>
    <w:rsid w:val="4CBD39D8"/>
    <w:rsid w:val="4E3153AC"/>
    <w:rsid w:val="4E675A10"/>
    <w:rsid w:val="4FC54E54"/>
    <w:rsid w:val="504536BE"/>
    <w:rsid w:val="52006D0A"/>
    <w:rsid w:val="52345ADF"/>
    <w:rsid w:val="52964143"/>
    <w:rsid w:val="52D519E8"/>
    <w:rsid w:val="530E758D"/>
    <w:rsid w:val="53554716"/>
    <w:rsid w:val="535B4915"/>
    <w:rsid w:val="548549AA"/>
    <w:rsid w:val="55806C3F"/>
    <w:rsid w:val="55F341F6"/>
    <w:rsid w:val="56D41314"/>
    <w:rsid w:val="57C25CE6"/>
    <w:rsid w:val="58046326"/>
    <w:rsid w:val="58181984"/>
    <w:rsid w:val="59384371"/>
    <w:rsid w:val="59DA5D9A"/>
    <w:rsid w:val="5A111C53"/>
    <w:rsid w:val="5BAE3AEE"/>
    <w:rsid w:val="5BD35DC6"/>
    <w:rsid w:val="5CE91C4A"/>
    <w:rsid w:val="5D0656C1"/>
    <w:rsid w:val="5E7D233F"/>
    <w:rsid w:val="5EE92875"/>
    <w:rsid w:val="5FC91677"/>
    <w:rsid w:val="62B13CEB"/>
    <w:rsid w:val="63570F4B"/>
    <w:rsid w:val="63C17F07"/>
    <w:rsid w:val="64F77FC5"/>
    <w:rsid w:val="65040DA3"/>
    <w:rsid w:val="658B71F7"/>
    <w:rsid w:val="67091914"/>
    <w:rsid w:val="673D0395"/>
    <w:rsid w:val="68650B1E"/>
    <w:rsid w:val="687C6816"/>
    <w:rsid w:val="68BC2C6B"/>
    <w:rsid w:val="699E738B"/>
    <w:rsid w:val="6A902A10"/>
    <w:rsid w:val="6AD7133B"/>
    <w:rsid w:val="6CB77E6C"/>
    <w:rsid w:val="6CF55BC7"/>
    <w:rsid w:val="6E5F0D85"/>
    <w:rsid w:val="6EF77691"/>
    <w:rsid w:val="6FAC33E4"/>
    <w:rsid w:val="70450C43"/>
    <w:rsid w:val="71184DC4"/>
    <w:rsid w:val="712F4B55"/>
    <w:rsid w:val="71CD5F20"/>
    <w:rsid w:val="73B27CF5"/>
    <w:rsid w:val="73C24749"/>
    <w:rsid w:val="73DB3F9C"/>
    <w:rsid w:val="747C5D64"/>
    <w:rsid w:val="76E0075A"/>
    <w:rsid w:val="795F3BB7"/>
    <w:rsid w:val="79B53617"/>
    <w:rsid w:val="79D547C6"/>
    <w:rsid w:val="79E041CD"/>
    <w:rsid w:val="7B075981"/>
    <w:rsid w:val="7B7F455C"/>
    <w:rsid w:val="7BB60DF3"/>
    <w:rsid w:val="7BBB5B18"/>
    <w:rsid w:val="7DC733C9"/>
    <w:rsid w:val="7EAC00B7"/>
    <w:rsid w:val="7F5F10E3"/>
    <w:rsid w:val="7F6C4C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13"/>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9"/>
    <w:autoRedefine/>
    <w:qFormat/>
    <w:uiPriority w:val="0"/>
    <w:pPr>
      <w:keepNext/>
      <w:keepLines/>
      <w:spacing w:before="340" w:beforeAutospacing="0" w:after="330" w:afterAutospacing="0" w:line="576" w:lineRule="auto"/>
      <w:outlineLvl w:val="0"/>
    </w:pPr>
    <w:rPr>
      <w:rFonts w:ascii="Calibri" w:hAnsi="Calibri" w:cs="黑体"/>
      <w:b/>
      <w:kern w:val="44"/>
    </w:rPr>
  </w:style>
  <w:style w:type="paragraph" w:styleId="3">
    <w:name w:val="heading 2"/>
    <w:basedOn w:val="1"/>
    <w:next w:val="1"/>
    <w:autoRedefine/>
    <w:semiHidden/>
    <w:unhideWhenUsed/>
    <w:qFormat/>
    <w:uiPriority w:val="0"/>
    <w:pPr>
      <w:keepNext/>
      <w:keepLines/>
      <w:spacing w:line="413" w:lineRule="auto"/>
      <w:outlineLvl w:val="1"/>
    </w:pPr>
    <w:rPr>
      <w:rFonts w:ascii="Arial" w:hAnsi="Arial"/>
      <w:b/>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4">
    <w:name w:val="Body Text"/>
    <w:basedOn w:val="1"/>
    <w:next w:val="1"/>
    <w:qFormat/>
    <w:uiPriority w:val="0"/>
    <w:pPr>
      <w:spacing w:after="120"/>
    </w:pPr>
  </w:style>
  <w:style w:type="paragraph" w:styleId="5">
    <w:name w:val="Body Text Indent"/>
    <w:basedOn w:val="1"/>
    <w:next w:val="1"/>
    <w:qFormat/>
    <w:uiPriority w:val="0"/>
    <w:pPr>
      <w:spacing w:after="120"/>
      <w:ind w:left="420" w:leftChars="200"/>
    </w:pPr>
    <w:rPr>
      <w:b/>
      <w:kern w:val="0"/>
      <w:position w:val="-10"/>
      <w:sz w:val="24"/>
      <w:szCs w:val="20"/>
    </w:rPr>
  </w:style>
  <w:style w:type="paragraph" w:styleId="6">
    <w:name w:val="Normal (Web)"/>
    <w:basedOn w:val="1"/>
    <w:next w:val="1"/>
    <w:autoRedefine/>
    <w:qFormat/>
    <w:uiPriority w:val="0"/>
    <w:pPr>
      <w:spacing w:before="0" w:beforeAutospacing="1" w:after="0" w:afterAutospacing="1"/>
      <w:ind w:left="0" w:right="0"/>
      <w:jc w:val="left"/>
    </w:pPr>
    <w:rPr>
      <w:rFonts w:eastAsia="仿宋" w:asciiTheme="minorAscii" w:hAnsiTheme="minorAscii"/>
      <w:kern w:val="0"/>
      <w:sz w:val="28"/>
      <w:szCs w:val="24"/>
      <w:lang w:bidi="ar"/>
    </w:rPr>
  </w:style>
  <w:style w:type="character" w:customStyle="1" w:styleId="9">
    <w:name w:val="标题 1 Char"/>
    <w:link w:val="2"/>
    <w:autoRedefine/>
    <w:qFormat/>
    <w:uiPriority w:val="0"/>
    <w:rPr>
      <w:rFonts w:ascii="Calibri" w:hAnsi="Calibri" w:eastAsia="仿宋" w:cs="黑体"/>
      <w:b/>
      <w:kern w:val="44"/>
      <w:sz w:val="28"/>
    </w:rPr>
  </w:style>
  <w:style w:type="paragraph" w:customStyle="1" w:styleId="10">
    <w:name w:val="样式1"/>
    <w:basedOn w:val="1"/>
    <w:next w:val="1"/>
    <w:qFormat/>
    <w:uiPriority w:val="0"/>
    <w:pPr>
      <w:ind w:firstLine="240" w:firstLineChars="100"/>
    </w:pPr>
    <w:rPr>
      <w:rFonts w:hint="eastAsia" w:ascii="仿宋" w:hAnsi="仿宋" w:cs="仿宋"/>
      <w:color w:val="auto"/>
      <w:sz w:val="24"/>
      <w:szCs w:val="24"/>
    </w:rPr>
  </w:style>
  <w:style w:type="paragraph" w:customStyle="1" w:styleId="11">
    <w:name w:val="样式2"/>
    <w:basedOn w:val="1"/>
    <w:next w:val="1"/>
    <w:qFormat/>
    <w:uiPriority w:val="0"/>
    <w:pPr>
      <w:spacing w:line="500" w:lineRule="exact"/>
      <w:ind w:left="560" w:leftChars="200"/>
    </w:pPr>
    <w:rPr>
      <w:rFonts w:hint="eastAsia" w:ascii="仿宋" w:hAnsi="仿宋"/>
      <w:color w:val="auto"/>
      <w:szCs w:val="28"/>
    </w:rPr>
  </w:style>
  <w:style w:type="paragraph" w:customStyle="1" w:styleId="12">
    <w:name w:val="样式14"/>
    <w:basedOn w:val="1"/>
    <w:next w:val="1"/>
    <w:qFormat/>
    <w:uiPriority w:val="0"/>
    <w:pPr>
      <w:spacing w:line="500" w:lineRule="exact"/>
      <w:ind w:firstLine="560" w:firstLineChars="200"/>
    </w:pPr>
    <w:rPr>
      <w:rFonts w:hint="eastAsia" w:ascii="仿宋" w:hAnsi="仿宋" w:cs="仿宋"/>
      <w:color w:val="auto"/>
    </w:rPr>
  </w:style>
  <w:style w:type="character" w:customStyle="1" w:styleId="13">
    <w:name w:val="小 Char"/>
    <w:link w:val="1"/>
    <w:qFormat/>
    <w:uiPriority w:val="0"/>
    <w:rPr>
      <w:rFonts w:ascii="Times New Roman" w:hAnsi="Times New Roman" w:eastAsia="宋体" w:cs="Times New Roman"/>
      <w:kern w:val="2"/>
      <w:sz w:val="28"/>
      <w:lang w:val="en-US" w:eastAsia="zh-CN" w:bidi="ar-SA"/>
    </w:rPr>
  </w:style>
  <w:style w:type="paragraph" w:customStyle="1" w:styleId="14">
    <w:name w:val="AONormal"/>
    <w:next w:val="1"/>
    <w:qFormat/>
    <w:uiPriority w:val="0"/>
    <w:pPr>
      <w:autoSpaceDE w:val="0"/>
      <w:autoSpaceDN w:val="0"/>
      <w:adjustRightInd w:val="0"/>
      <w:spacing w:line="400" w:lineRule="exact"/>
      <w:ind w:firstLine="440" w:firstLineChars="200"/>
    </w:pPr>
    <w:rPr>
      <w:rFonts w:ascii="华文楷体" w:hAnsi="华文楷体" w:eastAsia="仿宋" w:cs="华文楷体"/>
      <w:sz w:val="28"/>
      <w:szCs w:val="21"/>
      <w:lang w:val="en-US" w:eastAsia="zh-CN" w:bidi="ar-SA"/>
    </w:rPr>
  </w:style>
  <w:style w:type="paragraph" w:customStyle="1" w:styleId="15">
    <w:name w:val="样式15"/>
    <w:basedOn w:val="1"/>
    <w:next w:val="1"/>
    <w:qFormat/>
    <w:uiPriority w:val="0"/>
    <w:pPr>
      <w:spacing w:line="500" w:lineRule="exact"/>
      <w:ind w:firstLine="560" w:firstLineChars="200"/>
    </w:pPr>
    <w:rPr>
      <w:rFonts w:hint="eastAsia" w:ascii="仿宋" w:hAnsi="仿宋" w:cs="仿宋"/>
      <w:color w:val="auto"/>
    </w:rPr>
  </w:style>
  <w:style w:type="paragraph" w:customStyle="1" w:styleId="16">
    <w:name w:val="样式16"/>
    <w:basedOn w:val="1"/>
    <w:next w:val="1"/>
    <w:qFormat/>
    <w:uiPriority w:val="0"/>
    <w:pPr>
      <w:spacing w:line="500" w:lineRule="exact"/>
    </w:pPr>
    <w:rPr>
      <w:rFonts w:hint="eastAsia" w:ascii="Times New Roman" w:hAnsi="Times New Roman"/>
    </w:rPr>
  </w:style>
  <w:style w:type="paragraph" w:customStyle="1" w:styleId="17">
    <w:name w:val="样式17"/>
    <w:basedOn w:val="1"/>
    <w:next w:val="1"/>
    <w:qFormat/>
    <w:uiPriority w:val="0"/>
    <w:pPr>
      <w:jc w:val="center"/>
    </w:pPr>
    <w:rPr>
      <w:rFonts w:hint="eastAsia" w:ascii="仿宋" w:hAnsi="仿宋" w:cs="仿宋"/>
      <w:color w:val="auto"/>
      <w:sz w:val="24"/>
      <w:szCs w:val="24"/>
    </w:rPr>
  </w:style>
  <w:style w:type="paragraph" w:customStyle="1" w:styleId="18">
    <w:name w:val="样式18"/>
    <w:basedOn w:val="1"/>
    <w:next w:val="1"/>
    <w:qFormat/>
    <w:uiPriority w:val="0"/>
    <w:pPr>
      <w:spacing w:line="300" w:lineRule="auto"/>
      <w:ind w:firstLine="240" w:firstLineChars="100"/>
    </w:pPr>
    <w:rPr>
      <w:rFonts w:hint="eastAsia" w:ascii="仿宋" w:hAnsi="仿宋" w:cs="仿宋"/>
      <w:kern w:val="0"/>
      <w:szCs w:val="24"/>
    </w:rPr>
  </w:style>
  <w:style w:type="table" w:customStyle="1" w:styleId="19">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4</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2025-07-17T02:03:00Z</dcterms:created>
  <dc:creator>北大荒</dc:creator>
  <cp:lastModifiedBy>北大荒</cp:lastModifiedBy>
  <dcterms:modified xsi:type="dcterms:W3CDTF">2025-07-17T02:11:40Z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F9F641136579476BAF23626E6F5CFB98_11</vt:lpwstr>
  </property>
  <property fmtid="{D5CDD505-2E9C-101B-9397-08002B2CF9AE}" pid="4" name="KSOTemplateDocerSaveRecord">
    <vt:lpwstr>eyJoZGlkIjoiMmU4M2MwYWQyYzFiOWNiYjczNzQ0YzRiYmVmYzMzNjgiLCJ1c2VySWQiOiIyMzAwMDYxNjkifQ==</vt:lpwstr>
  </property>
</Properties>
</file>