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临高县公安局视频监控修复项目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[HNZZ]20250400002[GK]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临高县公安局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海南中政项目管理有限公司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临高县公安局</w:t>
      </w:r>
      <w:r>
        <w:rPr>
          <w:rFonts w:ascii="仿宋_GB2312" w:hAnsi="仿宋_GB2312" w:cs="仿宋_GB2312" w:eastAsia="仿宋_GB2312"/>
        </w:rPr>
        <w:t xml:space="preserve"> 委托， </w:t>
      </w:r>
      <w:r>
        <w:rPr>
          <w:rFonts w:ascii="仿宋_GB2312" w:hAnsi="仿宋_GB2312" w:cs="仿宋_GB2312" w:eastAsia="仿宋_GB2312"/>
        </w:rPr>
        <w:t>海南中政项目管理有限公司</w:t>
      </w:r>
      <w:r>
        <w:rPr>
          <w:rFonts w:ascii="仿宋_GB2312" w:hAnsi="仿宋_GB2312" w:cs="仿宋_GB2312" w:eastAsia="仿宋_GB2312"/>
        </w:rPr>
        <w:t xml:space="preserve"> 对 </w:t>
      </w:r>
      <w:r>
        <w:rPr>
          <w:rFonts w:ascii="仿宋_GB2312" w:hAnsi="仿宋_GB2312" w:cs="仿宋_GB2312" w:eastAsia="仿宋_GB2312"/>
        </w:rPr>
        <w:t>临高县公安局视频监控修复项目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[HNZZ]20250400002[GK]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临高县公安局视频监控修复项目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9,850,663.00元</w:t>
      </w:r>
      <w:r>
        <w:rPr>
          <w:rFonts w:ascii="仿宋_GB2312" w:hAnsi="仿宋_GB2312" w:cs="仿宋_GB2312" w:eastAsia="仿宋_GB2312"/>
        </w:rPr>
        <w:t>玖佰捌拾伍万零陆佰陆拾叁元整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 240 工作日内完成供货安装及试运行。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临高县公安局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临高县临城镇行政路13号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17700975306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海南中政项目管理有限公司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海南省海口市美兰区美苑路16号春江壹号第9层A901室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13687591839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采购包1：9,850,663.00元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代理服务费收费标准：本项目的招标代理费为¥99592.00元（大写：玖万玖仟伍佰玖拾贰元整）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遵照《政府采购促进中小企业发展管理办法》（财库〔2020〕46号,以下简称《办法 》）执行；财政部《关于进一步加大政府采购支持中小企业力度的通知》（财库〔20 22〕19号，以下简称《通知》），未按要求提供的，视为放弃享受优惠政策。 1.供 应商提供的货物、工程或者服务符合下列情形的，享受本办法规定的中小企业扶持政 策： （一）在货物采购项目中，货物由中小企业制造，即货物由中小企业生产且使用 该中小企业商号或者注册商标； （二）在工程采购项目中，工程由中小企业承建，即 工程施工单位为中小企业； （三）在服务采购项目中，服务由中小企业承接，即提供 服务的人员为中小企业依照《中华人民共和国劳动合同法》订立劳动合同的从业人员 。 2.在货物采购项目中，供应商提供的货物既有中小企业制造货物，也有大型企业制 造货物的，不享受本办法规定的中小企业扶持政策 3.在货物采购项目中，供应商提供 的每个标的均由小微企业制造货物，才能享受本办法规定的中小企业扶持政策。 4.以 联合体形式参加政府采购活动，联合体各方均为中小企业的，联合体视同中小企业。 其中，联合体各方均为小微企业的，联合体视同小微企业. 组成联合体或者接受分包 合同的中小企业与联合体内其他企业、分包企业之间不得存在直接控股、管理关系。 5.专门面向中小企业的采购项目和采购包，不再享受价格评审优惠的扶持政策。 6.中 小企业参加政府采购活动，应当按照本采购文件格式要求提供《中小企业声明函》， 否则不得享受相关中小企业扶持政策。 7.货物服务采购项目给予小微企业的价格扣除 优惠10%。 8.大中型企业与小微企业组成联合体或者大中型企业向小微企业分包的 评审优惠4%。 9.工程类项目为3%优惠政策（包括成员全部为小微企业的联合体）。 10.按照《财政部、司法部关于政府采购支持监狱企业发展有关问题的通知》（财库 〔2014〕68 号）的规定，监狱企业视同小型、微型企业，享受预留份额、评审中价 格扣除等促进中小企业发展的政府采购政策。监狱企业参加政府采购活动时，应当提 供由省级以上监狱管理局、戒毒管理局（含新疆生产建设兵团）出具的属于监狱企业 的证明文件。监狱企业属于小型、微型企业的，不重复享受政策。 11.按照《关于促 进残疾人就业政府采购政策的通知》（财库〔2017〕141 号）的规定，残疾人福利 性单位视同小型、微型企业，享受预留份额、评审中价格扣除等促进中小企业发展的 政府采购政策。残疾人福利性单位参加政府采购活动时，应当提供该通知规定的《残 疾人福利性单位声明函》，并对声明的真实性负责。残疾人福利性单位属于小型、微 型企业的，不重复享受政策。 （四）残疾人就业政府采购优惠政策视同小型、微型企 业的价格给予扣除，扣除后的价格参与评审。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联系人：冯工</w:t>
      </w:r>
    </w:p>
    <w:p>
      <w:pPr>
        <w:pStyle w:val="null3"/>
        <w:jc w:val="left"/>
      </w:pPr>
      <w:r>
        <w:rPr>
          <w:rFonts w:ascii="仿宋_GB2312" w:hAnsi="仿宋_GB2312" w:cs="仿宋_GB2312" w:eastAsia="仿宋_GB2312"/>
        </w:rPr>
        <w:t>联系电话：13687591839</w:t>
      </w:r>
    </w:p>
    <w:p>
      <w:pPr>
        <w:pStyle w:val="null3"/>
        <w:jc w:val="left"/>
      </w:pPr>
      <w:r>
        <w:rPr>
          <w:rFonts w:ascii="仿宋_GB2312" w:hAnsi="仿宋_GB2312" w:cs="仿宋_GB2312" w:eastAsia="仿宋_GB2312"/>
        </w:rPr>
        <w:t>地址：海南省海口市美兰区美苑路16号春江壹号第9层A901室</w:t>
      </w:r>
    </w:p>
    <w:p>
      <w:pPr>
        <w:pStyle w:val="null3"/>
        <w:jc w:val="left"/>
      </w:pPr>
      <w:r>
        <w:rPr>
          <w:rFonts w:ascii="仿宋_GB2312" w:hAnsi="仿宋_GB2312" w:cs="仿宋_GB2312" w:eastAsia="仿宋_GB2312"/>
        </w:rPr>
        <w:t>邮编：570205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color w:val="000000"/>
        </w:rPr>
        <w:t>1、本项目共一个包，采购视频监控设备及配套施工一项。</w:t>
      </w:r>
    </w:p>
    <w:p>
      <w:pPr>
        <w:pStyle w:val="null3"/>
        <w:jc w:val="left"/>
      </w:pPr>
      <w:r>
        <w:rPr>
          <w:rFonts w:ascii="仿宋_GB2312" w:hAnsi="仿宋_GB2312" w:cs="仿宋_GB2312" w:eastAsia="仿宋_GB2312"/>
          <w:sz w:val="19"/>
          <w:color w:val="000000"/>
        </w:rPr>
        <w:t>2、本项目核心产品为：全结构化全景球机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9,850,663.00</w:t>
      </w:r>
    </w:p>
    <w:p>
      <w:pPr>
        <w:pStyle w:val="null3"/>
        <w:jc w:val="left"/>
      </w:pPr>
      <w:r>
        <w:rPr>
          <w:rFonts w:ascii="仿宋_GB2312" w:hAnsi="仿宋_GB2312" w:cs="仿宋_GB2312" w:eastAsia="仿宋_GB2312"/>
        </w:rPr>
        <w:t>采购包最高限价（元）: 9,850,663.00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9,850,663.00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9,850,663.00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【全结构化全景球机】1、像素≥600W，双目全景球机；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【全结构化全景球机】2、全景支持人员密度检测等；细节支持全抓拍、道路监控等；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【全结构化全景球机】3、全景及细节视频图像分辨率均不小于2560x1440；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【全结构化全景球机】4、为保证夜间成像效果，全景通道和细节通道最低照度彩色≤0.0002Lux，黑白≤0.0001Lux；</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【全结构化全景球机】5、摄像机传感器靶面尺寸全景通道和细节通道均不小于 1/1.8英寸；</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【全结构化全景球机】6、支持不小于25倍光学变倍，焦距：全景≥2.8mm；细节≥6.0~150mm；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【全结构化全景球机】7、帧率不低于 25fps，支持双码流；</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【全结构化全景球机】8、支持 H.265、H.264 视频编码格式；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【全结构化全景球机】9、支持 3D 数字降噪、强光抑制、自动光圈、透雾、背光补偿等功能；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【全结构化全景球机】10、支持行人检测、车辆检测、行人加车辆检测三种检测抓拍模式；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【全结构化全景球机】11、支持目标的颜色等属性分析；</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【全结构化全景球机】12、支持识别常见车型、车标、车身颜色及车牌；</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【全结构化全景球机】13、内置补光灯，保证夜间正常进行抓拍；</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【全结构化全景球机】14、应支持水平旋转范围为 360°连续旋转，垂直旋转范围为-20~90°；</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【全结构化全景球机】15、工作温度：-40℃~70℃，防护等级不低于 IP67；</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【全结构化全景球机】16、包含电源、支架等，配置不少于 64G 存储卡；</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【全结构化全景球机】17、符合GB/T 28181-2022标准、GB 35114-2017 A级标准、GA/T 1400标准。</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【全结构化全景球机】18、▲摄像机全景通道≥8颗补光灯，细节通道≥12颗灯补光灯、≥1颗白光警戒灯（需提供公安部权威机构检测报告复印件并加盖原厂商公章证明）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【全结构化全景球机】19、▲摄像机补光灯开启后，光斑位置处补光灯灯珠应肉眼不可见，补光光斑应均匀，无明显波纹状、圆环状、麻点状、 条纹状及不规则亮斑（需提供公安部权威机构检测报告复印件并加盖原厂商公章证明）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【全结构化全景球机】20、▲全景通道：水平视场角≥205°垂直视场角≥85°（需提供公安部权威机构检测报告复印件并加盖原厂商公章证明）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全结构化全景球机】21、▲在低照度情况下，摄像机可检测距摄像机不小于50米处机动车，并抓拍图片、可在WEB客户端显示机动车属性信息，并识别车牌号码（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【全结构化全景球机】22、▲在WEB客户端下，摄像机具有开启、关闭除热浪设置选项（需提供公安部权威机构检测报告复印件并加盖原厂商公章证明）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全结构化全景球机】23、▲支持AI－ISP图像质量提升算法，当环境照度低于设定阈值时，摄像机自动开启A1－ISP图像质量提升算法，使视频图像更清晰（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【全结构化枪机】1、具有双镜头、双通道一体化设计；</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【全结构化枪机】2、通道 1 具有不小于 400 万像素 CMOS 传感器，支持一体化电动变焦镜头，通道 2 具有不小于 400 万像素 CMOS 传感器；</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【全结构化枪机】3、为保证夜间成像效果，最低照度彩色≤0.0005Lux，黑白≤0.0001Lux；</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【全结构化枪机】4、通道1靶面尺寸不小于 1/1.8"、通道2靶面尺寸不小于1/1.8"，帧率不低于 25fps；</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【全结构化枪机】5、支持 H.265、H.264 视频压缩标准；</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【全结构化枪机】6、内置补光灯，保证夜间正常进行抓拍；</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【全结构化枪机】7、支持行人检测、车辆检测、行人加车辆检测三种检测抓拍模式；</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【全结构化枪机】8、支持目标的颜色等属性分析；</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【全结构化枪机】9、支持识别常见车型、车标、车身颜色及车牌；</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【全结构化枪机】10、工作温度：-40℃~70℃，防护等级不低于 IP67；</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【全结构化枪机】11、支持行人、机动车、非机动车属性提取；</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【全结构化枪机】12、包含摄像机护罩、电源、支架等，配置不少于 64G 存储卡；</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【全结构化枪机】13、焦距: 通道1：≥8~32 mm：通道2：≥3.6 mm：；</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【全结构化枪机】14、符合GB/T 28181-2022标准、GB 35114-2017 A级标准、GA/T 1400标准。</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【全结构化枪机】15、▲支持启用或关闭视频内容保护功能。（需提供公安部权威机构检测报告复印件并加盖原厂商公章证明）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【全结构化枪机】16、▲样机可支持内置数字证书，并支持采用数字证书对解码秘钥进行加密（需提供公安部权威机构检测报告复印件并加盖原厂商公章证明）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全结构化枪机】17、▲启用视频内容保护功能后，只有经过授权并具有解码秘钥的用户才能通过平台软件正常播放、回放和下载样机回传的视频数据；（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【全结构化枪机】18、▲为防止补光折射污染，镜头和补光采用上下布局和分舱体设计，镜头舱体凸出于补光平面。 （需提供公安部权威机构检测报告复印件并加盖原厂商公章证明）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【补光灯】1、LED灯珠数量≥16颗；</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【补光灯】2、光通量≥2000 Lm、色温≥3500K；</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【补光灯】3、最大照射距离不低于25米；</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【补光灯】4、工作温度-25℃~+70℃；</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【补光灯】5、防护等级不低于IP66；</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【补光灯】6、支持壁装、吊装安装方式；</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【补光灯】7、符合GA/T 1202-2022《交通技术监控成像补光装置通用技术条件》，基准轴上光照度符合一级标准。</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【背包箱】1、箱体厚度≥1.2mm的铝合金喷塑，然后丝印标志和文字；</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【背包箱】2、箱体尺寸不小于350(宽)*450(高)*200(深)mm；</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【背包箱】3、一个箱体配备两个抱箍，紧固件均热镀锌处理；</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【背包箱】4、箱体内部设安装板，安装板上打孔攻丝并配套支架，便于设备安装； 提供箱体内部安装设备的安装附件和安装螺钉；</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【背包箱】5、箱体安装防水锁，所有锁芯统一钥匙；</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【背包箱】6、整箱防水，箱门内侧粘有密封条，其密封条宽度应大于10mm，并具有一定的厚度，保证箱门的密封性良好；</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【背包箱】7、配63A自动重合闸、二眼插座、三眼插座各1只，配五连排插座1个（5个两孔+5个三孔）；</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【背包箱】8、防浪涌保护器1个：单相AC220V、标准C级防雷要求；</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【背包箱】9、外壳防护等级≥IP66，机械碰撞防护等级≥IK08；</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【背包箱】10、支持检测摄像机工作状态，当接入的摄像机断电或网络断开时，可发送告警信息。</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【8口百兆工业级交换机】1、交换机容量：5.6 Gbps，包转发率：4.17 Mpps；</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【8口百兆工业级交换机】2、8个10/100Base-T电口，2个千兆SFP光口；</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【8口百兆工业级交换机】3、安装方式:导轨安装；</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【8口百兆工业级交换机】4、雷电防护：共模 4 KV，差模 2 KV；</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【8口百兆工业级交换机】5、工作温度：-40 ℃～75 ℃；</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【8口百兆工业级交换机】6、供电方式：DC 12 V~36 V；</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【8口百兆工业级交换机】7、符合IEEE802.3、IEEE802.3u、IEEE802.3x标准；</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【8口百兆工业级交换机】8、全金属外壳，全封闭防尘、宽温设计；</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【防雷器】1、网络（RJ45）+电源（12V/24V/36V）二合一防雷器；</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【防雷器】2、接口型式：网络：RJ45 /电源：接线端子；</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【防雷器】3、标准防雷电流不低于5KA，最大放电电流不低于10KA；</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【防雷器】4、外壳保护等级不低于 IP55；</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【防雷器】5、工作温度：-30℃~+70℃，湿度：5%～95%（无凝露）；</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【防雷器】6、根据摄像机供电不同自行选配。</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【前端配套迁移】基础、钢筋、手孔井、接地、开挖、回埋、修复、施工围护等。</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【电源线】接市电电源线、ZA-RVV 3芯，每芯2.5mm²，按照每个点位平均引电距离为100米。</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【电源线】摄像头电源线、ZA-RVV 3芯，每芯1.5mm²，每个摄像机按照20米计列。</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【网络线】室外超五类网线，每个摄像机按照20米计列。</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【接地线】BV16mm²，每个点按照20米计列。</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【PVC管】PVC管Φ32管径，每个点按照20米计列。</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【过路热镀锌钢管】锌钢管Φ32管径，每个点按照20米计列。</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【施工围护】施工围护。</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【辅材】插座、管材、水晶头、扎带、标签、胶带、抱箍、套管、接头、标识、接线板等其他全部配套材料，要求满足现场施工。</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【配套施工】包括土方开挖、土方回埋、路面开挖、路面切割、布放电源线、布放网线、安装背包箱、安装交换机、安装摄像机、视频监控系统调试，要求满足现场施工。</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【网络存储设备（视频）】1、48盘位磁盘阵列，单设备高度不大于8U；</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【网络存储设备（视频）】2、单设备配置双64位多核处理器，32GB（可扩展至256GB），支持SATA磁盘；</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【网络存储设备（视频）】3、不少于4个千兆网口，1个IPMI管理接口；</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【网络存储设备（视频）】4、支持视音频、图片、直接写入，支持视频高速预览、回放、下载，支持云内容灾备份，支持一体化运维；</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【网络存储设备（视频）】5、支持GB/T28181-2022、Onvif、RTSP、H265、SVAC等标准视频协议；</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【网络存储设备（视频）】6、含国产操作系统；</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【网络存储设备（视频）】7、采用国产C86架构；</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【网络存储设备（视频）】8、含软件扩容授权；</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【网络存储设备（视频）】9、▲在磁盘发生故障导致RAID阵列处于降级／重建状态下，同时写入不小于1024路4Mbps视频流时，数据写入无任何影响（需提供公安部权威机构检测报告复印件并加盖原厂商公章证明）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【网络存储设备（视频）】10、▲可通过管理软件设置NAS的本地备份和远程备份；备份策略可自定义，可设置周期、方向、文件类型（需提供公安部权威机构检测报告复印件并加盖原厂商公章证明）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网络存储设备（视频）】11、▲支持录像极速（不小于40倍速）、高速（不小于8倍速）下载和普通下载；支持按文件、按时间、按标签下载录像，及查看下载管理（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网络存储设备（视频）】12、▲存储主机可通过数码管、指示灯、蜂鸣器告警、邮件告警、SNMPTrap、短信等告警方式对IP冲突、网口降速、电源故障、风扇故障、电池故障及RAID故障、磁盘故障、降级RAID无热备盘等进行告警（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【48盘位 SATA硬盘】企业级硬盘、单块硬盘配置≥16T,7200,3.5,SATA3；</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【高清解码器】1. 不高于 3U 标准机架式机箱；</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【高清解码器】2. 4 路 HDMI 输入+20 路 HDMI 输出；</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【高清解码器】3. 采用嵌入式纯硬件架构,无需其他操作系统；</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【高清解码器】4. 支持根据温度变化自动调整转速，风扇模块支持热插拔操作；</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【高清解码器】5. 支持 H.264/H.265 编码；</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【高清解码器】6. 解码支持 H.265、H.264、MJPEG 等主流的编码格式；</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【高清解码器】7. 支持 4 路高清视频编码能力；</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【高清解码器】8. 支持 160 路高清视频解码能力；</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【高清解码器】9. 解码能力：H264/H265/Smart264/Smart265 格式，10 路3200W/2400W，或 20 路 1600W，或 25 路 1200W，或 40 路 800W，或 50 路 600W，或 80 路 400W，或 160 路 1080P，或 320 路 720P/D1及以下分辨率实时解码；</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【高清解码器】10. 支持以下输入分辨率:1024x768@60Hz、1280x1024@60Hz、1366x768@60Hz、1440x900@60Hz、1680X1050@60Hz、1280X960@60Hz、1600x1200@60Hz、1280x720P@50Hz、1280x720P@60Hz、1920x1080P@50Hz、1920 x1080P@60Hz、1920x1200@60Hz、3840X2160@30Hz；</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【高清解码器】11. 支持以下输出视频分辨率:1024x768@60 Hz、1280x1024@60Hz、1280x720@60Hz、1600x1200@60Hz、1680X1050@60Hz、1920x1200@60Hz、1920x1080@60Hz、3840x2160@30 Hz；</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【高清解码器】12. 支持将远程笔记本桌面进行整屏、单窗口抓屏上墙，实时画面帧率最大&gt;30fps: 支持同时8路4K(3840x2160)信号上墙显示，且上墙前后 CPU 占用率无明显变化;支持在电视墙进行 8 画面分割显示；</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【高清解码器】13. 音频解码格式：G711-A,G711-U,G722.1,G726-16/U/A,MPEG,AAC-LC；</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【高清解码器】14. 支持 20 个显示屏的任意大屏拼接；</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【高清解码器】15. 支持选中取流成功的窗口操作远程云台功能；</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【高清解码器】16. 支持对接入视频图像进行 1/4/6/8/9/16/25 画面分割显示, 视频切换流畅无黑屏；</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【高清解码器】17. 支持开窗和漫游，最多支持 320 个窗口，单屏支持 4 个 1080p或者 2 个 4K；</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【高清解码器】18. 支持电视墙预览；</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【高清解码器】19. 最大支持 128 个预设场景，用户可以自定义每个场景电视墙布局；</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【高清解码器】20. 支持虚拟 LED 功能，最多添加字幕 8 个，单墙 3 个；</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【高清解码器】21. USB 接口：2 个，USB 2.0；</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【高清解码器】22. 串行接口：4 个，1 个 Console 控制口（RJ45 接口）+ 1 个reserve 口（调试预留）+ 2 个 RS485/232 复用口（RJ45 接口）；</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【高清解码器】23.▲设备可接入1～5个机框设备，可接入50个业务板卡并正常工作。（需提供公安部权威机构检测报告复印件并加盖原厂商公章证明）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【高清解码器】24.▲设备的业务板卡槽位可接入多种型号板卡，且输入板卡槽位和输出板卡槽位可进行混插并正常工作。（需提供公安部权威机构检测报告复印件并加盖原厂商公章证明）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高清解码器】25.▲支持远程大屏开关机，支持康冠、双宝来、云汉、畅锐、金荣达、盛显、鑫康、海康、大华、宇视等大屏厂家协议开关机，并支持2种自定义开关机协议（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【高清解码器】26.▲可接入具有视频保护功能的摄像机并对开启该功能后输出的码流进行解码和显示（需提供公安部权威机构检测报告复印件并加盖原厂商公章证明）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高清解码器】27.▲可查看设备的解码信息，包含电视墙名称、窗口序号、分屏序号、源IP地址、源端口、目的板卡、传输模式、分辨率、帧率、编码格式、音频格式、封装格式、实时丢包率、总丢包个数、总收包个数。（需提供公安部权威机构检测报告复印件并加盖原厂商公章证明）</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【辅材】网线、管材、水晶头、扎带、标签、胶带、接线板。</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【UPS主机】1、80KVA，包括整流、逆变、充电和控制系统；</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【UPS主机】2、主机：功率为：80KVA/80KW；三进三出在线式；</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【UPS主机】3、UPS主机具备经济运行模式ECO功能；</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【UPS主机】4、具备直流启动功能，可在无市电的状态下直接启动UPS，满足用户的应急需求；</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【UPS主机】5、市电输入电压 284~475V 三相五线；输入功率因数≥0.99；</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【UPS主机】6、输入频率：45～55/ 55～65HZ，输入电流谐波成分：≤2% ；</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【UPS主机】7、输出电压:380(或400/415)±1%；</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【UPS主机】8、输出频率：市电模式可以进行正负10%上下设置，电池模式50HZ/±0.2%；</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【UPS主机】9、过载能力：负载≤110%，60min；≤125%，10min；≤150%，1min，负载正常后自动恢复；</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【UPS主机】10、UPS 整流器：具有限流功能, 并可做大电流充电、均充、浮充三段式充电, 使电池能快速回充；</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【UPS主机】11、人机交互界面：采用7寸全彩触摸屏显示，显示内容应包含且不仅限于：当前日期、时间、有关运行参数、及历史事件记录等；</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【UPS主机】12、为适应沿海地区高湿高盐，UPS机柜具有防潮功能；</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【UPS主机】13、UPS主机三年免费上门保修，终身维护，所有电池因质量问题可三年免费更换；</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【UPS主机】14、UPS标配防火级防尘网，且具备拆卸和清洗功能设计，防尘网符合防火标准UL94及滤尘网标准UL 900；</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【UPS主机】15、 需采用可靠的并机技术，在并机线通讯异常时需要具有系统保护措施（无单点故障），保障并机系统能正常运行；</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【UPS主机】16、UPS主机对蓄电池组充电电流不低于 100A，可根据现场电池容量设置匹配充电电流；</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【UPS主机】17、UPS智能监控网卡SNMP支持千兆以太网通讯(1000Base-T)，及IPv6。并具备USB调试接口，以备在线调试SNMP设备，适应各类网络环境。同时具备复位按键，可在线重启智能监控网卡，无须重新插拔卡片启动。</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【电气系统配件】供配电系统、配电模块、电缆、塑壳断路器开关、插座、接线盒等。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rPr>
              <w:t xml:space="preserve"> </w:t>
            </w:r>
            <w:r>
              <w:rPr>
                <w:rFonts w:ascii="仿宋_GB2312" w:hAnsi="仿宋_GB2312" w:cs="仿宋_GB2312" w:eastAsia="仿宋_GB2312"/>
                <w:sz w:val="28"/>
              </w:rPr>
              <w:t>1、</w:t>
            </w:r>
            <w:r>
              <w:rPr>
                <w:rFonts w:ascii="仿宋_GB2312" w:hAnsi="仿宋_GB2312" w:cs="仿宋_GB2312" w:eastAsia="仿宋_GB2312"/>
                <w:sz w:val="28"/>
              </w:rPr>
              <w:t>交付期</w:t>
            </w:r>
          </w:p>
          <w:p>
            <w:pPr>
              <w:pStyle w:val="null3"/>
              <w:ind w:firstLine="560"/>
              <w:jc w:val="left"/>
            </w:pPr>
            <w:r>
              <w:rPr>
                <w:rFonts w:ascii="仿宋_GB2312" w:hAnsi="仿宋_GB2312" w:cs="仿宋_GB2312" w:eastAsia="仿宋_GB2312"/>
                <w:sz w:val="28"/>
              </w:rPr>
              <w:t>合同签订之日起</w:t>
            </w:r>
            <w:r>
              <w:rPr>
                <w:rFonts w:ascii="仿宋_GB2312" w:hAnsi="仿宋_GB2312" w:cs="仿宋_GB2312" w:eastAsia="仿宋_GB2312"/>
                <w:sz w:val="28"/>
              </w:rPr>
              <w:t>240</w:t>
            </w:r>
            <w:r>
              <w:rPr>
                <w:rFonts w:ascii="仿宋_GB2312" w:hAnsi="仿宋_GB2312" w:cs="仿宋_GB2312" w:eastAsia="仿宋_GB2312"/>
                <w:sz w:val="32"/>
              </w:rPr>
              <w:t xml:space="preserve"> </w:t>
            </w:r>
            <w:r>
              <w:rPr>
                <w:rFonts w:ascii="仿宋_GB2312" w:hAnsi="仿宋_GB2312" w:cs="仿宋_GB2312" w:eastAsia="仿宋_GB2312"/>
                <w:sz w:val="28"/>
              </w:rPr>
              <w:t>工作</w:t>
            </w:r>
            <w:r>
              <w:rPr>
                <w:rFonts w:ascii="仿宋_GB2312" w:hAnsi="仿宋_GB2312" w:cs="仿宋_GB2312" w:eastAsia="仿宋_GB2312"/>
                <w:sz w:val="28"/>
              </w:rPr>
              <w:t>日内完成供货安装及</w:t>
            </w:r>
            <w:r>
              <w:rPr>
                <w:rFonts w:ascii="仿宋_GB2312" w:hAnsi="仿宋_GB2312" w:cs="仿宋_GB2312" w:eastAsia="仿宋_GB2312"/>
                <w:sz w:val="28"/>
              </w:rPr>
              <w:t>试运行</w:t>
            </w:r>
            <w:r>
              <w:rPr>
                <w:rFonts w:ascii="仿宋_GB2312" w:hAnsi="仿宋_GB2312" w:cs="仿宋_GB2312" w:eastAsia="仿宋_GB2312"/>
                <w:sz w:val="28"/>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28"/>
              </w:rPr>
              <w:t>2、</w:t>
            </w:r>
            <w:r>
              <w:rPr>
                <w:rFonts w:ascii="仿宋_GB2312" w:hAnsi="仿宋_GB2312" w:cs="仿宋_GB2312" w:eastAsia="仿宋_GB2312"/>
                <w:sz w:val="28"/>
              </w:rPr>
              <w:t>交付地点</w:t>
            </w:r>
          </w:p>
          <w:p>
            <w:pPr>
              <w:pStyle w:val="null3"/>
              <w:ind w:firstLine="560"/>
              <w:jc w:val="left"/>
            </w:pPr>
            <w:r>
              <w:rPr>
                <w:rFonts w:ascii="仿宋_GB2312" w:hAnsi="仿宋_GB2312" w:cs="仿宋_GB2312" w:eastAsia="仿宋_GB2312"/>
                <w:sz w:val="28"/>
              </w:rPr>
              <w:t>采购人指定地点</w:t>
            </w:r>
            <w:r>
              <w:rPr>
                <w:rFonts w:ascii="仿宋_GB2312" w:hAnsi="仿宋_GB2312" w:cs="仿宋_GB2312" w:eastAsia="仿宋_GB2312"/>
                <w:sz w:val="28"/>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28"/>
              </w:rPr>
              <w:t>3、</w:t>
            </w:r>
            <w:r>
              <w:rPr>
                <w:rFonts w:ascii="仿宋_GB2312" w:hAnsi="仿宋_GB2312" w:cs="仿宋_GB2312" w:eastAsia="仿宋_GB2312"/>
                <w:sz w:val="28"/>
              </w:rPr>
              <w:t>付款条件</w:t>
            </w:r>
          </w:p>
          <w:p>
            <w:pPr>
              <w:pStyle w:val="null3"/>
              <w:ind w:firstLine="560"/>
              <w:jc w:val="left"/>
            </w:pPr>
            <w:r>
              <w:rPr>
                <w:rFonts w:ascii="仿宋_GB2312" w:hAnsi="仿宋_GB2312" w:cs="仿宋_GB2312" w:eastAsia="仿宋_GB2312"/>
                <w:sz w:val="28"/>
              </w:rPr>
              <w:t>合同签订后，中标人开具的合法有效发票提供给采购人。采购人在</w:t>
            </w:r>
            <w:r>
              <w:rPr>
                <w:rFonts w:ascii="仿宋_GB2312" w:hAnsi="仿宋_GB2312" w:cs="仿宋_GB2312" w:eastAsia="仿宋_GB2312"/>
                <w:sz w:val="28"/>
              </w:rPr>
              <w:t>15</w:t>
            </w:r>
            <w:r>
              <w:rPr>
                <w:rFonts w:ascii="仿宋_GB2312" w:hAnsi="仿宋_GB2312" w:cs="仿宋_GB2312" w:eastAsia="仿宋_GB2312"/>
                <w:sz w:val="28"/>
              </w:rPr>
              <w:t>个工作日内，向中标人支付合同总金额</w:t>
            </w:r>
            <w:r>
              <w:rPr>
                <w:rFonts w:ascii="仿宋_GB2312" w:hAnsi="仿宋_GB2312" w:cs="仿宋_GB2312" w:eastAsia="仿宋_GB2312"/>
                <w:sz w:val="28"/>
              </w:rPr>
              <w:t>3</w:t>
            </w:r>
            <w:r>
              <w:rPr>
                <w:rFonts w:ascii="仿宋_GB2312" w:hAnsi="仿宋_GB2312" w:cs="仿宋_GB2312" w:eastAsia="仿宋_GB2312"/>
                <w:sz w:val="28"/>
              </w:rPr>
              <w:t>0%款项（预付款）；</w:t>
            </w:r>
            <w:r>
              <w:rPr>
                <w:rFonts w:ascii="仿宋_GB2312" w:hAnsi="仿宋_GB2312" w:cs="仿宋_GB2312" w:eastAsia="仿宋_GB2312"/>
                <w:sz w:val="32"/>
              </w:rPr>
              <w:t xml:space="preserve">  </w:t>
            </w:r>
          </w:p>
          <w:p>
            <w:pPr>
              <w:pStyle w:val="null3"/>
              <w:ind w:firstLine="560"/>
              <w:jc w:val="left"/>
            </w:pPr>
            <w:r>
              <w:rPr>
                <w:rFonts w:ascii="仿宋_GB2312" w:hAnsi="仿宋_GB2312" w:cs="仿宋_GB2312" w:eastAsia="仿宋_GB2312"/>
                <w:sz w:val="28"/>
              </w:rPr>
              <w:t>中标人完成</w:t>
            </w:r>
            <w:r>
              <w:rPr>
                <w:rFonts w:ascii="仿宋_GB2312" w:hAnsi="仿宋_GB2312" w:cs="仿宋_GB2312" w:eastAsia="仿宋_GB2312"/>
                <w:sz w:val="28"/>
              </w:rPr>
              <w:t>设备到货后，</w:t>
            </w:r>
            <w:r>
              <w:rPr>
                <w:rFonts w:ascii="仿宋_GB2312" w:hAnsi="仿宋_GB2312" w:cs="仿宋_GB2312" w:eastAsia="仿宋_GB2312"/>
                <w:sz w:val="28"/>
              </w:rPr>
              <w:t>采购人在</w:t>
            </w:r>
            <w:r>
              <w:rPr>
                <w:rFonts w:ascii="仿宋_GB2312" w:hAnsi="仿宋_GB2312" w:cs="仿宋_GB2312" w:eastAsia="仿宋_GB2312"/>
                <w:sz w:val="28"/>
              </w:rPr>
              <w:t>15</w:t>
            </w:r>
            <w:r>
              <w:rPr>
                <w:rFonts w:ascii="仿宋_GB2312" w:hAnsi="仿宋_GB2312" w:cs="仿宋_GB2312" w:eastAsia="仿宋_GB2312"/>
                <w:sz w:val="28"/>
              </w:rPr>
              <w:t>个工作日内，向中标人支付合同总金额</w:t>
            </w:r>
            <w:r>
              <w:rPr>
                <w:rFonts w:ascii="仿宋_GB2312" w:hAnsi="仿宋_GB2312" w:cs="仿宋_GB2312" w:eastAsia="仿宋_GB2312"/>
                <w:sz w:val="28"/>
              </w:rPr>
              <w:t>3</w:t>
            </w:r>
            <w:r>
              <w:rPr>
                <w:rFonts w:ascii="仿宋_GB2312" w:hAnsi="仿宋_GB2312" w:cs="仿宋_GB2312" w:eastAsia="仿宋_GB2312"/>
                <w:sz w:val="28"/>
              </w:rPr>
              <w:t>0%款项（</w:t>
            </w:r>
            <w:r>
              <w:rPr>
                <w:rFonts w:ascii="仿宋_GB2312" w:hAnsi="仿宋_GB2312" w:cs="仿宋_GB2312" w:eastAsia="仿宋_GB2312"/>
                <w:sz w:val="28"/>
              </w:rPr>
              <w:t>到货</w:t>
            </w:r>
            <w:r>
              <w:rPr>
                <w:rFonts w:ascii="仿宋_GB2312" w:hAnsi="仿宋_GB2312" w:cs="仿宋_GB2312" w:eastAsia="仿宋_GB2312"/>
                <w:sz w:val="28"/>
              </w:rPr>
              <w:t>款）</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项目初步验收合格后，</w:t>
            </w:r>
            <w:r>
              <w:rPr>
                <w:rFonts w:ascii="仿宋_GB2312" w:hAnsi="仿宋_GB2312" w:cs="仿宋_GB2312" w:eastAsia="仿宋_GB2312"/>
                <w:sz w:val="28"/>
              </w:rPr>
              <w:t>15 个工作日内，</w:t>
            </w:r>
            <w:r>
              <w:rPr>
                <w:rFonts w:ascii="仿宋_GB2312" w:hAnsi="仿宋_GB2312" w:cs="仿宋_GB2312" w:eastAsia="仿宋_GB2312"/>
                <w:sz w:val="28"/>
              </w:rPr>
              <w:t>采购人</w:t>
            </w:r>
            <w:r>
              <w:rPr>
                <w:rFonts w:ascii="仿宋_GB2312" w:hAnsi="仿宋_GB2312" w:cs="仿宋_GB2312" w:eastAsia="仿宋_GB2312"/>
                <w:sz w:val="28"/>
              </w:rPr>
              <w:t>凭</w:t>
            </w:r>
            <w:r>
              <w:rPr>
                <w:rFonts w:ascii="仿宋_GB2312" w:hAnsi="仿宋_GB2312" w:cs="仿宋_GB2312" w:eastAsia="仿宋_GB2312"/>
                <w:sz w:val="28"/>
              </w:rPr>
              <w:t>中标人</w:t>
            </w:r>
            <w:r>
              <w:rPr>
                <w:rFonts w:ascii="仿宋_GB2312" w:hAnsi="仿宋_GB2312" w:cs="仿宋_GB2312" w:eastAsia="仿宋_GB2312"/>
                <w:sz w:val="28"/>
              </w:rPr>
              <w:t>开具的正式有效增值税专用发票、监理支付通知书向</w:t>
            </w:r>
            <w:r>
              <w:rPr>
                <w:rFonts w:ascii="仿宋_GB2312" w:hAnsi="仿宋_GB2312" w:cs="仿宋_GB2312" w:eastAsia="仿宋_GB2312"/>
                <w:sz w:val="28"/>
              </w:rPr>
              <w:t>中标人</w:t>
            </w:r>
            <w:r>
              <w:rPr>
                <w:rFonts w:ascii="仿宋_GB2312" w:hAnsi="仿宋_GB2312" w:cs="仿宋_GB2312" w:eastAsia="仿宋_GB2312"/>
                <w:sz w:val="28"/>
              </w:rPr>
              <w:t>支付合同金额的</w:t>
            </w:r>
            <w:r>
              <w:rPr>
                <w:rFonts w:ascii="仿宋_GB2312" w:hAnsi="仿宋_GB2312" w:cs="仿宋_GB2312" w:eastAsia="仿宋_GB2312"/>
                <w:sz w:val="28"/>
              </w:rPr>
              <w:t>30</w:t>
            </w:r>
            <w:r>
              <w:rPr>
                <w:rFonts w:ascii="仿宋_GB2312" w:hAnsi="仿宋_GB2312" w:cs="仿宋_GB2312" w:eastAsia="仿宋_GB2312"/>
                <w:sz w:val="28"/>
              </w:rPr>
              <w:t>%（</w:t>
            </w:r>
            <w:r>
              <w:rPr>
                <w:rFonts w:ascii="仿宋_GB2312" w:hAnsi="仿宋_GB2312" w:cs="仿宋_GB2312" w:eastAsia="仿宋_GB2312"/>
                <w:sz w:val="28"/>
              </w:rPr>
              <w:t>初验款</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项目竣工验收</w:t>
            </w:r>
            <w:r>
              <w:rPr>
                <w:rFonts w:ascii="仿宋_GB2312" w:hAnsi="仿宋_GB2312" w:cs="仿宋_GB2312" w:eastAsia="仿宋_GB2312"/>
                <w:sz w:val="28"/>
              </w:rPr>
              <w:t>合格</w:t>
            </w:r>
            <w:r>
              <w:rPr>
                <w:rFonts w:ascii="仿宋_GB2312" w:hAnsi="仿宋_GB2312" w:cs="仿宋_GB2312" w:eastAsia="仿宋_GB2312"/>
                <w:sz w:val="28"/>
              </w:rPr>
              <w:t>后，</w:t>
            </w:r>
            <w:r>
              <w:rPr>
                <w:rFonts w:ascii="仿宋_GB2312" w:hAnsi="仿宋_GB2312" w:cs="仿宋_GB2312" w:eastAsia="仿宋_GB2312"/>
                <w:sz w:val="28"/>
              </w:rPr>
              <w:t>中标人</w:t>
            </w:r>
            <w:r>
              <w:rPr>
                <w:rFonts w:ascii="仿宋_GB2312" w:hAnsi="仿宋_GB2312" w:cs="仿宋_GB2312" w:eastAsia="仿宋_GB2312"/>
                <w:sz w:val="28"/>
              </w:rPr>
              <w:t>需向</w:t>
            </w:r>
            <w:r>
              <w:rPr>
                <w:rFonts w:ascii="仿宋_GB2312" w:hAnsi="仿宋_GB2312" w:cs="仿宋_GB2312" w:eastAsia="仿宋_GB2312"/>
                <w:sz w:val="28"/>
              </w:rPr>
              <w:t>采购人</w:t>
            </w:r>
            <w:r>
              <w:rPr>
                <w:rFonts w:ascii="仿宋_GB2312" w:hAnsi="仿宋_GB2312" w:cs="仿宋_GB2312" w:eastAsia="仿宋_GB2312"/>
                <w:sz w:val="28"/>
              </w:rPr>
              <w:t>提供合同总金额</w:t>
            </w:r>
            <w:r>
              <w:rPr>
                <w:rFonts w:ascii="仿宋_GB2312" w:hAnsi="仿宋_GB2312" w:cs="仿宋_GB2312" w:eastAsia="仿宋_GB2312"/>
                <w:sz w:val="28"/>
              </w:rPr>
              <w:t>3</w:t>
            </w:r>
            <w:r>
              <w:rPr>
                <w:rFonts w:ascii="仿宋_GB2312" w:hAnsi="仿宋_GB2312" w:cs="仿宋_GB2312" w:eastAsia="仿宋_GB2312"/>
                <w:sz w:val="28"/>
              </w:rPr>
              <w:t>%的银行质保函，</w:t>
            </w:r>
            <w:r>
              <w:rPr>
                <w:rFonts w:ascii="仿宋_GB2312" w:hAnsi="仿宋_GB2312" w:cs="仿宋_GB2312" w:eastAsia="仿宋_GB2312"/>
                <w:sz w:val="28"/>
              </w:rPr>
              <w:t>采购人</w:t>
            </w:r>
            <w:r>
              <w:rPr>
                <w:rFonts w:ascii="仿宋_GB2312" w:hAnsi="仿宋_GB2312" w:cs="仿宋_GB2312" w:eastAsia="仿宋_GB2312"/>
                <w:sz w:val="28"/>
              </w:rPr>
              <w:t>收到</w:t>
            </w:r>
            <w:r>
              <w:rPr>
                <w:rFonts w:ascii="仿宋_GB2312" w:hAnsi="仿宋_GB2312" w:cs="仿宋_GB2312" w:eastAsia="仿宋_GB2312"/>
                <w:sz w:val="28"/>
              </w:rPr>
              <w:t>中标人</w:t>
            </w:r>
            <w:r>
              <w:rPr>
                <w:rFonts w:ascii="仿宋_GB2312" w:hAnsi="仿宋_GB2312" w:cs="仿宋_GB2312" w:eastAsia="仿宋_GB2312"/>
                <w:sz w:val="28"/>
              </w:rPr>
              <w:t>开具的正式有效发票后</w:t>
            </w:r>
            <w:r>
              <w:rPr>
                <w:rFonts w:ascii="仿宋_GB2312" w:hAnsi="仿宋_GB2312" w:cs="仿宋_GB2312" w:eastAsia="仿宋_GB2312"/>
                <w:sz w:val="28"/>
              </w:rPr>
              <w:t>15</w:t>
            </w:r>
            <w:r>
              <w:rPr>
                <w:rFonts w:ascii="仿宋_GB2312" w:hAnsi="仿宋_GB2312" w:cs="仿宋_GB2312" w:eastAsia="仿宋_GB2312"/>
                <w:sz w:val="28"/>
              </w:rPr>
              <w:t xml:space="preserve"> </w:t>
            </w:r>
            <w:r>
              <w:rPr>
                <w:rFonts w:ascii="仿宋_GB2312" w:hAnsi="仿宋_GB2312" w:cs="仿宋_GB2312" w:eastAsia="仿宋_GB2312"/>
                <w:sz w:val="28"/>
              </w:rPr>
              <w:t>个工作日内，向</w:t>
            </w:r>
            <w:r>
              <w:rPr>
                <w:rFonts w:ascii="仿宋_GB2312" w:hAnsi="仿宋_GB2312" w:cs="仿宋_GB2312" w:eastAsia="仿宋_GB2312"/>
                <w:sz w:val="28"/>
              </w:rPr>
              <w:t>中标人</w:t>
            </w:r>
            <w:r>
              <w:rPr>
                <w:rFonts w:ascii="仿宋_GB2312" w:hAnsi="仿宋_GB2312" w:cs="仿宋_GB2312" w:eastAsia="仿宋_GB2312"/>
                <w:sz w:val="28"/>
              </w:rPr>
              <w:t>支付合同金额的</w:t>
            </w: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w:t>
            </w:r>
            <w:r>
              <w:rPr>
                <w:rFonts w:ascii="仿宋_GB2312" w:hAnsi="仿宋_GB2312" w:cs="仿宋_GB2312" w:eastAsia="仿宋_GB2312"/>
                <w:sz w:val="28"/>
              </w:rPr>
              <w:t>终验款</w:t>
            </w:r>
            <w:r>
              <w:rPr>
                <w:rFonts w:ascii="仿宋_GB2312" w:hAnsi="仿宋_GB2312" w:cs="仿宋_GB2312" w:eastAsia="仿宋_GB2312"/>
                <w:sz w:val="28"/>
              </w:rPr>
              <w:t>）</w:t>
            </w:r>
            <w:r>
              <w:rPr>
                <w:rFonts w:ascii="仿宋_GB2312" w:hAnsi="仿宋_GB2312" w:cs="仿宋_GB2312" w:eastAsia="仿宋_GB2312"/>
                <w:sz w:val="28"/>
              </w:rPr>
              <w:t>。项目完成竣工验收</w:t>
            </w:r>
            <w:r>
              <w:rPr>
                <w:rFonts w:ascii="仿宋_GB2312" w:hAnsi="仿宋_GB2312" w:cs="仿宋_GB2312" w:eastAsia="仿宋_GB2312"/>
                <w:sz w:val="28"/>
              </w:rPr>
              <w:t>五年后</w:t>
            </w:r>
            <w:r>
              <w:rPr>
                <w:rFonts w:ascii="仿宋_GB2312" w:hAnsi="仿宋_GB2312" w:cs="仿宋_GB2312" w:eastAsia="仿宋_GB2312"/>
                <w:sz w:val="28"/>
              </w:rPr>
              <w:t>，无质量和其他问题，银行或保险机构凭采购人出具的证明，退还中标人</w:t>
            </w:r>
            <w:r>
              <w:rPr>
                <w:rFonts w:ascii="仿宋_GB2312" w:hAnsi="仿宋_GB2312" w:cs="仿宋_GB2312" w:eastAsia="仿宋_GB2312"/>
                <w:sz w:val="28"/>
              </w:rPr>
              <w:t>3%</w:t>
            </w:r>
            <w:r>
              <w:rPr>
                <w:rFonts w:ascii="仿宋_GB2312" w:hAnsi="仿宋_GB2312" w:cs="仿宋_GB2312" w:eastAsia="仿宋_GB2312"/>
                <w:sz w:val="28"/>
              </w:rPr>
              <w:t>银行质保函</w:t>
            </w:r>
            <w:r>
              <w:rPr>
                <w:rFonts w:ascii="仿宋_GB2312" w:hAnsi="仿宋_GB2312" w:cs="仿宋_GB2312" w:eastAsia="仿宋_GB2312"/>
                <w:sz w:val="28"/>
              </w:rPr>
              <w:t>。</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包装和运输</w:t>
            </w:r>
          </w:p>
          <w:p>
            <w:pPr>
              <w:pStyle w:val="null3"/>
              <w:ind w:firstLine="560"/>
              <w:jc w:val="left"/>
            </w:pPr>
            <w:r>
              <w:rPr>
                <w:rFonts w:ascii="仿宋_GB2312" w:hAnsi="仿宋_GB2312" w:cs="仿宋_GB2312" w:eastAsia="仿宋_GB2312"/>
                <w:sz w:val="28"/>
              </w:rPr>
              <w:t>交付货物的包装和运输的费用必须包含在投标报价中，且必须满足中国法律法规、相关部门的相应产业标准及本合同的要求，产生。提供的货物应是全新、完整、技术成熟稳定、性能质量良好并未曾使用的产品，货物及相关许可证明文件、技术文件、软件、服务等均不存在瑕疵。</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售后服务</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1）本项目质保期为</w:t>
            </w:r>
            <w:r>
              <w:rPr>
                <w:rFonts w:ascii="仿宋_GB2312" w:hAnsi="仿宋_GB2312" w:cs="仿宋_GB2312" w:eastAsia="仿宋_GB2312"/>
                <w:sz w:val="28"/>
              </w:rPr>
              <w:t>五</w:t>
            </w:r>
            <w:r>
              <w:rPr>
                <w:rFonts w:ascii="仿宋_GB2312" w:hAnsi="仿宋_GB2312" w:cs="仿宋_GB2312" w:eastAsia="仿宋_GB2312"/>
                <w:sz w:val="28"/>
              </w:rPr>
              <w:t>年（制造商保修期高于</w:t>
            </w:r>
            <w:r>
              <w:rPr>
                <w:rFonts w:ascii="仿宋_GB2312" w:hAnsi="仿宋_GB2312" w:cs="仿宋_GB2312" w:eastAsia="仿宋_GB2312"/>
                <w:sz w:val="28"/>
              </w:rPr>
              <w:t>五</w:t>
            </w:r>
            <w:r>
              <w:rPr>
                <w:rFonts w:ascii="仿宋_GB2312" w:hAnsi="仿宋_GB2312" w:cs="仿宋_GB2312" w:eastAsia="仿宋_GB2312"/>
                <w:sz w:val="28"/>
              </w:rPr>
              <w:t>年的，按制造商保修标准）。法律、法规另有规定的，从其规定（人为及不可抗力引起的损坏除外）。</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2）供应商应提供满足设备质保期内正常使用的备品备件（如有的话），其费用应包括在投标价格之内。质保期后继续支持维修维护，按成本价标准收取维修维护及配件费用。</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提供售后服务联系电话及联系人。免费质保期内，接到保障电话30分钟内响应，24小时内派工程技术人员上门维修处理完毕。规定时间内未处理完毕的，供应商提供不低于同等档次货物供用户使用至故障货物正常使用为止。如果需要更换配件的，要求更换的配件跟被更换的品牌、类型相一致或者是同类同档次的替代品，后者需征得用户方管理人员同意。</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4）对质保期内的故障报修，如供应商未能做到上款的服务承诺，用户可采取必要的补救措施，但其风险和费用由供应商承担，由于供应商的保证服务不到位，质保期的到期时间将顺延。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5）定期到采购单位回访，及时向用户了解设备使用情况，进行设备日常维护与保养。</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安装与调试</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1）所有设备均由中标供应商免费送货至采购人指定的交货地点并安装调试好。</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2）安装调试应以本需求书要求的技术参数指标为标准。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3）中标供应商应提供包括但不限于满足设备安装、使用和维护的技术文件，如:设备和附件装箱清单、设备质量合格检定证明文件、设备保修服务卡、设备中英文使用说明和维护手册等。</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4）应按出厂标准及国家有关要求进行包装及运输。</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5）中标</w:t>
            </w:r>
            <w:r>
              <w:rPr>
                <w:rFonts w:ascii="仿宋_GB2312" w:hAnsi="仿宋_GB2312" w:cs="仿宋_GB2312" w:eastAsia="仿宋_GB2312"/>
                <w:sz w:val="28"/>
              </w:rPr>
              <w:t>人</w:t>
            </w:r>
            <w:r>
              <w:rPr>
                <w:rFonts w:ascii="仿宋_GB2312" w:hAnsi="仿宋_GB2312" w:cs="仿宋_GB2312" w:eastAsia="仿宋_GB2312"/>
                <w:sz w:val="28"/>
              </w:rPr>
              <w:t>须负责对用户方的技术人员免费进行安装、操作、维护维修等方面的培训，学会为止。</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验收标准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1）是否满足合同规定的相关要求。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2）是否达到了招标文件的采购需求。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3）是否达到了投标文件承诺的要求</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4）是否满足国家、海南省、行业相关规范和标准的要求。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商务应答表 自觉抵制政府采购领域商业贿赂行为承诺书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技术响应1</w:t>
            </w:r>
          </w:p>
        </w:tc>
        <w:tc>
          <w:tcPr>
            <w:tcW w:type="dxa" w:w="2492"/>
          </w:tcPr>
          <w:p>
            <w:pPr>
              <w:pStyle w:val="null3"/>
              <w:jc w:val="both"/>
            </w:pPr>
            <w:r>
              <w:rPr>
                <w:rFonts w:ascii="仿宋_GB2312" w:hAnsi="仿宋_GB2312" w:cs="仿宋_GB2312" w:eastAsia="仿宋_GB2312"/>
              </w:rPr>
              <w:t>投标人应对招标文件中：“第三章采购需求，二、技术和服务要求”中的设备技术参数与性能指标带“△”条款进行逐条响应，投标人所提供产品的设备技术参数与性能指标完全满足或优于采购文件要求的得满分（9.5分） 1.带“△”条款技术参数与性能指标（9.5分）：标“△”符号参数为重要参数，需按照设备技术参数与性能指标要求提供检测报告证明，有1项不满足或负偏离扣0.5分，扣完为止。 注:投标人需对所投标产品的技术参数真实性负责，提供虚假参数，伪造、变更或虚假响应者，投标文件无效并将上报政府采购主管部门进行严肃处理。</w:t>
            </w:r>
          </w:p>
        </w:tc>
        <w:tc>
          <w:tcPr>
            <w:tcW w:type="dxa" w:w="831"/>
          </w:tcPr>
          <w:p>
            <w:pPr>
              <w:pStyle w:val="null3"/>
              <w:jc w:val="right"/>
            </w:pPr>
            <w:r>
              <w:rPr>
                <w:rFonts w:ascii="仿宋_GB2312" w:hAnsi="仿宋_GB2312" w:cs="仿宋_GB2312" w:eastAsia="仿宋_GB2312"/>
              </w:rPr>
              <w:t>9.50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技术响应2</w:t>
            </w:r>
          </w:p>
        </w:tc>
        <w:tc>
          <w:tcPr>
            <w:tcW w:type="dxa" w:w="2492"/>
          </w:tcPr>
          <w:p>
            <w:pPr>
              <w:pStyle w:val="null3"/>
              <w:jc w:val="both"/>
            </w:pPr>
            <w:r>
              <w:rPr>
                <w:rFonts w:ascii="仿宋_GB2312" w:hAnsi="仿宋_GB2312" w:cs="仿宋_GB2312" w:eastAsia="仿宋_GB2312"/>
              </w:rPr>
              <w:t>投标人应对招标文件中：“第三章采购需求，二、技术和服务要求”中的设备技术参数与性能指标非“△”条款进行逐条响应，投标人所提供产品的设备技术参数与性能指标完全满足或优于采购文件要求的得满分（5.5分） 2.非“△”条款技术参数与性能指标（5.5分）：有1项不满足或负偏离扣0.05分，扣完为止。 注:投标人需对所投标产品的技术参数真实性负责，提供虚假参数，伪造、变更或虚假响应者，投标文件无效并将上报政府采购主管部门进行严肃处理。</w:t>
            </w:r>
          </w:p>
        </w:tc>
        <w:tc>
          <w:tcPr>
            <w:tcW w:type="dxa" w:w="831"/>
          </w:tcPr>
          <w:p>
            <w:pPr>
              <w:pStyle w:val="null3"/>
              <w:jc w:val="right"/>
            </w:pPr>
            <w:r>
              <w:rPr>
                <w:rFonts w:ascii="仿宋_GB2312" w:hAnsi="仿宋_GB2312" w:cs="仿宋_GB2312" w:eastAsia="仿宋_GB2312"/>
              </w:rPr>
              <w:t>5.50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项目现状及需求分析</w:t>
            </w:r>
          </w:p>
        </w:tc>
        <w:tc>
          <w:tcPr>
            <w:tcW w:type="dxa" w:w="2492"/>
          </w:tcPr>
          <w:p>
            <w:pPr>
              <w:pStyle w:val="null3"/>
              <w:jc w:val="both"/>
            </w:pPr>
            <w:r>
              <w:rPr>
                <w:rFonts w:ascii="仿宋_GB2312" w:hAnsi="仿宋_GB2312" w:cs="仿宋_GB2312" w:eastAsia="仿宋_GB2312"/>
              </w:rPr>
              <w:t>根据投标人提供的项目现状及需求分析进行评审。 包括但不限于现状及需求分析。本项评分满分5分 （1）对项目现状和需求有全面的认识和理解，分析清晰完整，深入理解并契合项目实际情况，充分满足项目需求的，得5分； （2）对项目现状和需求有较全面的认识和理解，分析较清晰完整，较好理解并符合项目实际情况，较好满足项目需求的，得3分； （3）对项目现状和需求有基本的认识和理解，分析基本清晰完整，基本符合项目实际情况，基本满足项目需求的，得1分； （4）对项目现状和需求存在认识和理解的偏差，分析不清晰、不完整，难满足项目需求的，得0.5分； （5）未提供不得分。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实施技术方案</w:t>
            </w:r>
          </w:p>
        </w:tc>
        <w:tc>
          <w:tcPr>
            <w:tcW w:type="dxa" w:w="2492"/>
          </w:tcPr>
          <w:p>
            <w:pPr>
              <w:pStyle w:val="null3"/>
              <w:jc w:val="both"/>
            </w:pPr>
            <w:r>
              <w:rPr>
                <w:rFonts w:ascii="仿宋_GB2312" w:hAnsi="仿宋_GB2312" w:cs="仿宋_GB2312" w:eastAsia="仿宋_GB2312"/>
              </w:rPr>
              <w:t>根据投标人提供的实施方案，包括但不限于以下要点：总体建设方案、前端点位施工部署方案、人员组织架构及管理、施工组织方案、项目进度计划、质量保障方案、项目管控及风险管理。本项评分满分14分。 1、每项方案内容完整详实，对采购需求理解透彻，可操作性及针对性强，得2分； 2、每项方案较完整，对采购需求理解较透彻，可操作性及针对性较强，得1分； 3、每项方案基本完整，基本理解采购需求，可操作性及针对性不够强，得0.5分； 4、总体建设方案、前端点位施工部署方案、人员组织架构及管理、施工组织方案、项目进度计划、质量保障方案、项目管控及风险管理。每缺少一项扣2分； 5、不提供不得分。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根据投标人提供的售后服务方案，包括但不限于以下要点：①服务承诺；②服务体系；③服务团队；④服务措施。本项评分满分8分。 1、每项方案内容完整详实，对采购需求理解透彻，可操作性及针对性强，得8分； 2、每项方案较完整，对采购需求理解较透彻，可操作性及针对性较强，得4分； 3、每项方案基本完整，基本理解采购需求，可操作性及针对性不够强，得2分； 4、①服务承诺；②服务体系；③服务团队；④服务措施。每缺少一项扣2分； 5、不提供不得分。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根据投标人提供的应急保障方案，包括但不限于以下要点：①应急人员配备；②故障响应；③应急维护服务；④应急保障措施。本项评分满分10分。 1、每项方案内容完整详实，对采购需求理解透彻，可操作性及针对性强，得2.5分； 2、每项方案较完整，对采购需求理解较透彻，可操作性及针对性较强，得1分； 3、每项方案基本完整，基本理解采购需求，可操作性及针对性不够强，得0.5分； 4、①应急人员配备；②故障响应；③应急维护服务；④应急保障措施。每缺少一项扣2.5分；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根据投标人提供的培训方案，包括但不限于以下要点：①培训范围；②培训方式；③时间安排；④培训达到的效果。本项评分满分8分。 1、每项方案内容完整详实，对采购需求理解透彻，可操作性及针对性强，得2分； 2、每项方案较完整，对采购需求理解较透彻，可操作性及针对性较强，得1分； 3、每项方案基本完整，基本理解采购需求，可操作性及针对性不够强，得0.5分； 4、①培训范围；②培训方式；③时间安排；④培训达到的效果。每缺少一项扣2分； 5、不提供不得分。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具有信息系统建设和服务能力等级证书，CS4（含本数）以上等级证书得1分，CS3（含本数）以下等级证书得0.5分，不提供不得分。（提供有效的资质证书复印件并加盖公章）2、投标人具备国产化信息系统集成和服务能力证书得1分，不提供不得； 证明材料:提供有效的资质证书复印件并加盖投标人公章。（提供复印件并加盖公章）；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项目团队能力1</w:t>
            </w:r>
          </w:p>
        </w:tc>
        <w:tc>
          <w:tcPr>
            <w:tcW w:type="dxa" w:w="2492"/>
          </w:tcPr>
          <w:p>
            <w:pPr>
              <w:pStyle w:val="null3"/>
              <w:jc w:val="both"/>
            </w:pPr>
            <w:r>
              <w:rPr>
                <w:rFonts w:ascii="仿宋_GB2312" w:hAnsi="仿宋_GB2312" w:cs="仿宋_GB2312" w:eastAsia="仿宋_GB2312"/>
              </w:rPr>
              <w:t>投标人拟投入本项目项目经理1人需要具备下列资质，下列证件每提供一个得0.5分，满分1.5分： 1、信息系统项目管理师证书（高级）； 2、高级工程师(计算机类或通信类或电子信息化类)；3、IT服务工程师证书；。证明材料：提供证书复印件并加盖公章；提供证书人员必须为本项目投标人正式员工， 提供2024年9月至今任意3个月在本单位的社保缴纳证明材料并加盖公章。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项目团队能力2</w:t>
            </w:r>
          </w:p>
        </w:tc>
        <w:tc>
          <w:tcPr>
            <w:tcW w:type="dxa" w:w="2492"/>
          </w:tcPr>
          <w:p>
            <w:pPr>
              <w:pStyle w:val="null3"/>
              <w:jc w:val="both"/>
            </w:pPr>
            <w:r>
              <w:rPr>
                <w:rFonts w:ascii="仿宋_GB2312" w:hAnsi="仿宋_GB2312" w:cs="仿宋_GB2312" w:eastAsia="仿宋_GB2312"/>
              </w:rPr>
              <w:t>投标人拟投入本项目技术负责人1人（本项目技术负责人和本项目项目经理不能同一人）需要具备下列资质下列证件每提供一个得0.5分，满分1分：1、注册信息安全管理人员证书(CISP)；2、网络安全工程师证书。提供证书人员必须为本项目投标人正式员工，提供2024年9月至今任意3个月在本单位的社保缴纳证明材料并加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项目团队能力3</w:t>
            </w:r>
          </w:p>
        </w:tc>
        <w:tc>
          <w:tcPr>
            <w:tcW w:type="dxa" w:w="2492"/>
          </w:tcPr>
          <w:p>
            <w:pPr>
              <w:pStyle w:val="null3"/>
              <w:jc w:val="both"/>
            </w:pPr>
            <w:r>
              <w:rPr>
                <w:rFonts w:ascii="仿宋_GB2312" w:hAnsi="仿宋_GB2312" w:cs="仿宋_GB2312" w:eastAsia="仿宋_GB2312"/>
              </w:rPr>
              <w:t>投标人拟投入本项目的项目团队成员（不含项目经理和技术负责人），需要具备下列资质证书之一：中华人民共和国人力资源和社会保障部或中华人民共和国工业和信息化部颁发的信息系统项目管理师、系统集成项目管理工程师、网络规划设计师、网络工程师、信息安全工程师，每提供一人得0.2分（同一人具有多项证书不可重复计分），满分1分，不提供不得分。 证明材料：提供证书复印件及2024年9月至今任意3个月在本单位缴纳社保的的证明复印件。以上资料均须加盖投标人单位公章。不提供不得分。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项目团队能力4</w:t>
            </w:r>
          </w:p>
        </w:tc>
        <w:tc>
          <w:tcPr>
            <w:tcW w:type="dxa" w:w="2492"/>
          </w:tcPr>
          <w:p>
            <w:pPr>
              <w:pStyle w:val="null3"/>
              <w:jc w:val="both"/>
            </w:pPr>
            <w:r>
              <w:rPr>
                <w:rFonts w:ascii="仿宋_GB2312" w:hAnsi="仿宋_GB2312" w:cs="仿宋_GB2312" w:eastAsia="仿宋_GB2312"/>
              </w:rPr>
              <w:t>投标人拟投入本项目的项目团队成员（不含项目经理和技术负责人），需要具备下列资质证书之一：高级工程师（电子信息工程）、高级工程师（通信工程），每提供一人得0.5分（同一人具有多项证书不可重复计分），本项目满分1分。 证明材料：提供证书复印件及2024年9月至今任意3个月在本单位缴纳社保的的证明复印件。以上资料均须加盖投标人单位公章。不提供不得分。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项目团队能力5</w:t>
            </w:r>
          </w:p>
        </w:tc>
        <w:tc>
          <w:tcPr>
            <w:tcW w:type="dxa" w:w="2492"/>
          </w:tcPr>
          <w:p>
            <w:pPr>
              <w:pStyle w:val="null3"/>
              <w:jc w:val="both"/>
            </w:pPr>
            <w:r>
              <w:rPr>
                <w:rFonts w:ascii="仿宋_GB2312" w:hAnsi="仿宋_GB2312" w:cs="仿宋_GB2312" w:eastAsia="仿宋_GB2312"/>
              </w:rPr>
              <w:t>投标人拟投入本项目的项目团队成员（不含项目经理和技术负责人），需要具备ITSS认证的IT服务项目经理证书，每提供一人得0.5分，本项目满分0.5分。 证明材料：提供证书复印件及2024年9月至今任意3个月在本单位缴纳社保的的证明复印件。以上资料均须加盖投标人单位公章。不提供不得分。</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投标人2021年1月1日至今，每承接过一个类似项目业绩的得0.5分，满分2分； 证明材料：提供合同复印件加盖单位公章，不提供不得分。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售后实力</w:t>
            </w:r>
          </w:p>
        </w:tc>
        <w:tc>
          <w:tcPr>
            <w:tcW w:type="dxa" w:w="2492"/>
          </w:tcPr>
          <w:p>
            <w:pPr>
              <w:pStyle w:val="null3"/>
              <w:jc w:val="both"/>
            </w:pPr>
            <w:r>
              <w:rPr>
                <w:rFonts w:ascii="仿宋_GB2312" w:hAnsi="仿宋_GB2312" w:cs="仿宋_GB2312" w:eastAsia="仿宋_GB2312"/>
              </w:rPr>
              <w:t>为了提供及时有效的运维服务，投标人在本地有服务机构或承诺如果中标则在海南省设置不少于2名运维人员的运维服务支持团队或委托本省机构提供本地化技术支持（受委托机构必须具有相应的运维服务能力），提供承诺函。本项1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临高县公安局视频监控修复项目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临高县公安局视频监控修复项目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核心产品产地</w:t>
            </w:r>
          </w:p>
        </w:tc>
        <w:tc>
          <w:tcPr>
            <w:tcW w:type="dxa" w:w="593"/>
          </w:tcPr>
          <w:p>
            <w:pPr>
              <w:pStyle w:val="null3"/>
              <w:jc w:val="left"/>
            </w:pPr>
            <w:r>
              <w:rPr>
                <w:rFonts w:ascii="仿宋_GB2312" w:hAnsi="仿宋_GB2312" w:cs="仿宋_GB2312" w:eastAsia="仿宋_GB2312"/>
              </w:rPr>
              <w:t xml:space="preserve"> 核心产品品牌</w:t>
            </w:r>
          </w:p>
        </w:tc>
        <w:tc>
          <w:tcPr>
            <w:tcW w:type="dxa" w:w="593"/>
          </w:tcPr>
          <w:p>
            <w:pPr>
              <w:pStyle w:val="null3"/>
              <w:jc w:val="left"/>
            </w:pPr>
            <w:r>
              <w:rPr>
                <w:rFonts w:ascii="仿宋_GB2312" w:hAnsi="仿宋_GB2312" w:cs="仿宋_GB2312" w:eastAsia="仿宋_GB2312"/>
              </w:rPr>
              <w:t xml:space="preserve"> 核心产品规格</w:t>
            </w:r>
          </w:p>
        </w:tc>
        <w:tc>
          <w:tcPr>
            <w:tcW w:type="dxa" w:w="593"/>
          </w:tcPr>
          <w:p>
            <w:pPr>
              <w:pStyle w:val="null3"/>
              <w:jc w:val="left"/>
            </w:pPr>
            <w:r>
              <w:rPr>
                <w:rFonts w:ascii="仿宋_GB2312" w:hAnsi="仿宋_GB2312" w:cs="仿宋_GB2312" w:eastAsia="仿宋_GB2312"/>
              </w:rPr>
              <w:t xml:space="preserve"> 交付期</w:t>
            </w:r>
          </w:p>
        </w:tc>
        <w:tc>
          <w:tcPr>
            <w:tcW w:type="dxa" w:w="593"/>
          </w:tcPr>
          <w:p>
            <w:pPr>
              <w:pStyle w:val="null3"/>
              <w:jc w:val="left"/>
            </w:pPr>
            <w:r>
              <w:rPr>
                <w:rFonts w:ascii="仿宋_GB2312" w:hAnsi="仿宋_GB2312" w:cs="仿宋_GB2312" w:eastAsia="仿宋_GB2312"/>
              </w:rPr>
              <w:t xml:space="preserve"> 交付地点</w:t>
            </w:r>
          </w:p>
        </w:tc>
        <w:tc>
          <w:tcPr>
            <w:tcW w:type="dxa" w:w="593"/>
          </w:tcPr>
          <w:p>
            <w:pPr>
              <w:pStyle w:val="null3"/>
              <w:jc w:val="left"/>
            </w:pPr>
            <w:r>
              <w:rPr>
                <w:rFonts w:ascii="仿宋_GB2312" w:hAnsi="仿宋_GB2312" w:cs="仿宋_GB2312" w:eastAsia="仿宋_GB2312"/>
              </w:rPr>
              <w:t xml:space="preserve"> 投标有效期</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A02019900-其他信息化设备</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批</w:t>
            </w:r>
          </w:p>
        </w:tc>
        <w:tc>
          <w:tcPr>
            <w:tcW w:type="dxa" w:w="593"/>
          </w:tcPr>
          <w:p>
            <w:pPr>
              <w:pStyle w:val="null3"/>
              <w:jc w:val="left"/>
            </w:pPr>
            <w:r>
              <w:rPr>
                <w:rFonts w:ascii="仿宋_GB2312" w:hAnsi="仿宋_GB2312" w:cs="仿宋_GB2312" w:eastAsia="仿宋_GB2312"/>
              </w:rPr>
              <w:t xml:space="preserve"> 9850663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合同签订之日起 240 工作日内完成供货安装及试运行</w:t>
            </w:r>
          </w:p>
        </w:tc>
        <w:tc>
          <w:tcPr>
            <w:tcW w:type="dxa" w:w="593"/>
          </w:tcPr>
          <w:p>
            <w:pPr>
              <w:pStyle w:val="null3"/>
              <w:jc w:val="left"/>
            </w:pPr>
            <w:r>
              <w:rPr>
                <w:rFonts w:ascii="仿宋_GB2312" w:hAnsi="仿宋_GB2312" w:cs="仿宋_GB2312" w:eastAsia="仿宋_GB2312"/>
              </w:rPr>
              <w:t xml:space="preserve"> 采购人指定地点</w:t>
            </w:r>
          </w:p>
        </w:tc>
        <w:tc>
          <w:tcPr>
            <w:tcW w:type="dxa" w:w="593"/>
          </w:tcPr>
          <w:p>
            <w:pPr>
              <w:pStyle w:val="null3"/>
              <w:jc w:val="left"/>
            </w:pPr>
            <w:r>
              <w:rPr>
                <w:rFonts w:ascii="仿宋_GB2312" w:hAnsi="仿宋_GB2312" w:cs="仿宋_GB2312" w:eastAsia="仿宋_GB2312"/>
              </w:rPr>
              <w:t xml:space="preserve"> 90天</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