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2025年度酸化耕地治理重点县项目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[HNZY]20250800001[GK]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澄迈县乡村振兴服务中心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海南中贻项目管理有限公司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澄迈县乡村振兴服务中心</w:t>
      </w:r>
      <w:r>
        <w:rPr>
          <w:rFonts w:ascii="仿宋_GB2312" w:hAnsi="仿宋_GB2312" w:cs="仿宋_GB2312" w:eastAsia="仿宋_GB2312"/>
        </w:rPr>
        <w:t xml:space="preserve"> 委托， </w:t>
      </w:r>
      <w:r>
        <w:rPr>
          <w:rFonts w:ascii="仿宋_GB2312" w:hAnsi="仿宋_GB2312" w:cs="仿宋_GB2312" w:eastAsia="仿宋_GB2312"/>
        </w:rPr>
        <w:t>海南中贻项目管理有限公司</w:t>
      </w:r>
      <w:r>
        <w:rPr>
          <w:rFonts w:ascii="仿宋_GB2312" w:hAnsi="仿宋_GB2312" w:cs="仿宋_GB2312" w:eastAsia="仿宋_GB2312"/>
        </w:rPr>
        <w:t xml:space="preserve"> 对 </w:t>
      </w:r>
      <w:r>
        <w:rPr>
          <w:rFonts w:ascii="仿宋_GB2312" w:hAnsi="仿宋_GB2312" w:cs="仿宋_GB2312" w:eastAsia="仿宋_GB2312"/>
        </w:rPr>
        <w:t>2025年度酸化耕地治理重点县项目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[HNZY]20250800001[GK]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2025年度酸化耕地治理重点县项目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10,490,500.00元</w:t>
      </w:r>
      <w:r>
        <w:rPr>
          <w:rFonts w:ascii="仿宋_GB2312" w:hAnsi="仿宋_GB2312" w:cs="仿宋_GB2312" w:eastAsia="仿宋_GB2312"/>
        </w:rPr>
        <w:t>壹仟零肆拾玖万零伍佰元整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合同签订生效之日起至2025年12月31日止，提交成果并通过验收。</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合同签订生效之日起至2025年12月31日止，提交成果并通过验收。</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1、参加政府采购活动前三年内，无环保类行政处罚记录声明函：参加政府采购活动前三年内，无环保类行政处罚记录声明函（提供声明函加盖公章，格式自拟）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1、参加政府采购活动前三年内，无环保类行政处罚记录声明函：参加政府采购活动前三年内，无环保类行政处罚记录声明函（提供声明函加盖公章，格式自拟）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2.有关本项目招标文件的补遗、澄清及变更信息以上述网站公告与下载为准，采购代理机构不再另行通知，招标文件与更正公告的内容相互矛盾时，以最后发出的更正公告内容为准。 3.本项目为远程不见面方式（供应商无需到现场）。如需云平台相关咨询，请拨打以下热线电话： 热线一：0591-38352553。</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澄迈县乡村振兴服务中心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海南省澄迈县金江镇</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0898-67611711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海南中贻项目管理有限公司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海南省海口市龙华区海秀东路39号申鑫国际广场D516</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史工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0898-68705072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采购包1：3,873,100.00元</w:t>
            </w:r>
          </w:p>
          <w:p>
            <w:pPr>
              <w:pStyle w:val="null3"/>
              <w:jc w:val="left"/>
            </w:pPr>
            <w:r>
              <w:rPr>
                <w:rFonts w:ascii="仿宋_GB2312" w:hAnsi="仿宋_GB2312" w:cs="仿宋_GB2312" w:eastAsia="仿宋_GB2312"/>
              </w:rPr>
              <w:t>采购包2：6,617,400.00元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投标截止日期起计算的 60 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代理服务费收费标准：采购代理机构招标代理服务费参照《招标代理服务费收费管理 暂行办法》( 计价格[2002] 1980 号)规定的差额定律累进法计 算向采购人收取招标代理服务费。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16.1.签字和（或） 盖章要求：16.1.1 电子标盖章要求：使用 CA 锁在响应文件制作工具中逐页加盖单位公 章。16.1.2 电子标签字以下四种形式之一均有效： （1）响应文件制作工具中加盖签名 章或签字章；（2）响应文件制作工具中使用“手写签名”签字；（3）响应文件打印 为文本签字后扫描上传；（4）响应文件打印为文本盖签名章或签字章后扫描上传。16.1.3 电子系统中所涉及签章均可以是加盖单位公章。 4.由委托代理人签字的，投标文件应附有法定代表人授权书。因投标人原因导致无法读取电子版投标文件，视为无效投标。 16.2.根据《财政部办公厅 关于在相关自由贸易试验区和自由贸易港开展推动解决政府采购异常低价问题试点工作的通知》（财办库〔2024〕265号）的相关规定： 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 材料。 16.3.技术方案部分方案编制应按照正常文本书写，不应把字体间距放大或缩小等，页数不得超过400页，超出此页数会对方案评审有影响，其后果由供应商自行承担。16.4评标委员会由采购单位代表和评审专家组成，评委总人数7人,其中招标人代表2人，其余专家成员 5 人从评标专家库中随机抽取。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联系人：代理机构</w:t>
      </w:r>
    </w:p>
    <w:p>
      <w:pPr>
        <w:pStyle w:val="null3"/>
        <w:jc w:val="left"/>
      </w:pPr>
      <w:r>
        <w:rPr>
          <w:rFonts w:ascii="仿宋_GB2312" w:hAnsi="仿宋_GB2312" w:cs="仿宋_GB2312" w:eastAsia="仿宋_GB2312"/>
        </w:rPr>
        <w:t>联系电话：0898-68705072</w:t>
      </w:r>
    </w:p>
    <w:p>
      <w:pPr>
        <w:pStyle w:val="null3"/>
        <w:jc w:val="left"/>
      </w:pPr>
      <w:r>
        <w:rPr>
          <w:rFonts w:ascii="仿宋_GB2312" w:hAnsi="仿宋_GB2312" w:cs="仿宋_GB2312" w:eastAsia="仿宋_GB2312"/>
        </w:rPr>
        <w:t>地址：海南省海口市龙华区海秀东路39号申鑫国际广场D516</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根据《农业农村部办公厅关于开展酸化耕地治理重点县建设的通知》（农办建〔</w:t>
      </w:r>
      <w:r>
        <w:rPr>
          <w:rFonts w:ascii="仿宋_GB2312" w:hAnsi="仿宋_GB2312" w:cs="仿宋_GB2312" w:eastAsia="仿宋_GB2312"/>
          <w:sz w:val="32"/>
        </w:rPr>
        <w:t>2023</w:t>
      </w: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号）和《农业农村部办公厅关于做好重点县酸化耕地治理的通知》（农办建〔</w:t>
      </w:r>
      <w:r>
        <w:rPr>
          <w:rFonts w:ascii="仿宋_GB2312" w:hAnsi="仿宋_GB2312" w:cs="仿宋_GB2312" w:eastAsia="仿宋_GB2312"/>
          <w:sz w:val="32"/>
        </w:rPr>
        <w:t>2023</w:t>
      </w:r>
      <w:r>
        <w:rPr>
          <w:rFonts w:ascii="仿宋_GB2312" w:hAnsi="仿宋_GB2312" w:cs="仿宋_GB2312" w:eastAsia="仿宋_GB2312"/>
          <w:sz w:val="32"/>
        </w:rPr>
        <w:t>〕</w:t>
      </w:r>
      <w:r>
        <w:rPr>
          <w:rFonts w:ascii="仿宋_GB2312" w:hAnsi="仿宋_GB2312" w:cs="仿宋_GB2312" w:eastAsia="仿宋_GB2312"/>
          <w:sz w:val="32"/>
        </w:rPr>
        <w:t>6</w:t>
      </w:r>
      <w:r>
        <w:rPr>
          <w:rFonts w:ascii="仿宋_GB2312" w:hAnsi="仿宋_GB2312" w:cs="仿宋_GB2312" w:eastAsia="仿宋_GB2312"/>
          <w:sz w:val="32"/>
        </w:rPr>
        <w:t>号）文件精神，澄迈县集成推广调酸控酸的土壤改良综合技术模式，每年实施面积</w:t>
      </w:r>
      <w:r>
        <w:rPr>
          <w:rFonts w:ascii="仿宋_GB2312" w:hAnsi="仿宋_GB2312" w:cs="仿宋_GB2312" w:eastAsia="仿宋_GB2312"/>
          <w:sz w:val="32"/>
        </w:rPr>
        <w:t>8</w:t>
      </w:r>
      <w:r>
        <w:rPr>
          <w:rFonts w:ascii="仿宋_GB2312" w:hAnsi="仿宋_GB2312" w:cs="仿宋_GB2312" w:eastAsia="仿宋_GB2312"/>
          <w:sz w:val="32"/>
        </w:rPr>
        <w:t>万亩以上，自</w:t>
      </w:r>
      <w:r>
        <w:rPr>
          <w:rFonts w:ascii="仿宋_GB2312" w:hAnsi="仿宋_GB2312" w:cs="仿宋_GB2312" w:eastAsia="仿宋_GB2312"/>
          <w:sz w:val="32"/>
        </w:rPr>
        <w:t>2023</w:t>
      </w:r>
      <w:r>
        <w:rPr>
          <w:rFonts w:ascii="仿宋_GB2312" w:hAnsi="仿宋_GB2312" w:cs="仿宋_GB2312" w:eastAsia="仿宋_GB2312"/>
          <w:sz w:val="32"/>
        </w:rPr>
        <w:t>年开始，在同一项目区连续实施</w:t>
      </w:r>
      <w:r>
        <w:rPr>
          <w:rFonts w:ascii="仿宋_GB2312" w:hAnsi="仿宋_GB2312" w:cs="仿宋_GB2312" w:eastAsia="仿宋_GB2312"/>
          <w:sz w:val="32"/>
        </w:rPr>
        <w:t>3</w:t>
      </w:r>
      <w:r>
        <w:rPr>
          <w:rFonts w:ascii="仿宋_GB2312" w:hAnsi="仿宋_GB2312" w:cs="仿宋_GB2312" w:eastAsia="仿宋_GB2312"/>
          <w:sz w:val="32"/>
        </w:rPr>
        <w:t>年，通过</w:t>
      </w:r>
      <w:r>
        <w:rPr>
          <w:rFonts w:ascii="仿宋_GB2312" w:hAnsi="仿宋_GB2312" w:cs="仿宋_GB2312" w:eastAsia="仿宋_GB2312"/>
          <w:sz w:val="32"/>
        </w:rPr>
        <w:t>3</w:t>
      </w:r>
      <w:r>
        <w:rPr>
          <w:rFonts w:ascii="仿宋_GB2312" w:hAnsi="仿宋_GB2312" w:cs="仿宋_GB2312" w:eastAsia="仿宋_GB2312"/>
          <w:sz w:val="32"/>
        </w:rPr>
        <w:t>年连续治理，有效缓解项目区耕地土壤酸化程度，项目区酸化耕地土壤</w:t>
      </w:r>
      <w:r>
        <w:rPr>
          <w:rFonts w:ascii="仿宋_GB2312" w:hAnsi="仿宋_GB2312" w:cs="仿宋_GB2312" w:eastAsia="仿宋_GB2312"/>
          <w:sz w:val="32"/>
        </w:rPr>
        <w:t>pH</w:t>
      </w:r>
      <w:r>
        <w:rPr>
          <w:rFonts w:ascii="仿宋_GB2312" w:hAnsi="仿宋_GB2312" w:cs="仿宋_GB2312" w:eastAsia="仿宋_GB2312"/>
          <w:sz w:val="32"/>
        </w:rPr>
        <w:t>值平均增加</w:t>
      </w:r>
      <w:r>
        <w:rPr>
          <w:rFonts w:ascii="仿宋_GB2312" w:hAnsi="仿宋_GB2312" w:cs="仿宋_GB2312" w:eastAsia="仿宋_GB2312"/>
          <w:sz w:val="32"/>
        </w:rPr>
        <w:t>0.5</w:t>
      </w:r>
      <w:r>
        <w:rPr>
          <w:rFonts w:ascii="仿宋_GB2312" w:hAnsi="仿宋_GB2312" w:cs="仿宋_GB2312" w:eastAsia="仿宋_GB2312"/>
          <w:sz w:val="32"/>
        </w:rPr>
        <w:t>个单位，土壤贫瘠、板结、潜育化等问题得到有效缓解，耕地质量等级提升</w:t>
      </w:r>
      <w:r>
        <w:rPr>
          <w:rFonts w:ascii="仿宋_GB2312" w:hAnsi="仿宋_GB2312" w:cs="仿宋_GB2312" w:eastAsia="仿宋_GB2312"/>
          <w:sz w:val="32"/>
        </w:rPr>
        <w:t>0.5</w:t>
      </w:r>
      <w:r>
        <w:rPr>
          <w:rFonts w:ascii="仿宋_GB2312" w:hAnsi="仿宋_GB2312" w:cs="仿宋_GB2312" w:eastAsia="仿宋_GB2312"/>
          <w:sz w:val="32"/>
        </w:rPr>
        <w:t>等左右，亩均粮食产能提升</w:t>
      </w:r>
      <w:r>
        <w:rPr>
          <w:rFonts w:ascii="仿宋_GB2312" w:hAnsi="仿宋_GB2312" w:cs="仿宋_GB2312" w:eastAsia="仿宋_GB2312"/>
          <w:sz w:val="32"/>
        </w:rPr>
        <w:t>10%</w:t>
      </w:r>
      <w:r>
        <w:rPr>
          <w:rFonts w:ascii="仿宋_GB2312" w:hAnsi="仿宋_GB2312" w:cs="仿宋_GB2312" w:eastAsia="仿宋_GB2312"/>
          <w:sz w:val="32"/>
        </w:rPr>
        <w:t>以上，在项目区外推广面积</w:t>
      </w:r>
      <w:r>
        <w:rPr>
          <w:rFonts w:ascii="仿宋_GB2312" w:hAnsi="仿宋_GB2312" w:cs="仿宋_GB2312" w:eastAsia="仿宋_GB2312"/>
          <w:sz w:val="32"/>
        </w:rPr>
        <w:t>10</w:t>
      </w:r>
      <w:r>
        <w:rPr>
          <w:rFonts w:ascii="仿宋_GB2312" w:hAnsi="仿宋_GB2312" w:cs="仿宋_GB2312" w:eastAsia="仿宋_GB2312"/>
          <w:sz w:val="32"/>
        </w:rPr>
        <w:t>万亩，打造一批推进酸化耕地治理的综合施策样板田和一套行之有效、可复制可借鉴的工作推进机制。</w:t>
      </w:r>
    </w:p>
    <w:p>
      <w:pPr>
        <w:pStyle w:val="null3"/>
        <w:ind w:firstLine="560"/>
        <w:jc w:val="both"/>
      </w:pPr>
      <w:r>
        <w:rPr>
          <w:rFonts w:ascii="仿宋_GB2312" w:hAnsi="仿宋_GB2312" w:cs="仿宋_GB2312" w:eastAsia="仿宋_GB2312"/>
          <w:sz w:val="28"/>
          <w:color w:val="000000"/>
        </w:rPr>
        <w:t>付款方式：</w:t>
      </w:r>
    </w:p>
    <w:p>
      <w:pPr>
        <w:pStyle w:val="null3"/>
        <w:ind w:firstLine="560"/>
        <w:jc w:val="both"/>
      </w:pPr>
      <w:r>
        <w:rPr>
          <w:rFonts w:ascii="仿宋_GB2312" w:hAnsi="仿宋_GB2312" w:cs="仿宋_GB2312" w:eastAsia="仿宋_GB2312"/>
          <w:sz w:val="28"/>
        </w:rPr>
        <w:t>1.本合同签订生效之日起 30个工作日内，甲方凭乙方开具的</w:t>
      </w:r>
      <w:r>
        <w:rPr>
          <w:rFonts w:ascii="仿宋_GB2312" w:hAnsi="仿宋_GB2312" w:cs="仿宋_GB2312" w:eastAsia="仿宋_GB2312"/>
          <w:sz w:val="28"/>
        </w:rPr>
        <w:t>正式</w:t>
      </w:r>
      <w:r>
        <w:rPr>
          <w:rFonts w:ascii="仿宋_GB2312" w:hAnsi="仿宋_GB2312" w:cs="仿宋_GB2312" w:eastAsia="仿宋_GB2312"/>
          <w:sz w:val="28"/>
        </w:rPr>
        <w:t>有效的发票及申请材料向乙方支付至合同金额的</w:t>
      </w:r>
      <w:r>
        <w:rPr>
          <w:rFonts w:ascii="仿宋_GB2312" w:hAnsi="仿宋_GB2312" w:cs="仿宋_GB2312" w:eastAsia="仿宋_GB2312"/>
          <w:sz w:val="28"/>
        </w:rPr>
        <w:t>30%(即预付款)。</w:t>
      </w:r>
    </w:p>
    <w:p>
      <w:pPr>
        <w:pStyle w:val="null3"/>
        <w:ind w:firstLine="560"/>
        <w:jc w:val="both"/>
      </w:pPr>
      <w:r>
        <w:rPr>
          <w:rFonts w:ascii="仿宋_GB2312" w:hAnsi="仿宋_GB2312" w:cs="仿宋_GB2312" w:eastAsia="仿宋_GB2312"/>
          <w:sz w:val="28"/>
        </w:rPr>
        <w:t>2.项目标段移交、发放等工作完成 50%以上，乙方提交相关资料经甲方初步审核后，10个工作日内，甲方凭乙方开具的正式有效的发票及申请材料向乙方支付至合同金额的 40%(即第一次进度款)。</w:t>
      </w:r>
    </w:p>
    <w:p>
      <w:pPr>
        <w:pStyle w:val="null3"/>
        <w:ind w:firstLine="560"/>
        <w:jc w:val="both"/>
      </w:pPr>
      <w:r>
        <w:rPr>
          <w:rFonts w:ascii="仿宋_GB2312" w:hAnsi="仿宋_GB2312" w:cs="仿宋_GB2312" w:eastAsia="仿宋_GB2312"/>
          <w:sz w:val="28"/>
        </w:rPr>
        <w:t>3.项目标段移交、发放等工作完成 75%以上，乙方提交相关资料经甲方初步审核后，10个工作日内，甲方凭乙方开具的正式有效的发票及申请材料向乙方支付至合同金额的 60%(即第二次进度款)。</w:t>
      </w:r>
    </w:p>
    <w:p>
      <w:pPr>
        <w:pStyle w:val="null3"/>
        <w:ind w:firstLine="560"/>
        <w:jc w:val="both"/>
      </w:pPr>
      <w:r>
        <w:rPr>
          <w:rFonts w:ascii="仿宋_GB2312" w:hAnsi="仿宋_GB2312" w:cs="仿宋_GB2312" w:eastAsia="仿宋_GB2312"/>
          <w:sz w:val="28"/>
        </w:rPr>
        <w:t>4.项目标段移交、发放等工作完成任务，10个工作日内，甲方凭乙方开具的正式有效的发票及申请材料向乙方支付至合同金额的80%(即第三次进度款)。</w:t>
      </w:r>
    </w:p>
    <w:p>
      <w:pPr>
        <w:pStyle w:val="null3"/>
        <w:ind w:firstLine="560"/>
        <w:jc w:val="both"/>
      </w:pPr>
      <w:r>
        <w:rPr>
          <w:rFonts w:ascii="仿宋_GB2312" w:hAnsi="仿宋_GB2312" w:cs="仿宋_GB2312" w:eastAsia="仿宋_GB2312"/>
          <w:sz w:val="28"/>
        </w:rPr>
        <w:t>5.物资全部送达且没有质量问题，通过审计、验收后，甲方凭乙方开具的正式有效的发票及申请材料向乙方支付至完成金额的100%(即尾款)。</w:t>
      </w:r>
    </w:p>
    <w:p>
      <w:pPr>
        <w:pStyle w:val="null3"/>
        <w:ind w:firstLine="560"/>
        <w:jc w:val="both"/>
      </w:pPr>
      <w:r>
        <w:rPr>
          <w:rFonts w:ascii="仿宋_GB2312" w:hAnsi="仿宋_GB2312" w:cs="仿宋_GB2312" w:eastAsia="仿宋_GB2312"/>
          <w:sz w:val="28"/>
        </w:rPr>
        <w:t>6.移交、发放阶段，完成进度由中心、供应单位、监理单位共同确认。如根据实际情况，项目标段无法完成合同约定的100%，剩余部分物资经中心与村委会发布未领取公示期满确定已无农户申请领取，即可视为项目标段移交、发放等工作完成任务。审计、验收阶段，完成金额为审计单位审定结果确认。</w:t>
      </w:r>
    </w:p>
    <w:p>
      <w:pPr>
        <w:pStyle w:val="null3"/>
        <w:jc w:val="both"/>
      </w:pPr>
      <w:r>
        <w:rPr>
          <w:rFonts w:ascii="仿宋_GB2312" w:hAnsi="仿宋_GB2312" w:cs="仿宋_GB2312" w:eastAsia="仿宋_GB2312"/>
          <w:sz w:val="28"/>
        </w:rPr>
        <w:t>为充分响应上级部门关于发挥财政资金使用效益、防止专项资金支出进度缓慢的要求，实施过程中，如有上级部门相关工作要求需采取有效措施加快财政资金支出进度情况，双方在不违背法律法规的前提下，可以协商调整项目标段以上支付方式。</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3,873,100.00</w:t>
      </w:r>
    </w:p>
    <w:p>
      <w:pPr>
        <w:pStyle w:val="null3"/>
        <w:jc w:val="left"/>
      </w:pPr>
      <w:r>
        <w:rPr>
          <w:rFonts w:ascii="仿宋_GB2312" w:hAnsi="仿宋_GB2312" w:cs="仿宋_GB2312" w:eastAsia="仿宋_GB2312"/>
        </w:rPr>
        <w:t>采购包最高限价（元）: 3,873,100.00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A07080105-有机肥料及微生物肥料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3,873,100.00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6,617,400.00</w:t>
      </w:r>
    </w:p>
    <w:p>
      <w:pPr>
        <w:pStyle w:val="null3"/>
        <w:jc w:val="left"/>
      </w:pPr>
      <w:r>
        <w:rPr>
          <w:rFonts w:ascii="仿宋_GB2312" w:hAnsi="仿宋_GB2312" w:cs="仿宋_GB2312" w:eastAsia="仿宋_GB2312"/>
        </w:rPr>
        <w:t>采购包最高限价（元）: 6,617,400.00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A07080105-有机肥料及微生物肥料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6,617,400.00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A07080105-有机肥料及微生物肥料</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3,873,100.00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A07080105-有机肥料及微生物肥料</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6,617,400.00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标的名称：A07080105-有机肥料及微生物肥料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4"/>
              </w:rPr>
              <w:t>1.土壤改良剂（微生物肥料）</w:t>
            </w:r>
          </w:p>
          <w:p>
            <w:pPr>
              <w:pStyle w:val="null3"/>
              <w:jc w:val="both"/>
            </w:pPr>
            <w:r>
              <w:rPr>
                <w:rFonts w:ascii="仿宋_GB2312" w:hAnsi="仿宋_GB2312" w:cs="仿宋_GB2312" w:eastAsia="仿宋_GB2312"/>
                <w:sz w:val="24"/>
              </w:rPr>
              <w:t>产品技术指标要求为：粉剂，钙（</w:t>
            </w:r>
            <w:r>
              <w:rPr>
                <w:rFonts w:ascii="仿宋_GB2312" w:hAnsi="仿宋_GB2312" w:cs="仿宋_GB2312" w:eastAsia="仿宋_GB2312"/>
                <w:sz w:val="24"/>
              </w:rPr>
              <w:t>CaO）的质量分数≥20%；镁（MgO）的质量分数≥2%；酸碱度（pH）≥8.0。</w:t>
            </w:r>
          </w:p>
          <w:p>
            <w:pPr>
              <w:pStyle w:val="null3"/>
              <w:jc w:val="both"/>
            </w:pPr>
            <w:r>
              <w:rPr>
                <w:rFonts w:ascii="仿宋_GB2312" w:hAnsi="仿宋_GB2312" w:cs="仿宋_GB2312" w:eastAsia="仿宋_GB2312"/>
                <w:sz w:val="24"/>
              </w:rPr>
              <w:t>2.有机肥</w:t>
            </w:r>
          </w:p>
          <w:p>
            <w:pPr>
              <w:pStyle w:val="null3"/>
              <w:jc w:val="both"/>
            </w:pPr>
            <w:r>
              <w:rPr>
                <w:rFonts w:ascii="仿宋_GB2312" w:hAnsi="仿宋_GB2312" w:cs="仿宋_GB2312" w:eastAsia="仿宋_GB2312"/>
                <w:sz w:val="24"/>
              </w:rPr>
              <w:t>产品技术指标要求为：有机质的质量分数（以烘干基计）</w:t>
            </w:r>
            <w:r>
              <w:rPr>
                <w:rFonts w:ascii="仿宋_GB2312" w:hAnsi="仿宋_GB2312" w:cs="仿宋_GB2312" w:eastAsia="仿宋_GB2312"/>
                <w:sz w:val="24"/>
              </w:rPr>
              <w:t>≥ 30 %；总养分（N+P</w:t>
            </w:r>
            <w:r>
              <w:rPr>
                <w:rFonts w:ascii="仿宋_GB2312" w:hAnsi="仿宋_GB2312" w:cs="仿宋_GB2312" w:eastAsia="仿宋_GB2312"/>
                <w:sz w:val="24"/>
                <w:vertAlign w:val="subscript"/>
              </w:rPr>
              <w:t>2</w:t>
            </w:r>
            <w:r>
              <w:rPr>
                <w:rFonts w:ascii="仿宋_GB2312" w:hAnsi="仿宋_GB2312" w:cs="仿宋_GB2312" w:eastAsia="仿宋_GB2312"/>
                <w:sz w:val="24"/>
              </w:rPr>
              <w:t>O</w:t>
            </w:r>
            <w:r>
              <w:rPr>
                <w:rFonts w:ascii="仿宋_GB2312" w:hAnsi="仿宋_GB2312" w:cs="仿宋_GB2312" w:eastAsia="仿宋_GB2312"/>
                <w:sz w:val="24"/>
                <w:vertAlign w:val="subscript"/>
              </w:rPr>
              <w:t>5</w:t>
            </w:r>
            <w:r>
              <w:rPr>
                <w:rFonts w:ascii="仿宋_GB2312" w:hAnsi="仿宋_GB2312" w:cs="仿宋_GB2312" w:eastAsia="仿宋_GB2312"/>
                <w:sz w:val="24"/>
              </w:rPr>
              <w:t>+K</w:t>
            </w:r>
            <w:r>
              <w:rPr>
                <w:rFonts w:ascii="仿宋_GB2312" w:hAnsi="仿宋_GB2312" w:cs="仿宋_GB2312" w:eastAsia="仿宋_GB2312"/>
                <w:sz w:val="24"/>
                <w:vertAlign w:val="subscript"/>
              </w:rPr>
              <w:t>2</w:t>
            </w:r>
            <w:r>
              <w:rPr>
                <w:rFonts w:ascii="仿宋_GB2312" w:hAnsi="仿宋_GB2312" w:cs="仿宋_GB2312" w:eastAsia="仿宋_GB2312"/>
                <w:sz w:val="24"/>
              </w:rPr>
              <w:t>O）的质量分数（以烘干基计）≥ 4.0 %；水分（鲜样）的质量分数 ≤ 30.0 %；酸碱度（pH）：5.5~8.5；产品应符合中华人民共和国农业行业标准有机肥NY/T 525-2021标准的有关要求。产品外观要求：外观均匀，粉剂或颗粒状，无恶臭。</w:t>
            </w:r>
          </w:p>
          <w:p>
            <w:pPr>
              <w:pStyle w:val="null3"/>
              <w:jc w:val="both"/>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标的名称：A07080105-有机肥料及微生物肥料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ind w:firstLine="320"/>
              <w:jc w:val="both"/>
            </w:pPr>
            <w:r>
              <w:rPr>
                <w:rFonts w:ascii="仿宋_GB2312" w:hAnsi="仿宋_GB2312" w:cs="仿宋_GB2312" w:eastAsia="仿宋_GB2312"/>
                <w:sz w:val="24"/>
              </w:rPr>
              <w:t>1.土壤改良剂（微生物肥料）</w:t>
            </w:r>
          </w:p>
          <w:p>
            <w:pPr>
              <w:pStyle w:val="null3"/>
              <w:jc w:val="both"/>
            </w:pPr>
            <w:r>
              <w:rPr>
                <w:rFonts w:ascii="仿宋_GB2312" w:hAnsi="仿宋_GB2312" w:cs="仿宋_GB2312" w:eastAsia="仿宋_GB2312"/>
                <w:sz w:val="24"/>
              </w:rPr>
              <w:t>产品技术指标要求为：粉剂，钙（</w:t>
            </w:r>
            <w:r>
              <w:rPr>
                <w:rFonts w:ascii="仿宋_GB2312" w:hAnsi="仿宋_GB2312" w:cs="仿宋_GB2312" w:eastAsia="仿宋_GB2312"/>
                <w:sz w:val="24"/>
              </w:rPr>
              <w:t>CaO）的质量分数≥20%；镁（MgO）的质量分数≥2%；酸碱度（pH）≥8.0。</w:t>
            </w:r>
          </w:p>
          <w:p>
            <w:pPr>
              <w:pStyle w:val="null3"/>
              <w:jc w:val="both"/>
            </w:pPr>
            <w:r>
              <w:rPr>
                <w:rFonts w:ascii="仿宋_GB2312" w:hAnsi="仿宋_GB2312" w:cs="仿宋_GB2312" w:eastAsia="仿宋_GB2312"/>
                <w:sz w:val="24"/>
              </w:rPr>
              <w:t>2.有机肥</w:t>
            </w:r>
          </w:p>
          <w:p>
            <w:pPr>
              <w:pStyle w:val="null3"/>
              <w:jc w:val="both"/>
            </w:pPr>
            <w:r>
              <w:rPr>
                <w:rFonts w:ascii="仿宋_GB2312" w:hAnsi="仿宋_GB2312" w:cs="仿宋_GB2312" w:eastAsia="仿宋_GB2312"/>
                <w:sz w:val="24"/>
              </w:rPr>
              <w:t>产品技术指标要求为：有机质的质量分数（以烘干基计）</w:t>
            </w:r>
            <w:r>
              <w:rPr>
                <w:rFonts w:ascii="仿宋_GB2312" w:hAnsi="仿宋_GB2312" w:cs="仿宋_GB2312" w:eastAsia="仿宋_GB2312"/>
                <w:sz w:val="24"/>
              </w:rPr>
              <w:t>≥ 30 %；总养分（N+P2O5+K2O）的质量分数（以烘干基计）≥ 4.0 %；水分（鲜样）的质量分数 ≤ 30.0 %；酸碱度（pH）：5.5~8.5；产品应符合中华人民共和国农业行业标准有机肥NY/T 525-2021标准的有关要求。产品外观要求：外观均匀，粉剂或颗粒状，无恶臭。</w:t>
            </w:r>
          </w:p>
          <w:p>
            <w:pPr>
              <w:pStyle w:val="null3"/>
              <w:ind w:firstLine="640"/>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投标（响应）报价明细表 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参加政府采购活动前三年内，无环保类行政处罚记录声明函</w:t>
            </w:r>
          </w:p>
        </w:tc>
        <w:tc>
          <w:tcPr>
            <w:tcW w:type="dxa" w:w="3322"/>
          </w:tcPr>
          <w:p>
            <w:pPr>
              <w:pStyle w:val="null3"/>
              <w:jc w:val="left"/>
            </w:pPr>
            <w:r>
              <w:rPr>
                <w:rFonts w:ascii="仿宋_GB2312" w:hAnsi="仿宋_GB2312" w:cs="仿宋_GB2312" w:eastAsia="仿宋_GB2312"/>
              </w:rPr>
              <w:t>参加政府采购活动前三年内，无环保类行政处罚记录声明函（提供声明函加盖公章，格式自拟）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参加政府采购活动前三年内，无环保类行政处罚记录声明函</w:t>
            </w:r>
          </w:p>
        </w:tc>
        <w:tc>
          <w:tcPr>
            <w:tcW w:type="dxa" w:w="3322"/>
          </w:tcPr>
          <w:p>
            <w:pPr>
              <w:pStyle w:val="null3"/>
              <w:jc w:val="left"/>
            </w:pPr>
            <w:r>
              <w:rPr>
                <w:rFonts w:ascii="仿宋_GB2312" w:hAnsi="仿宋_GB2312" w:cs="仿宋_GB2312" w:eastAsia="仿宋_GB2312"/>
              </w:rPr>
              <w:t>参加政府采购活动前三年内，无环保类行政处罚记录声明函（提供声明函加盖公章，格式自拟）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其他材料 投标（响应）报价明细表 供应商应提交的相关证明材料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其他材料 供应商应提交的相关证明材料 自觉抵制政府采购领域商业贿赂行为承诺书 封面 法定代表人资格证明书或法定代表人授权委托书 投标保证金缴纳证明材料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供应商应提交的相关证明材料 封面</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其他材料 供应商应提交的相关证明材料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其他材料 供应商应提交的相关证明材料 自觉抵制政府采购领域商业贿赂行为承诺书 封面 法定代表人资格证明书或法定代表人授权委托书 投标保证金缴纳证明材料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供应商应提交的相关证明材料 封面</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供货及施用方案</w:t>
            </w:r>
          </w:p>
        </w:tc>
        <w:tc>
          <w:tcPr>
            <w:tcW w:type="dxa" w:w="2492"/>
          </w:tcPr>
          <w:p>
            <w:pPr>
              <w:pStyle w:val="null3"/>
              <w:jc w:val="both"/>
            </w:pPr>
            <w:r>
              <w:rPr>
                <w:rFonts w:ascii="仿宋_GB2312" w:hAnsi="仿宋_GB2312" w:cs="仿宋_GB2312" w:eastAsia="仿宋_GB2312"/>
              </w:rPr>
              <w:t>根据项目供货及施用方案中（1）供货计划；（2）施用措施；（3）到货验收等内容（包括但不限于）进行评比。本项评分满分20分，（1）供货计划、（3）到货验收等内容，每一小项5分。各小项评审内容： A.方案内容制定科学、详细、完整、清晰、明确，能够结合项目特点制定具体的步骤及流程，可操作性强，得5分； B.方案内容制定相对完整，制定步骤及流程相对具体，可操作性一般，得3分； C.方案内容制定不完整，制定步骤及流程不具体，可操作性较差，得1分；D.不提供者不得分。（2）施用措施，小项10分。评审内容： A.方案内容制定科学、详细、完整、清晰、明确，能够结合项目特点制定具体的步骤及流程，可操作性强，得10分； B.方案内容制定相对完整，制定步骤及流程相对具体，可操作性一般，得6分； C.方案内容制定不完整，制定步骤及流程不具体，可操作性较差，得2分；D.不提供者不得分。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售后服务及质量保证措施</w:t>
            </w:r>
          </w:p>
        </w:tc>
        <w:tc>
          <w:tcPr>
            <w:tcW w:type="dxa" w:w="2492"/>
          </w:tcPr>
          <w:p>
            <w:pPr>
              <w:pStyle w:val="null3"/>
              <w:jc w:val="both"/>
            </w:pPr>
            <w:r>
              <w:rPr>
                <w:rFonts w:ascii="仿宋_GB2312" w:hAnsi="仿宋_GB2312" w:cs="仿宋_GB2312" w:eastAsia="仿宋_GB2312"/>
              </w:rPr>
              <w:t>根据售后服务及质量保证措施方案中（1）售后服务响应体系；（2）售后保障措施；（3）质量保证方案；（4）紧急情况处理预案等内容（包括但不限于）进行评比。 本项评分满分20分： 每一小项5分。各小项评审内容：A.方案内容全面，且有切实保障措施，承诺对农民使用项目产品过程中的疑惑及产生的问题及时予以解决，适用性强，得5分；B.方案内容相对完整，有保障措施，适用性一般，得3分；C.方案内容不全面，适用性较差，得1分；D.不提供者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运输方案</w:t>
            </w:r>
          </w:p>
        </w:tc>
        <w:tc>
          <w:tcPr>
            <w:tcW w:type="dxa" w:w="2492"/>
          </w:tcPr>
          <w:p>
            <w:pPr>
              <w:pStyle w:val="null3"/>
              <w:jc w:val="both"/>
            </w:pPr>
            <w:r>
              <w:rPr>
                <w:rFonts w:ascii="仿宋_GB2312" w:hAnsi="仿宋_GB2312" w:cs="仿宋_GB2312" w:eastAsia="仿宋_GB2312"/>
              </w:rPr>
              <w:t>根据运输方案中（1）运送管理；（2）运输过程风险防控等内容（包括但不限于）进行评比。本项评分满分6分，每一小项3分。各小项评审内容：A.方案确实符合采购单位实际需求、总体思路清晰、内容细致全面、针对性强，得3分；B.方案总体思路一般、内容相对完善、针对性一般，得2分；C.方案内容不全面，针对性较差，得1分；D.不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产品质量</w:t>
            </w:r>
          </w:p>
        </w:tc>
        <w:tc>
          <w:tcPr>
            <w:tcW w:type="dxa" w:w="2492"/>
          </w:tcPr>
          <w:p>
            <w:pPr>
              <w:pStyle w:val="null3"/>
              <w:jc w:val="both"/>
            </w:pPr>
            <w:r>
              <w:rPr>
                <w:rFonts w:ascii="仿宋_GB2312" w:hAnsi="仿宋_GB2312" w:cs="仿宋_GB2312" w:eastAsia="仿宋_GB2312"/>
              </w:rPr>
              <w:t>投标人对所投产品按技术指标参数进行逐条点对点响应，评审标准如下： （1）参数指标共8条，完全满足用户需求书技术参数的，得24分； （2）参数指标项每不满足一项扣3分。 注：以上参数须在投标文件中提供具有CNAS或CMA 标识的第三方检测机构出具的检测报告复印件，并加盖公章做为证明材料，否则不得分。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中小企业声明函（货物）</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中小企业声明函（货物）</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中小企业声明函（货物）</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根据项目供货方案中（1）人员设备配置；（2）供货计划；（3）实施措施；（4）到货验收等内容（包括但不限于）进行评比。本项评分满分20分，每一小项5分。各小项评审内容： A.方案内容制定科学、详细、完整、清晰、明确，能够结合项目特点制定具体的步骤及流程，可操作性强，得5分； B.方案内容制定相对完整，制定步骤及流程相对具体，可操作性一般，得3分； C.方案内容制定不完整，制定步骤及流程不具体，可操作性较差，得1分；D.不提供者不得分。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售后服务及质量保证措施</w:t>
            </w:r>
          </w:p>
        </w:tc>
        <w:tc>
          <w:tcPr>
            <w:tcW w:type="dxa" w:w="2492"/>
          </w:tcPr>
          <w:p>
            <w:pPr>
              <w:pStyle w:val="null3"/>
              <w:jc w:val="both"/>
            </w:pPr>
            <w:r>
              <w:rPr>
                <w:rFonts w:ascii="仿宋_GB2312" w:hAnsi="仿宋_GB2312" w:cs="仿宋_GB2312" w:eastAsia="仿宋_GB2312"/>
              </w:rPr>
              <w:t>根据售后服务及质量保证措施方案中（1）售后服务响应体系；（2）售后保障措施；（3）质量保证方案；（4）紧急情况处理预案等内容（包括但不限于）进行评比。本项评分满分20分，每一小项5分。各小项评审内容：A.方案内容全面，且有切实保障措施，承诺对农民使用项目产品过程中的疑惑及产生的问题及时予以解决，适用性强，得5分；B.方案内容相对完整，有保障措施，适用性一般，得3分；C.方案内容不全面，适用性较差，得1分；D.不提供者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运输方案</w:t>
            </w:r>
          </w:p>
        </w:tc>
        <w:tc>
          <w:tcPr>
            <w:tcW w:type="dxa" w:w="2492"/>
          </w:tcPr>
          <w:p>
            <w:pPr>
              <w:pStyle w:val="null3"/>
              <w:jc w:val="both"/>
            </w:pPr>
            <w:r>
              <w:rPr>
                <w:rFonts w:ascii="仿宋_GB2312" w:hAnsi="仿宋_GB2312" w:cs="仿宋_GB2312" w:eastAsia="仿宋_GB2312"/>
              </w:rPr>
              <w:t>根据运输方案中（1）运送管理；（2）运输过程风险防控等内容（包括但不限于）进行评比。本项评分满分6分，每一小项3分。各小项评审内容：A.方案确实符合采购单位实际需求、总体思路清晰、内容细致全面、针对性强，得3分；B.方案总体思路一般、内容相对完善、针对性一般，得2分；C.方案内容不全面，针对性较差，得1分；D.不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产品质量</w:t>
            </w:r>
          </w:p>
        </w:tc>
        <w:tc>
          <w:tcPr>
            <w:tcW w:type="dxa" w:w="2492"/>
          </w:tcPr>
          <w:p>
            <w:pPr>
              <w:pStyle w:val="null3"/>
              <w:jc w:val="both"/>
            </w:pPr>
            <w:r>
              <w:rPr>
                <w:rFonts w:ascii="仿宋_GB2312" w:hAnsi="仿宋_GB2312" w:cs="仿宋_GB2312" w:eastAsia="仿宋_GB2312"/>
              </w:rPr>
              <w:t>投标人对所投产品按技术指标参数进行逐条点对点响应，评审标准如下： （1）参数指标共8条，完全满足用户需求书技术参数的，得24分； （2）参数指标项每不满足一项扣3分 。 注： 以上参数须在投标文件中提供 具有CNAS或CMA 标识的第三方检测机构出具的检测报告 复印件，并加盖公章做为证明材料，否则不得分。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中小企业声明函（货物）</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中小企业声明函（货物）</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中小企业声明函（货物）</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[HNZY]20250800001[GK]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2025年度酸化耕地治理重点县项目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实施区域一</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A07080105-有机肥料及微生物肥料</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3873100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详见附件：中小企业声明函（货物）</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[HNZY]20250800001[GK]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2025年度酸化耕地治理重点县项目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实施区域二</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A07080105-有机肥料及微生物肥料</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6617400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详见附件：中小企业声明函（货物）</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详见附件：投标（响应）报价明细表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