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2025年义务教育薄弱环节改善与能力提升设备设施采购项目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HNGP2025-78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澄迈县教育局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2025年义务教育薄弱环节改善与能力提升设备设施采购项目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HNGP2025-78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2025年义务教育薄弱环节改善与能力提升设备设施采购项目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8,350,000.00元</w:t>
      </w:r>
      <w:r>
        <w:rPr>
          <w:rFonts w:ascii="仿宋_GB2312" w:hAnsi="仿宋_GB2312" w:cs="仿宋_GB2312" w:eastAsia="仿宋_GB2312"/>
        </w:rPr>
        <w:t>捌佰叁拾伍万元整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澄迈县教育局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海南省澄迈县金江镇大拉基地教师研训中心五楼503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黄志鹏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18889213899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0898-65321653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采购包1：8,350,000.00元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联系人：黄志鹏</w:t>
      </w:r>
    </w:p>
    <w:p>
      <w:pPr>
        <w:pStyle w:val="null3"/>
        <w:jc w:val="left"/>
      </w:pPr>
      <w:r>
        <w:rPr>
          <w:rFonts w:ascii="仿宋_GB2312" w:hAnsi="仿宋_GB2312" w:cs="仿宋_GB2312" w:eastAsia="仿宋_GB2312"/>
        </w:rPr>
        <w:t>联系电话：18889213899</w:t>
      </w:r>
    </w:p>
    <w:p>
      <w:pPr>
        <w:pStyle w:val="null3"/>
        <w:jc w:val="left"/>
      </w:pPr>
      <w:r>
        <w:rPr>
          <w:rFonts w:ascii="仿宋_GB2312" w:hAnsi="仿宋_GB2312" w:cs="仿宋_GB2312" w:eastAsia="仿宋_GB2312"/>
        </w:rPr>
        <w:t>地址：海南省澄迈县金江镇大拉基地教师研训中心五楼503</w:t>
      </w:r>
    </w:p>
    <w:p>
      <w:pPr>
        <w:pStyle w:val="null3"/>
        <w:jc w:val="left"/>
      </w:pPr>
      <w:r>
        <w:rPr>
          <w:rFonts w:ascii="仿宋_GB2312" w:hAnsi="仿宋_GB2312" w:cs="仿宋_GB2312" w:eastAsia="仿宋_GB2312"/>
        </w:rPr>
        <w:t>邮编：570000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联系人：姚嘉</w:t>
      </w:r>
    </w:p>
    <w:p>
      <w:pPr>
        <w:pStyle w:val="null3"/>
        <w:jc w:val="left"/>
      </w:pPr>
      <w:r>
        <w:rPr>
          <w:rFonts w:ascii="仿宋_GB2312" w:hAnsi="仿宋_GB2312" w:cs="仿宋_GB2312" w:eastAsia="仿宋_GB2312"/>
        </w:rPr>
        <w:t>联系电话：0898-65321653</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1、本项目属于工业行业</w:t>
      </w:r>
    </w:p>
    <w:p>
      <w:pPr>
        <w:pStyle w:val="null3"/>
        <w:jc w:val="left"/>
      </w:pPr>
      <w:r>
        <w:rPr>
          <w:rFonts w:ascii="仿宋_GB2312" w:hAnsi="仿宋_GB2312" w:cs="仿宋_GB2312" w:eastAsia="仿宋_GB2312"/>
          <w:sz w:val="24"/>
          <w:b/>
        </w:rPr>
        <w:t>2、本项目核心产品：智慧黑板</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8,350,000.00</w:t>
      </w:r>
    </w:p>
    <w:p>
      <w:pPr>
        <w:pStyle w:val="null3"/>
        <w:jc w:val="left"/>
      </w:pPr>
      <w:r>
        <w:rPr>
          <w:rFonts w:ascii="仿宋_GB2312" w:hAnsi="仿宋_GB2312" w:cs="仿宋_GB2312" w:eastAsia="仿宋_GB2312"/>
        </w:rPr>
        <w:t>采购包最高限价（元）: 8,332,486.00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A05010203-教学、实验用桌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A05010203-教学、实验用桌</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8,332,486.00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标的名称：A05010203-教学、实验用桌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1、技术参数详见附件</w:t>
            </w:r>
          </w:p>
          <w:p>
            <w:pPr>
              <w:pStyle w:val="null3"/>
              <w:jc w:val="left"/>
            </w:pPr>
            <w:r>
              <w:rPr>
                <w:rFonts w:ascii="仿宋_GB2312" w:hAnsi="仿宋_GB2312" w:cs="仿宋_GB2312" w:eastAsia="仿宋_GB2312"/>
              </w:rPr>
              <w:t>2、本项目</w:t>
            </w:r>
            <w:r>
              <w:rPr>
                <w:rFonts w:ascii="仿宋_GB2312" w:hAnsi="仿宋_GB2312" w:cs="仿宋_GB2312" w:eastAsia="仿宋_GB2312"/>
                <w:sz w:val="21"/>
              </w:rPr>
              <w:t>核心产品：智慧黑板</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采购预算：本项目最高限价为</w:t>
            </w:r>
            <w:r>
              <w:rPr>
                <w:rFonts w:ascii="仿宋_GB2312" w:hAnsi="仿宋_GB2312" w:cs="仿宋_GB2312" w:eastAsia="仿宋_GB2312"/>
                <w:sz w:val="21"/>
              </w:rPr>
              <w:t>8332486</w:t>
            </w:r>
            <w:r>
              <w:rPr>
                <w:rFonts w:ascii="仿宋_GB2312" w:hAnsi="仿宋_GB2312" w:cs="仿宋_GB2312" w:eastAsia="仿宋_GB2312"/>
                <w:sz w:val="21"/>
              </w:rPr>
              <w:t>元，投标人的投标报价不得高于最高限价，否则视为无效报价。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交货期：合同签订后</w:t>
            </w:r>
            <w:r>
              <w:rPr>
                <w:rFonts w:ascii="仿宋_GB2312" w:hAnsi="仿宋_GB2312" w:cs="仿宋_GB2312" w:eastAsia="仿宋_GB2312"/>
                <w:sz w:val="21"/>
              </w:rPr>
              <w:t>30</w:t>
            </w:r>
            <w:r>
              <w:rPr>
                <w:rFonts w:ascii="仿宋_GB2312" w:hAnsi="仿宋_GB2312" w:cs="仿宋_GB2312" w:eastAsia="仿宋_GB2312"/>
                <w:sz w:val="21"/>
              </w:rPr>
              <w:t>天内完成供货、安装调试和验收。</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交货地点：采购人指定地点。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付款条件：合同签订后</w:t>
            </w:r>
            <w:r>
              <w:rPr>
                <w:rFonts w:ascii="仿宋_GB2312" w:hAnsi="仿宋_GB2312" w:cs="仿宋_GB2312" w:eastAsia="仿宋_GB2312"/>
                <w:sz w:val="21"/>
              </w:rPr>
              <w:t>20</w:t>
            </w:r>
            <w:r>
              <w:rPr>
                <w:rFonts w:ascii="仿宋_GB2312" w:hAnsi="仿宋_GB2312" w:cs="仿宋_GB2312" w:eastAsia="仿宋_GB2312"/>
                <w:sz w:val="21"/>
              </w:rPr>
              <w:t>日内，支付合同金额的</w:t>
            </w:r>
            <w:r>
              <w:rPr>
                <w:rFonts w:ascii="仿宋_GB2312" w:hAnsi="仿宋_GB2312" w:cs="仿宋_GB2312" w:eastAsia="仿宋_GB2312"/>
                <w:sz w:val="21"/>
              </w:rPr>
              <w:t>30%</w:t>
            </w:r>
            <w:r>
              <w:rPr>
                <w:rFonts w:ascii="仿宋_GB2312" w:hAnsi="仿宋_GB2312" w:cs="仿宋_GB2312" w:eastAsia="仿宋_GB2312"/>
                <w:sz w:val="21"/>
              </w:rPr>
              <w:t>预付款，安装调试完成及通过验收后，出具履约保证金银行保函，支付合同金额</w:t>
            </w:r>
            <w:r>
              <w:rPr>
                <w:rFonts w:ascii="仿宋_GB2312" w:hAnsi="仿宋_GB2312" w:cs="仿宋_GB2312" w:eastAsia="仿宋_GB2312"/>
                <w:sz w:val="21"/>
              </w:rPr>
              <w:t>70%</w:t>
            </w:r>
            <w:r>
              <w:rPr>
                <w:rFonts w:ascii="仿宋_GB2312" w:hAnsi="仿宋_GB2312" w:cs="仿宋_GB2312" w:eastAsia="仿宋_GB2312"/>
                <w:sz w:val="21"/>
              </w:rPr>
              <w:t>的款项。</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售后服务：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）本项目的质保期为贰年，质保期从整体验收合格之日起计算，免费上门服务。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）在保质期以内，乙方在接到用户的维修通知后</w:t>
            </w:r>
            <w:r>
              <w:rPr>
                <w:rFonts w:ascii="仿宋_GB2312" w:hAnsi="仿宋_GB2312" w:cs="仿宋_GB2312" w:eastAsia="仿宋_GB2312"/>
                <w:sz w:val="21"/>
              </w:rPr>
              <w:t>8</w:t>
            </w:r>
            <w:r>
              <w:rPr>
                <w:rFonts w:ascii="仿宋_GB2312" w:hAnsi="仿宋_GB2312" w:cs="仿宋_GB2312" w:eastAsia="仿宋_GB2312"/>
                <w:sz w:val="21"/>
              </w:rPr>
              <w:t>小时内响应，</w:t>
            </w:r>
            <w:r>
              <w:rPr>
                <w:rFonts w:ascii="仿宋_GB2312" w:hAnsi="仿宋_GB2312" w:cs="仿宋_GB2312" w:eastAsia="仿宋_GB2312"/>
                <w:sz w:val="21"/>
              </w:rPr>
              <w:t>24</w:t>
            </w:r>
            <w:r>
              <w:rPr>
                <w:rFonts w:ascii="仿宋_GB2312" w:hAnsi="仿宋_GB2312" w:cs="仿宋_GB2312" w:eastAsia="仿宋_GB2312"/>
                <w:sz w:val="21"/>
              </w:rPr>
              <w:t>小时内派出有能力的维修人员赶到用户现场进行维修处理。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）在保质期满后，乙方将保证以合理的价格提供备件和保养服务，当发生故障时，乙方按保质期内同样的要求进行维修处理，合理收取维修费。</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质量保证</w:t>
            </w:r>
          </w:p>
          <w:p>
            <w:pPr>
              <w:pStyle w:val="null3"/>
              <w:jc w:val="both"/>
            </w:pPr>
            <w:r>
              <w:rPr>
                <w:rFonts w:ascii="仿宋_GB2312" w:hAnsi="仿宋_GB2312" w:cs="仿宋_GB2312" w:eastAsia="仿宋_GB2312"/>
                <w:sz w:val="21"/>
              </w:rPr>
              <w:t>乙方保证提供的设备必须为正规渠道销售的设备，为全新未使用过的，并完全符合国家、行业标准以及投标文件所响应的质量、规格和性能要求。乙方应保证所提供的货物经正确安装、正常运转和保养在其使用寿命期内具有满意的性能。在货物质量保证期内，乙方应对由于设计、工艺或材料的缺陷而造成的任何不足或故障负责。</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19"/>
                <w:color w:val="000000"/>
              </w:rPr>
              <w:t>★</w:t>
            </w:r>
            <w:r>
              <w:rPr>
                <w:rFonts w:ascii="仿宋_GB2312" w:hAnsi="仿宋_GB2312" w:cs="仿宋_GB2312" w:eastAsia="仿宋_GB2312"/>
                <w:sz w:val="21"/>
              </w:rPr>
              <w:t>7.</w:t>
            </w:r>
            <w:r>
              <w:rPr>
                <w:rFonts w:ascii="仿宋_GB2312" w:hAnsi="仿宋_GB2312" w:cs="仿宋_GB2312" w:eastAsia="仿宋_GB2312"/>
                <w:sz w:val="21"/>
              </w:rPr>
              <w:t>验收要求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）甲方应在乙方交货之日起 </w:t>
            </w:r>
            <w:r>
              <w:rPr>
                <w:rFonts w:ascii="仿宋_GB2312" w:hAnsi="仿宋_GB2312" w:cs="仿宋_GB2312" w:eastAsia="仿宋_GB2312"/>
                <w:sz w:val="21"/>
              </w:rPr>
              <w:t xml:space="preserve">15 </w:t>
            </w:r>
            <w:r>
              <w:rPr>
                <w:rFonts w:ascii="仿宋_GB2312" w:hAnsi="仿宋_GB2312" w:cs="仿宋_GB2312" w:eastAsia="仿宋_GB2312"/>
                <w:sz w:val="21"/>
              </w:rPr>
              <w:t xml:space="preserve">个工作日内组织验收工作。验收时，乙方代表必须在场。甲方将对货物的质量、规格和数量进行检验，并出具验收意见。验收标准除乙方投标文件所响应的质量、规格和数量外，可溯源到国家、行业相关标准。验收后，乙方可在 </w:t>
            </w:r>
            <w:r>
              <w:rPr>
                <w:rFonts w:ascii="仿宋_GB2312" w:hAnsi="仿宋_GB2312" w:cs="仿宋_GB2312" w:eastAsia="仿宋_GB2312"/>
                <w:sz w:val="21"/>
              </w:rPr>
              <w:t xml:space="preserve">15 </w:t>
            </w:r>
            <w:r>
              <w:rPr>
                <w:rFonts w:ascii="仿宋_GB2312" w:hAnsi="仿宋_GB2312" w:cs="仿宋_GB2312" w:eastAsia="仿宋_GB2312"/>
                <w:sz w:val="21"/>
              </w:rPr>
              <w:t>工作日内提出书面验收异议，否则，视为同意验收意见。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）甲方可以自行派人验收，也可以委托具有资质的第三方相关专家进行验收。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 xml:space="preserve">）如设备的规格或质量、规格或性能与合同不符，或设备存在缺陷，乙方应接到甲方书面通知后 </w:t>
            </w:r>
            <w:r>
              <w:rPr>
                <w:rFonts w:ascii="仿宋_GB2312" w:hAnsi="仿宋_GB2312" w:cs="仿宋_GB2312" w:eastAsia="仿宋_GB2312"/>
                <w:sz w:val="21"/>
              </w:rPr>
              <w:t xml:space="preserve">15 </w:t>
            </w:r>
            <w:r>
              <w:rPr>
                <w:rFonts w:ascii="仿宋_GB2312" w:hAnsi="仿宋_GB2312" w:cs="仿宋_GB2312" w:eastAsia="仿宋_GB2312"/>
                <w:sz w:val="21"/>
              </w:rPr>
              <w:t>日内按合同确定的质量、规格或性能予以更换，由此产生的一切费用及给甲方造成的一切损失由乙方承担。同时相应延长质量保证期。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）如因质量、规格或性能问题，乙方未按第</w:t>
            </w:r>
            <w:r>
              <w:rPr>
                <w:rFonts w:ascii="仿宋_GB2312" w:hAnsi="仿宋_GB2312" w:cs="仿宋_GB2312" w:eastAsia="仿宋_GB2312"/>
                <w:sz w:val="21"/>
              </w:rPr>
              <w:t>3</w:t>
            </w:r>
            <w:r>
              <w:rPr>
                <w:rFonts w:ascii="仿宋_GB2312" w:hAnsi="仿宋_GB2312" w:cs="仿宋_GB2312" w:eastAsia="仿宋_GB2312"/>
                <w:sz w:val="21"/>
              </w:rPr>
              <w:t>条的约定处理，甲方有权要求乙方退货，乙方必须按合同约定的货款并加算银行同期贷款利息，退款给甲方；并承担由退货给甲方造成的损失。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）如因设备的质量问题发生纠纷，应由国家质检部门进行质量鉴定。如鉴定结果证明乙方所供货物存在质量问题，费用由乙方承担。否则，由甲方承担。</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 如不满足则认定其响应无效。 （2）“二、 技术和服务要求”及“三、商务要求”须在技术、商务响应表中逐条响应，其它内容无须在技术、商务响应表中响应。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技术指标(一)</w:t>
            </w:r>
          </w:p>
        </w:tc>
        <w:tc>
          <w:tcPr>
            <w:tcW w:type="dxa" w:w="2492"/>
          </w:tcPr>
          <w:p>
            <w:pPr>
              <w:pStyle w:val="null3"/>
              <w:jc w:val="both"/>
            </w:pPr>
            <w:r>
              <w:rPr>
                <w:rFonts w:ascii="仿宋_GB2312" w:hAnsi="仿宋_GB2312" w:cs="仿宋_GB2312" w:eastAsia="仿宋_GB2312"/>
              </w:rPr>
              <w:t>根据采购需求中“技术参数”的所有参数完全响应或优于招标要求的，得23.2分； 1、投标人所提供产品的技术参数完全满足招标文件技术参数要求的，得23.2分； 2、投标人所提供产品的技术参数不满足招标文件技术参数要求的，则在23.2分的基础上，按以下原则扣分，扣完为止： 带▲的重要技术参数项，全部满足的23.2分；每有一项负偏离的扣0.8分，共计29项； 注：未提供采购需求要求的证明材料的，不能得分。</w:t>
            </w:r>
          </w:p>
        </w:tc>
        <w:tc>
          <w:tcPr>
            <w:tcW w:type="dxa" w:w="831"/>
          </w:tcPr>
          <w:p>
            <w:pPr>
              <w:pStyle w:val="null3"/>
              <w:jc w:val="right"/>
            </w:pPr>
            <w:r>
              <w:rPr>
                <w:rFonts w:ascii="仿宋_GB2312" w:hAnsi="仿宋_GB2312" w:cs="仿宋_GB2312" w:eastAsia="仿宋_GB2312"/>
              </w:rPr>
              <w:t>23.2000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技术指标(二)</w:t>
            </w:r>
          </w:p>
        </w:tc>
        <w:tc>
          <w:tcPr>
            <w:tcW w:type="dxa" w:w="2492"/>
          </w:tcPr>
          <w:p>
            <w:pPr>
              <w:pStyle w:val="null3"/>
              <w:jc w:val="both"/>
            </w:pPr>
            <w:r>
              <w:rPr>
                <w:rFonts w:ascii="仿宋_GB2312" w:hAnsi="仿宋_GB2312" w:cs="仿宋_GB2312" w:eastAsia="仿宋_GB2312"/>
              </w:rPr>
              <w:t>根据采购需求中“技术参数”的所有参数完全响应或优于招标要求的，得16.8分； 1、投标人所提供产品的技术参数完全满足招标文件技术参数要求的，得16.8分； 2、投标人所提供产品的技术参数不满足招标文件技术参数要求的，则在16.8分的基础上，按以下原则扣分，扣完为止： 非▲的一般技术参数，全部满足的16.8分；每有一项负偏离的扣0.08分，共计228项； 注：未提供采购需求要求的证明材料的，不能得分。</w:t>
            </w:r>
          </w:p>
        </w:tc>
        <w:tc>
          <w:tcPr>
            <w:tcW w:type="dxa" w:w="831"/>
          </w:tcPr>
          <w:p>
            <w:pPr>
              <w:pStyle w:val="null3"/>
              <w:jc w:val="right"/>
            </w:pPr>
            <w:r>
              <w:rPr>
                <w:rFonts w:ascii="仿宋_GB2312" w:hAnsi="仿宋_GB2312" w:cs="仿宋_GB2312" w:eastAsia="仿宋_GB2312"/>
              </w:rPr>
              <w:t>16.8000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 方案</w:t>
            </w:r>
          </w:p>
        </w:tc>
        <w:tc>
          <w:tcPr>
            <w:tcW w:type="dxa" w:w="2492"/>
          </w:tcPr>
          <w:p>
            <w:pPr>
              <w:pStyle w:val="null3"/>
              <w:jc w:val="both"/>
            </w:pPr>
            <w:r>
              <w:rPr>
                <w:rFonts w:ascii="仿宋_GB2312" w:hAnsi="仿宋_GB2312" w:cs="仿宋_GB2312" w:eastAsia="仿宋_GB2312"/>
              </w:rPr>
              <w:t>根据供应商提供的项目实施方案进行赋分，内容包含但不限于①供货方案；②实施进度计划；③质量保证方案；④安装调试措施等；每一项内容3分，满分12分，每一项内容赋分标准如下： 方案中包含以上要求全部内容且满足采购需求得12分，每缺少一项内容扣3分；每一项方案内容（分析不明确、描述不详细、前后互相矛盾、缺乏针对性、应对措施不合理等）存在一处缺陷扣1分，扣完3分为止。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根据供应商提供的售后服务方案进行赋分，内容包含但不限于①服务内容；②服务响应时效；③培训方案等；每一项内容4分，满分12分，每一项内容赋分标准如下： 方案中包含以上要求全部内容且满足采购需求得12分，每缺少一项内容扣4分；每一项方案内容（分析不明确、描述不详细、前后互相矛盾、缺乏针对性、应对措施不合理等）存在一处缺陷扣1分，扣完4分为止。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应急响应 方案</w:t>
            </w:r>
          </w:p>
        </w:tc>
        <w:tc>
          <w:tcPr>
            <w:tcW w:type="dxa" w:w="2492"/>
          </w:tcPr>
          <w:p>
            <w:pPr>
              <w:pStyle w:val="null3"/>
              <w:jc w:val="both"/>
            </w:pPr>
            <w:r>
              <w:rPr>
                <w:rFonts w:ascii="仿宋_GB2312" w:hAnsi="仿宋_GB2312" w:cs="仿宋_GB2312" w:eastAsia="仿宋_GB2312"/>
              </w:rPr>
              <w:t>根据供应商提供的应急响应方案进行赋分，内容包含但不限于①故障响应；②应急处置方案等；每一项内容3分，满分6分，每一项内容赋分标准如下： 方案中包含以上要求全部内容且满足采购需求得6分，每缺少一项内容扣3分；每一项方案内容（分析不明确、描述不详细、前后互相矛盾、缺乏针对性、应对措施不合理等）存在一处缺陷扣1分，扣完3分为止。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2025年义务教育薄弱环节改善与能力提升设备设施采购项目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A05010203-教学、实验用桌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8332486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