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2C005">
      <w:pPr>
        <w:spacing w:before="150" w:line="219" w:lineRule="auto"/>
        <w:ind w:left="1740"/>
        <w:outlineLvl w:val="0"/>
        <w:rPr>
          <w:rFonts w:ascii="新宋体" w:hAnsi="新宋体" w:eastAsia="新宋体" w:cs="新宋体"/>
          <w:color w:val="auto"/>
          <w:sz w:val="46"/>
          <w:szCs w:val="46"/>
        </w:rPr>
      </w:pPr>
      <w:bookmarkStart w:id="0" w:name="_Toc10820"/>
      <w:r>
        <w:rPr>
          <w:rFonts w:ascii="新宋体" w:hAnsi="新宋体" w:eastAsia="新宋体" w:cs="新宋体"/>
          <w:color w:val="auto"/>
          <w:spacing w:val="-2"/>
          <w:sz w:val="46"/>
          <w:szCs w:val="46"/>
        </w:rPr>
        <w:t>第四章  合同条款及格式</w:t>
      </w:r>
      <w:bookmarkEnd w:id="0"/>
    </w:p>
    <w:p w14:paraId="17445EF0">
      <w:pPr>
        <w:spacing w:before="167" w:line="219" w:lineRule="auto"/>
        <w:ind w:left="616"/>
        <w:rPr>
          <w:rFonts w:ascii="宋体" w:hAnsi="宋体" w:eastAsia="宋体" w:cs="宋体"/>
          <w:color w:val="auto"/>
          <w:sz w:val="28"/>
          <w:szCs w:val="28"/>
          <w14:textOutline w14:w="5080" w14:cap="flat" w14:cmpd="sng">
            <w14:solidFill>
              <w14:srgbClr w14:val="000000"/>
            </w14:solidFill>
            <w14:prstDash w14:val="solid"/>
            <w14:miter w14:val="0"/>
          </w14:textOutline>
        </w:rPr>
      </w:pPr>
    </w:p>
    <w:p w14:paraId="18AA5121">
      <w:pPr>
        <w:spacing w:before="167" w:line="219" w:lineRule="auto"/>
        <w:ind w:left="616"/>
        <w:rPr>
          <w:rFonts w:hint="eastAsia" w:ascii="宋体" w:hAnsi="宋体" w:eastAsia="宋体" w:cs="宋体"/>
          <w:color w:val="auto"/>
          <w:sz w:val="28"/>
          <w:szCs w:val="28"/>
          <w14:textOutline w14:w="5080" w14:cap="flat" w14:cmpd="sng">
            <w14:solidFill>
              <w14:srgbClr w14:val="000000"/>
            </w14:solidFill>
            <w14:prstDash w14:val="solid"/>
            <w14:miter w14:val="0"/>
          </w14:textOutline>
        </w:rPr>
      </w:pPr>
      <w:r>
        <w:rPr>
          <w:rFonts w:ascii="宋体" w:hAnsi="宋体" w:eastAsia="宋体" w:cs="宋体"/>
          <w:color w:val="auto"/>
          <w:sz w:val="28"/>
          <w:szCs w:val="28"/>
          <w14:textOutline w14:w="5080" w14:cap="flat" w14:cmpd="sng">
            <w14:solidFill>
              <w14:srgbClr w14:val="000000"/>
            </w14:solidFill>
            <w14:prstDash w14:val="solid"/>
            <w14:miter w14:val="0"/>
          </w14:textOutline>
        </w:rPr>
        <w:t>（此合同模板仅为参考，</w:t>
      </w:r>
      <w:r>
        <w:rPr>
          <w:rFonts w:hint="eastAsia" w:ascii="宋体" w:hAnsi="宋体" w:eastAsia="宋体" w:cs="宋体"/>
          <w:color w:val="auto"/>
          <w:sz w:val="28"/>
          <w:szCs w:val="28"/>
          <w14:textOutline w14:w="5080" w14:cap="flat" w14:cmpd="sng">
            <w14:solidFill>
              <w14:srgbClr w14:val="000000"/>
            </w14:solidFill>
            <w14:prstDash w14:val="solid"/>
            <w14:miter w14:val="0"/>
          </w14:textOutline>
        </w:rPr>
        <w:t>合同文本以正式签订文本为准）</w:t>
      </w:r>
    </w:p>
    <w:p w14:paraId="62B35DE8">
      <w:pPr>
        <w:spacing w:before="167" w:line="219" w:lineRule="auto"/>
        <w:ind w:left="616"/>
        <w:rPr>
          <w:rFonts w:hint="eastAsia" w:ascii="宋体" w:hAnsi="宋体" w:eastAsia="宋体" w:cs="宋体"/>
          <w:color w:val="auto"/>
          <w:sz w:val="28"/>
          <w:szCs w:val="28"/>
          <w14:textOutline w14:w="5080" w14:cap="flat" w14:cmpd="sng">
            <w14:solidFill>
              <w14:srgbClr w14:val="000000"/>
            </w14:solidFill>
            <w14:prstDash w14:val="solid"/>
            <w14:miter w14:val="0"/>
          </w14:textOutline>
        </w:rPr>
      </w:pPr>
    </w:p>
    <w:p w14:paraId="4C0CE316">
      <w:pPr>
        <w:spacing w:before="167" w:line="219" w:lineRule="auto"/>
        <w:ind w:left="616"/>
        <w:rPr>
          <w:rFonts w:hint="eastAsia" w:ascii="宋体" w:hAnsi="宋体" w:eastAsia="宋体" w:cs="宋体"/>
          <w:color w:val="auto"/>
          <w:sz w:val="28"/>
          <w:szCs w:val="28"/>
          <w14:textOutline w14:w="5080" w14:cap="flat" w14:cmpd="sng">
            <w14:solidFill>
              <w14:srgbClr w14:val="000000"/>
            </w14:solidFill>
            <w14:prstDash w14:val="solid"/>
            <w14:miter w14:val="0"/>
          </w14:textOutline>
        </w:rPr>
      </w:pPr>
    </w:p>
    <w:p w14:paraId="28136AD0">
      <w:pPr>
        <w:spacing w:before="167" w:line="219" w:lineRule="auto"/>
        <w:ind w:left="616"/>
        <w:rPr>
          <w:rFonts w:hint="eastAsia" w:ascii="宋体" w:hAnsi="宋体" w:eastAsia="宋体" w:cs="宋体"/>
          <w:color w:val="auto"/>
          <w:sz w:val="28"/>
          <w:szCs w:val="28"/>
          <w14:textOutline w14:w="5080" w14:cap="flat" w14:cmpd="sng">
            <w14:solidFill>
              <w14:srgbClr w14:val="000000"/>
            </w14:solidFill>
            <w14:prstDash w14:val="solid"/>
            <w14:miter w14:val="0"/>
          </w14:textOutline>
        </w:rPr>
      </w:pPr>
    </w:p>
    <w:p w14:paraId="6D30C492">
      <w:pPr>
        <w:spacing w:before="167" w:line="219" w:lineRule="auto"/>
        <w:ind w:firstLine="560" w:firstLineChars="200"/>
        <w:rPr>
          <w:rFonts w:hint="eastAsia" w:ascii="宋体" w:hAnsi="宋体" w:eastAsia="宋体" w:cs="宋体"/>
          <w:color w:val="auto"/>
          <w:sz w:val="28"/>
          <w:szCs w:val="28"/>
          <w14:textOutline w14:w="5080" w14:cap="flat" w14:cmpd="sng">
            <w14:solidFill>
              <w14:srgbClr w14:val="000000"/>
            </w14:solidFill>
            <w14:prstDash w14:val="solid"/>
            <w14:miter w14:val="0"/>
          </w14:textOutline>
        </w:rPr>
      </w:pPr>
      <w:r>
        <w:rPr>
          <w:rFonts w:hint="eastAsia" w:ascii="宋体" w:hAnsi="宋体" w:eastAsia="宋体" w:cs="宋体"/>
          <w:color w:val="auto"/>
          <w:sz w:val="28"/>
          <w:szCs w:val="28"/>
          <w14:textOutline w14:w="5080" w14:cap="flat" w14:cmpd="sng">
            <w14:solidFill>
              <w14:srgbClr w14:val="000000"/>
            </w14:solidFill>
            <w14:prstDash w14:val="solid"/>
            <w14:miter w14:val="0"/>
          </w14:textOutline>
        </w:rPr>
        <w:t xml:space="preserve"> </w:t>
      </w:r>
    </w:p>
    <w:p w14:paraId="396C43DC">
      <w:pPr>
        <w:tabs>
          <w:tab w:val="left" w:pos="5040"/>
        </w:tabs>
        <w:wordWrap w:val="0"/>
        <w:spacing w:line="560" w:lineRule="exact"/>
        <w:ind w:right="84"/>
        <w:jc w:val="right"/>
        <w:rPr>
          <w:rFonts w:ascii="仿宋_GB2312" w:hAnsi="宋体" w:eastAsia="仿宋_GB2312"/>
          <w:color w:val="auto"/>
          <w:sz w:val="28"/>
          <w:szCs w:val="28"/>
        </w:rPr>
      </w:pPr>
      <w:bookmarkStart w:id="1" w:name="bookmark5"/>
      <w:bookmarkEnd w:id="1"/>
      <w:r>
        <w:rPr>
          <w:rFonts w:hint="eastAsia" w:ascii="微软雅黑" w:eastAsia="微软雅黑"/>
          <w:color w:val="auto"/>
          <w:sz w:val="32"/>
          <w:szCs w:val="32"/>
          <w:lang w:val="en-US" w:eastAsia="zh-CN"/>
        </w:rPr>
        <w:t xml:space="preserve">       </w:t>
      </w:r>
      <w:r>
        <w:rPr>
          <w:rFonts w:hint="eastAsia" w:ascii="仿宋_GB2312" w:hAnsi="宋体" w:eastAsia="仿宋_GB2312"/>
          <w:color w:val="auto"/>
          <w:sz w:val="28"/>
          <w:szCs w:val="28"/>
        </w:rPr>
        <w:t xml:space="preserve">编号：         </w:t>
      </w:r>
    </w:p>
    <w:p w14:paraId="057496A7">
      <w:pPr>
        <w:spacing w:line="560" w:lineRule="exact"/>
        <w:ind w:firstLine="964" w:firstLineChars="200"/>
        <w:jc w:val="center"/>
        <w:rPr>
          <w:rFonts w:cs="仿宋" w:asciiTheme="majorEastAsia" w:hAnsiTheme="majorEastAsia" w:eastAsiaTheme="majorEastAsia"/>
          <w:b/>
          <w:bCs/>
          <w:color w:val="auto"/>
          <w:sz w:val="48"/>
          <w:szCs w:val="48"/>
        </w:rPr>
      </w:pPr>
    </w:p>
    <w:p w14:paraId="15DE6AFB">
      <w:pPr>
        <w:spacing w:line="560" w:lineRule="exact"/>
        <w:ind w:firstLine="964" w:firstLineChars="200"/>
        <w:jc w:val="center"/>
        <w:rPr>
          <w:rFonts w:cs="仿宋" w:asciiTheme="majorEastAsia" w:hAnsiTheme="majorEastAsia" w:eastAsiaTheme="majorEastAsia"/>
          <w:b/>
          <w:bCs/>
          <w:color w:val="auto"/>
          <w:sz w:val="48"/>
          <w:szCs w:val="48"/>
        </w:rPr>
      </w:pPr>
    </w:p>
    <w:p w14:paraId="14CB4430">
      <w:pPr>
        <w:pStyle w:val="2"/>
        <w:keepNext w:val="0"/>
        <w:keepLines w:val="0"/>
        <w:pageBreakBefore w:val="0"/>
        <w:widowControl/>
        <w:kinsoku/>
        <w:wordWrap/>
        <w:overflowPunct/>
        <w:topLinePunct w:val="0"/>
        <w:autoSpaceDE w:val="0"/>
        <w:autoSpaceDN w:val="0"/>
        <w:bidi w:val="0"/>
        <w:adjustRightInd/>
        <w:snapToGrid/>
        <w:spacing w:line="700" w:lineRule="exact"/>
        <w:ind w:firstLine="964"/>
        <w:textAlignment w:val="auto"/>
        <w:rPr>
          <w:rFonts w:cs="仿宋" w:asciiTheme="majorEastAsia" w:hAnsiTheme="majorEastAsia" w:eastAsiaTheme="majorEastAsia"/>
          <w:b/>
          <w:bCs/>
          <w:color w:val="auto"/>
          <w:sz w:val="52"/>
          <w:szCs w:val="52"/>
        </w:rPr>
      </w:pPr>
    </w:p>
    <w:p w14:paraId="711C78BC">
      <w:pPr>
        <w:keepNext w:val="0"/>
        <w:keepLines w:val="0"/>
        <w:pageBreakBefore w:val="0"/>
        <w:kinsoku/>
        <w:wordWrap/>
        <w:overflowPunct/>
        <w:topLinePunct w:val="0"/>
        <w:bidi w:val="0"/>
        <w:adjustRightInd/>
        <w:snapToGrid/>
        <w:spacing w:line="700" w:lineRule="exact"/>
        <w:jc w:val="center"/>
        <w:textAlignment w:val="auto"/>
        <w:rPr>
          <w:color w:val="auto"/>
          <w:sz w:val="52"/>
          <w:szCs w:val="52"/>
        </w:rPr>
      </w:pPr>
      <w:r>
        <w:rPr>
          <w:rFonts w:hint="eastAsia" w:ascii="宋体" w:hAnsi="宋体" w:eastAsia="宋体" w:cs="宋体"/>
          <w:b/>
          <w:bCs/>
          <w:color w:val="auto"/>
          <w:sz w:val="52"/>
          <w:szCs w:val="52"/>
          <w:lang w:val="en-US" w:eastAsia="zh-CN"/>
        </w:rPr>
        <w:t>政府购买</w:t>
      </w:r>
      <w:r>
        <w:rPr>
          <w:rFonts w:hint="eastAsia" w:ascii="宋体" w:hAnsi="宋体" w:eastAsia="宋体" w:cs="宋体"/>
          <w:b/>
          <w:bCs/>
          <w:color w:val="auto"/>
          <w:sz w:val="52"/>
          <w:szCs w:val="52"/>
        </w:rPr>
        <w:t>服务项目合同</w:t>
      </w:r>
    </w:p>
    <w:p w14:paraId="05AC3C00">
      <w:pPr>
        <w:keepNext w:val="0"/>
        <w:keepLines w:val="0"/>
        <w:pageBreakBefore w:val="0"/>
        <w:kinsoku/>
        <w:wordWrap/>
        <w:overflowPunct/>
        <w:topLinePunct w:val="0"/>
        <w:bidi w:val="0"/>
        <w:adjustRightInd/>
        <w:snapToGrid/>
        <w:spacing w:line="700" w:lineRule="exact"/>
        <w:ind w:firstLine="1040" w:firstLineChars="200"/>
        <w:textAlignment w:val="auto"/>
        <w:rPr>
          <w:color w:val="auto"/>
          <w:sz w:val="52"/>
          <w:szCs w:val="52"/>
        </w:rPr>
      </w:pPr>
    </w:p>
    <w:p w14:paraId="7C70EC06">
      <w:pPr>
        <w:pStyle w:val="2"/>
        <w:rPr>
          <w:color w:val="auto"/>
        </w:rPr>
      </w:pPr>
    </w:p>
    <w:p w14:paraId="08D31C07">
      <w:pPr>
        <w:rPr>
          <w:color w:val="auto"/>
        </w:rPr>
      </w:pPr>
    </w:p>
    <w:p w14:paraId="6010A063">
      <w:pPr>
        <w:pStyle w:val="2"/>
        <w:rPr>
          <w:color w:val="auto"/>
        </w:rPr>
      </w:pPr>
    </w:p>
    <w:p w14:paraId="34BAA836">
      <w:pPr>
        <w:rPr>
          <w:color w:val="auto"/>
        </w:rPr>
      </w:pPr>
    </w:p>
    <w:p w14:paraId="5404C4F8">
      <w:pPr>
        <w:pStyle w:val="2"/>
        <w:rPr>
          <w:color w:val="auto"/>
        </w:rPr>
      </w:pPr>
    </w:p>
    <w:p w14:paraId="24DEFBB9">
      <w:pPr>
        <w:pStyle w:val="2"/>
        <w:rPr>
          <w:color w:val="auto"/>
        </w:rPr>
      </w:pPr>
    </w:p>
    <w:p w14:paraId="7D489CAD">
      <w:pPr>
        <w:rPr>
          <w:color w:val="auto"/>
        </w:rPr>
      </w:pPr>
    </w:p>
    <w:p w14:paraId="7E5F0FA3">
      <w:pPr>
        <w:pStyle w:val="2"/>
        <w:rPr>
          <w:color w:val="auto"/>
        </w:rPr>
      </w:pPr>
    </w:p>
    <w:p w14:paraId="5962F54C">
      <w:pPr>
        <w:rPr>
          <w:color w:val="auto"/>
        </w:rPr>
      </w:pPr>
    </w:p>
    <w:p w14:paraId="539D5D00">
      <w:pPr>
        <w:rPr>
          <w:color w:val="auto"/>
        </w:rPr>
      </w:pPr>
    </w:p>
    <w:p w14:paraId="71FD2AB5">
      <w:pPr>
        <w:rPr>
          <w:color w:val="auto"/>
        </w:rPr>
      </w:pPr>
    </w:p>
    <w:p w14:paraId="4C7DC99C">
      <w:pPr>
        <w:pStyle w:val="2"/>
        <w:rPr>
          <w:color w:val="auto"/>
        </w:rPr>
      </w:pPr>
    </w:p>
    <w:p w14:paraId="5E9D7F7A">
      <w:pPr>
        <w:spacing w:line="560" w:lineRule="exact"/>
        <w:rPr>
          <w:color w:val="auto"/>
        </w:rPr>
      </w:pPr>
    </w:p>
    <w:p w14:paraId="4663A725">
      <w:pPr>
        <w:spacing w:line="560" w:lineRule="exact"/>
        <w:ind w:firstLine="1920" w:firstLineChars="600"/>
        <w:jc w:val="left"/>
        <w:rPr>
          <w:rFonts w:hint="eastAsia" w:ascii="仿宋" w:hAnsi="仿宋" w:eastAsia="仿宋"/>
          <w:color w:val="auto"/>
          <w:sz w:val="32"/>
          <w:szCs w:val="32"/>
          <w:lang w:val="en-US" w:eastAsia="zh-CN"/>
        </w:rPr>
      </w:pPr>
      <w:r>
        <w:rPr>
          <w:rFonts w:hint="eastAsia" w:ascii="仿宋" w:hAnsi="仿宋" w:eastAsia="仿宋"/>
          <w:color w:val="auto"/>
          <w:sz w:val="32"/>
          <w:szCs w:val="32"/>
        </w:rPr>
        <w:t>甲方：</w:t>
      </w:r>
      <w:r>
        <w:rPr>
          <w:rFonts w:hint="eastAsia" w:ascii="仿宋" w:hAnsi="仿宋" w:eastAsia="仿宋"/>
          <w:color w:val="auto"/>
          <w:sz w:val="32"/>
          <w:szCs w:val="32"/>
          <w:lang w:val="en-US" w:eastAsia="zh-CN"/>
        </w:rPr>
        <w:t>XX</w:t>
      </w:r>
    </w:p>
    <w:p w14:paraId="08C5DC6E">
      <w:pPr>
        <w:spacing w:line="560" w:lineRule="exact"/>
        <w:ind w:firstLine="1920" w:firstLineChars="600"/>
        <w:jc w:val="left"/>
        <w:rPr>
          <w:rFonts w:hint="default" w:ascii="仿宋" w:hAnsi="仿宋" w:eastAsia="仿宋"/>
          <w:color w:val="auto"/>
          <w:sz w:val="32"/>
          <w:szCs w:val="32"/>
          <w:lang w:val="en-US" w:eastAsia="zh-CN"/>
        </w:rPr>
      </w:pPr>
      <w:r>
        <w:rPr>
          <w:rFonts w:hint="eastAsia" w:ascii="仿宋" w:hAnsi="仿宋" w:eastAsia="仿宋"/>
          <w:color w:val="auto"/>
          <w:sz w:val="32"/>
          <w:szCs w:val="32"/>
        </w:rPr>
        <w:t>乙方：</w:t>
      </w:r>
      <w:r>
        <w:rPr>
          <w:rFonts w:hint="eastAsia" w:ascii="仿宋" w:hAnsi="仿宋" w:eastAsia="仿宋"/>
          <w:color w:val="auto"/>
          <w:sz w:val="32"/>
          <w:szCs w:val="32"/>
          <w:lang w:val="en-US" w:eastAsia="zh-CN"/>
        </w:rPr>
        <w:t xml:space="preserve"> </w:t>
      </w:r>
    </w:p>
    <w:p w14:paraId="1E1D0B2D">
      <w:pPr>
        <w:pStyle w:val="2"/>
        <w:ind w:left="0" w:leftChars="0" w:firstLine="0" w:firstLineChars="0"/>
        <w:rPr>
          <w:color w:val="auto"/>
        </w:rPr>
      </w:pPr>
    </w:p>
    <w:p w14:paraId="13087987">
      <w:pPr>
        <w:rPr>
          <w:color w:val="auto"/>
        </w:rPr>
      </w:pPr>
    </w:p>
    <w:p w14:paraId="16A0B719">
      <w:pPr>
        <w:tabs>
          <w:tab w:val="left" w:pos="5040"/>
        </w:tabs>
        <w:spacing w:line="560" w:lineRule="exact"/>
        <w:jc w:val="center"/>
        <w:rPr>
          <w:rFonts w:ascii="仿宋" w:hAnsi="仿宋" w:eastAsia="仿宋"/>
          <w:color w:val="auto"/>
          <w:sz w:val="28"/>
          <w:szCs w:val="28"/>
        </w:rPr>
        <w:sectPr>
          <w:headerReference r:id="rId5" w:type="default"/>
          <w:pgSz w:w="11906" w:h="16838"/>
          <w:pgMar w:top="1440" w:right="1800" w:bottom="1440" w:left="1800" w:header="851" w:footer="992" w:gutter="0"/>
          <w:pgNumType w:fmt="decimal" w:start="1"/>
          <w:cols w:space="425" w:num="1"/>
          <w:docGrid w:type="lines" w:linePitch="312" w:charSpace="0"/>
        </w:sectPr>
      </w:pPr>
      <w:r>
        <w:rPr>
          <w:rFonts w:hint="eastAsia" w:ascii="仿宋" w:hAnsi="仿宋" w:eastAsia="仿宋"/>
          <w:color w:val="auto"/>
          <w:sz w:val="36"/>
          <w:szCs w:val="36"/>
        </w:rPr>
        <w:t>202</w:t>
      </w:r>
      <w:r>
        <w:rPr>
          <w:rFonts w:hint="eastAsia" w:ascii="仿宋" w:hAnsi="仿宋" w:eastAsia="仿宋"/>
          <w:color w:val="auto"/>
          <w:sz w:val="36"/>
          <w:szCs w:val="36"/>
          <w:lang w:val="en-US" w:eastAsia="zh-CN"/>
        </w:rPr>
        <w:t>5</w:t>
      </w:r>
      <w:r>
        <w:rPr>
          <w:rFonts w:hint="eastAsia" w:ascii="仿宋" w:hAnsi="仿宋" w:eastAsia="仿宋"/>
          <w:color w:val="auto"/>
          <w:sz w:val="36"/>
          <w:szCs w:val="36"/>
        </w:rPr>
        <w:t>年</w:t>
      </w:r>
      <w:r>
        <w:rPr>
          <w:rFonts w:hint="eastAsia" w:ascii="仿宋" w:hAnsi="仿宋" w:eastAsia="仿宋"/>
          <w:color w:val="auto"/>
          <w:sz w:val="36"/>
          <w:szCs w:val="36"/>
          <w:lang w:val="en-US" w:eastAsia="zh-CN"/>
        </w:rPr>
        <w:t xml:space="preserve">  </w:t>
      </w:r>
      <w:r>
        <w:rPr>
          <w:rFonts w:hint="eastAsia" w:ascii="仿宋" w:hAnsi="仿宋" w:eastAsia="仿宋"/>
          <w:color w:val="auto"/>
          <w:sz w:val="36"/>
          <w:szCs w:val="36"/>
        </w:rPr>
        <w:t>月</w:t>
      </w:r>
      <w:r>
        <w:rPr>
          <w:rFonts w:hint="eastAsia" w:ascii="仿宋" w:hAnsi="仿宋" w:eastAsia="仿宋"/>
          <w:color w:val="auto"/>
          <w:sz w:val="36"/>
          <w:szCs w:val="36"/>
          <w:lang w:val="en-US" w:eastAsia="zh-CN"/>
        </w:rPr>
        <w:t xml:space="preserve">  日</w:t>
      </w:r>
    </w:p>
    <w:p w14:paraId="3967EF0B">
      <w:pPr>
        <w:spacing w:line="560" w:lineRule="exact"/>
        <w:ind w:firstLine="480" w:firstLineChars="200"/>
        <w:jc w:val="both"/>
        <w:rPr>
          <w:rFonts w:hint="eastAsia" w:ascii="仿宋" w:hAnsi="仿宋" w:eastAsia="仿宋" w:cs="仿宋"/>
          <w:color w:val="auto"/>
          <w:sz w:val="24"/>
          <w:szCs w:val="24"/>
        </w:rPr>
      </w:pPr>
      <w:bookmarkStart w:id="2" w:name="_GoBack"/>
      <w:r>
        <w:rPr>
          <w:rFonts w:hint="eastAsia" w:ascii="仿宋" w:hAnsi="仿宋" w:eastAsia="仿宋" w:cs="仿宋"/>
          <w:color w:val="auto"/>
          <w:sz w:val="24"/>
          <w:szCs w:val="24"/>
        </w:rPr>
        <w:t>甲方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r>
        <w:rPr>
          <w:rFonts w:hint="eastAsia" w:ascii="仿宋" w:hAnsi="仿宋" w:eastAsia="仿宋"/>
          <w:color w:val="auto"/>
          <w:sz w:val="24"/>
          <w:szCs w:val="24"/>
          <w:lang w:val="en-US" w:eastAsia="zh-CN"/>
        </w:rPr>
        <w:t>XX</w:t>
      </w:r>
      <w:r>
        <w:rPr>
          <w:rFonts w:hint="eastAsia" w:ascii="仿宋" w:hAnsi="仿宋" w:eastAsia="仿宋" w:cs="仿宋"/>
          <w:color w:val="auto"/>
          <w:sz w:val="24"/>
          <w:szCs w:val="24"/>
        </w:rPr>
        <w:t>】</w:t>
      </w:r>
    </w:p>
    <w:p w14:paraId="29618636">
      <w:p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法定代表人：</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XX</w:t>
      </w:r>
      <w:r>
        <w:rPr>
          <w:rFonts w:hint="eastAsia" w:ascii="仿宋" w:hAnsi="仿宋" w:eastAsia="仿宋" w:cs="仿宋"/>
          <w:color w:val="auto"/>
          <w:sz w:val="24"/>
          <w:szCs w:val="24"/>
        </w:rPr>
        <w:t>】</w:t>
      </w:r>
    </w:p>
    <w:p w14:paraId="1CCA5B98">
      <w:pPr>
        <w:spacing w:line="560" w:lineRule="exact"/>
        <w:ind w:firstLine="480" w:firstLineChars="200"/>
        <w:rPr>
          <w:rFonts w:ascii="仿宋" w:hAnsi="仿宋" w:eastAsia="仿宋" w:cs="仿宋"/>
          <w:color w:val="auto"/>
          <w:sz w:val="24"/>
          <w:szCs w:val="24"/>
        </w:rPr>
      </w:pPr>
    </w:p>
    <w:p w14:paraId="33A0526B">
      <w:pPr>
        <w:spacing w:line="560" w:lineRule="exact"/>
        <w:ind w:firstLine="480" w:firstLineChars="200"/>
        <w:jc w:val="left"/>
        <w:rPr>
          <w:rFonts w:hint="eastAsia" w:ascii="仿宋" w:hAnsi="仿宋" w:eastAsia="仿宋"/>
          <w:color w:val="auto"/>
          <w:sz w:val="24"/>
          <w:szCs w:val="24"/>
        </w:rPr>
      </w:pPr>
      <w:r>
        <w:rPr>
          <w:rFonts w:hint="eastAsia" w:ascii="仿宋" w:hAnsi="仿宋" w:eastAsia="仿宋" w:cs="仿宋"/>
          <w:color w:val="auto"/>
          <w:sz w:val="24"/>
          <w:szCs w:val="24"/>
        </w:rPr>
        <w:t>乙方</w:t>
      </w:r>
      <w:r>
        <w:rPr>
          <w:rFonts w:hint="eastAsia" w:ascii="仿宋" w:hAnsi="仿宋" w:eastAsia="仿宋" w:cs="仿宋"/>
          <w:color w:val="auto"/>
          <w:sz w:val="24"/>
          <w:szCs w:val="24"/>
          <w:lang w:eastAsia="zh-CN"/>
        </w:rPr>
        <w:t>：</w:t>
      </w:r>
      <w:r>
        <w:rPr>
          <w:rFonts w:hint="eastAsia" w:ascii="仿宋" w:hAnsi="仿宋" w:eastAsia="仿宋"/>
          <w:color w:val="auto"/>
          <w:sz w:val="24"/>
          <w:szCs w:val="24"/>
        </w:rPr>
        <w:t>【</w:t>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rPr>
        <w:t>】</w:t>
      </w:r>
    </w:p>
    <w:p w14:paraId="10C3EB9A">
      <w:pPr>
        <w:pStyle w:val="2"/>
        <w:rPr>
          <w:color w:val="auto"/>
          <w:sz w:val="24"/>
          <w:szCs w:val="24"/>
        </w:rPr>
      </w:pPr>
      <w:r>
        <w:rPr>
          <w:rFonts w:hint="eastAsia" w:ascii="仿宋" w:hAnsi="仿宋" w:eastAsia="仿宋"/>
          <w:color w:val="auto"/>
          <w:sz w:val="24"/>
          <w:szCs w:val="24"/>
          <w:highlight w:val="none"/>
        </w:rPr>
        <w:t>地址</w:t>
      </w:r>
      <w:r>
        <w:rPr>
          <w:rFonts w:hint="eastAsia" w:ascii="仿宋" w:hAnsi="仿宋" w:eastAsia="仿宋"/>
          <w:color w:val="auto"/>
          <w:sz w:val="24"/>
          <w:szCs w:val="24"/>
          <w:highlight w:val="none"/>
          <w:lang w:eastAsia="zh-CN"/>
        </w:rPr>
        <w:t>：</w:t>
      </w:r>
      <w:r>
        <w:rPr>
          <w:rFonts w:hint="eastAsia" w:ascii="仿宋" w:hAnsi="仿宋" w:eastAsia="仿宋"/>
          <w:color w:val="auto"/>
          <w:sz w:val="24"/>
          <w:szCs w:val="24"/>
          <w:highlight w:val="none"/>
        </w:rPr>
        <w:t>【</w:t>
      </w:r>
      <w:r>
        <w:rPr>
          <w:rFonts w:hint="eastAsia" w:ascii="仿宋" w:hAnsi="仿宋" w:eastAsia="仿宋"/>
          <w:color w:val="auto"/>
          <w:sz w:val="24"/>
          <w:szCs w:val="24"/>
          <w:highlight w:val="none"/>
          <w:lang w:val="en-US" w:eastAsia="zh-CN"/>
        </w:rPr>
        <w:t xml:space="preserve">  </w:t>
      </w:r>
      <w:r>
        <w:rPr>
          <w:rFonts w:hint="eastAsia" w:ascii="仿宋" w:hAnsi="仿宋" w:eastAsia="仿宋"/>
          <w:color w:val="auto"/>
          <w:sz w:val="24"/>
          <w:szCs w:val="24"/>
          <w:highlight w:val="none"/>
        </w:rPr>
        <w:t>】</w:t>
      </w:r>
    </w:p>
    <w:p w14:paraId="050E3076">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法定代表人：【</w:t>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rPr>
        <w:t>】</w:t>
      </w:r>
    </w:p>
    <w:p w14:paraId="11C0A6E0">
      <w:pPr>
        <w:pStyle w:val="2"/>
        <w:spacing w:line="560" w:lineRule="exact"/>
        <w:ind w:firstLine="420"/>
        <w:rPr>
          <w:color w:val="auto"/>
          <w:sz w:val="24"/>
          <w:szCs w:val="24"/>
        </w:rPr>
      </w:pPr>
    </w:p>
    <w:p w14:paraId="2241E6A3">
      <w:pPr>
        <w:tabs>
          <w:tab w:val="left" w:pos="5400"/>
          <w:tab w:val="left" w:pos="5580"/>
        </w:tabs>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甲方因管理需求开展外包服务，拟委托具有相应资质和能力的法人或其他组织提供</w:t>
      </w:r>
      <w:r>
        <w:rPr>
          <w:rFonts w:hint="eastAsia" w:ascii="仿宋" w:hAnsi="仿宋" w:eastAsia="仿宋"/>
          <w:color w:val="auto"/>
          <w:sz w:val="24"/>
          <w:szCs w:val="24"/>
          <w:lang w:val="en-US" w:eastAsia="zh-CN"/>
        </w:rPr>
        <w:t>政府购买</w:t>
      </w:r>
      <w:r>
        <w:rPr>
          <w:rFonts w:hint="eastAsia" w:ascii="仿宋" w:hAnsi="仿宋" w:eastAsia="仿宋"/>
          <w:color w:val="auto"/>
          <w:sz w:val="24"/>
          <w:szCs w:val="24"/>
        </w:rPr>
        <w:t>服务。</w:t>
      </w:r>
    </w:p>
    <w:p w14:paraId="0B5039A4">
      <w:pPr>
        <w:tabs>
          <w:tab w:val="left" w:pos="5400"/>
          <w:tab w:val="left" w:pos="5580"/>
        </w:tabs>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乙方是一家依据中华人民共和国法律成立并持续经营的有限责任公司，具备完成甲方委托事项的法定资质。乙方愿意并有能力接受甲方委托、按照甲方要求提供服务。</w:t>
      </w:r>
    </w:p>
    <w:p w14:paraId="78030EA2">
      <w:pPr>
        <w:tabs>
          <w:tab w:val="left" w:pos="5400"/>
          <w:tab w:val="left" w:pos="5580"/>
        </w:tabs>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根据《中华人民共和国民法典》等相关法律法规的规定，遵循自愿平等、诚实信用的原则，甲乙双方经协商一致，就甲方委托乙方提供</w:t>
      </w:r>
      <w:r>
        <w:rPr>
          <w:rFonts w:hint="eastAsia" w:ascii="仿宋" w:hAnsi="仿宋" w:eastAsia="仿宋"/>
          <w:color w:val="auto"/>
          <w:sz w:val="24"/>
          <w:szCs w:val="24"/>
          <w:lang w:val="en-US" w:eastAsia="zh-CN"/>
        </w:rPr>
        <w:t>政府购买</w:t>
      </w:r>
      <w:r>
        <w:rPr>
          <w:rFonts w:hint="eastAsia" w:ascii="仿宋" w:hAnsi="仿宋" w:eastAsia="仿宋"/>
          <w:color w:val="auto"/>
          <w:sz w:val="24"/>
          <w:szCs w:val="24"/>
        </w:rPr>
        <w:t>服务事宜订立本合同，具体如下：</w:t>
      </w:r>
    </w:p>
    <w:p w14:paraId="15EF64D4">
      <w:pPr>
        <w:pStyle w:val="7"/>
        <w:numPr>
          <w:ilvl w:val="0"/>
          <w:numId w:val="1"/>
        </w:numPr>
        <w:spacing w:line="560" w:lineRule="exact"/>
        <w:ind w:left="0" w:firstLine="560"/>
        <w:outlineLvl w:val="0"/>
        <w:rPr>
          <w:rFonts w:ascii="黑体" w:hAnsi="黑体" w:eastAsia="黑体"/>
          <w:color w:val="auto"/>
          <w:sz w:val="24"/>
          <w:szCs w:val="24"/>
        </w:rPr>
      </w:pPr>
      <w:r>
        <w:rPr>
          <w:rFonts w:hint="eastAsia" w:ascii="黑体" w:hAnsi="黑体" w:eastAsia="黑体"/>
          <w:color w:val="auto"/>
          <w:sz w:val="24"/>
          <w:szCs w:val="24"/>
        </w:rPr>
        <w:t>服务内容</w:t>
      </w:r>
    </w:p>
    <w:p w14:paraId="3704C67A">
      <w:pPr>
        <w:pStyle w:val="7"/>
        <w:numPr>
          <w:ilvl w:val="0"/>
          <w:numId w:val="2"/>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在本合同有效期内，甲方</w:t>
      </w:r>
      <w:r>
        <w:rPr>
          <w:rFonts w:hint="eastAsia" w:ascii="仿宋" w:hAnsi="仿宋" w:eastAsia="仿宋"/>
          <w:color w:val="auto"/>
          <w:sz w:val="24"/>
          <w:szCs w:val="24"/>
          <w:u w:val="single"/>
        </w:rPr>
        <w:t>不定期</w:t>
      </w:r>
      <w:r>
        <w:rPr>
          <w:rFonts w:hint="eastAsia" w:ascii="仿宋" w:hAnsi="仿宋" w:eastAsia="仿宋"/>
          <w:color w:val="auto"/>
          <w:sz w:val="24"/>
          <w:szCs w:val="24"/>
        </w:rPr>
        <w:t>委托乙方提供</w:t>
      </w:r>
      <w:r>
        <w:rPr>
          <w:rFonts w:hint="eastAsia" w:ascii="仿宋" w:hAnsi="仿宋" w:eastAsia="仿宋"/>
          <w:color w:val="auto"/>
          <w:sz w:val="24"/>
          <w:szCs w:val="24"/>
          <w:lang w:val="en-US" w:eastAsia="zh-CN"/>
        </w:rPr>
        <w:t>政府购买</w:t>
      </w:r>
      <w:r>
        <w:rPr>
          <w:rFonts w:hint="eastAsia" w:ascii="仿宋" w:hAnsi="仿宋" w:eastAsia="仿宋"/>
          <w:color w:val="auto"/>
          <w:sz w:val="24"/>
          <w:szCs w:val="24"/>
        </w:rPr>
        <w:t>服务，具体服务事项通过《服务确认单》（见附件）确认。</w:t>
      </w:r>
    </w:p>
    <w:p w14:paraId="0D47186C">
      <w:pPr>
        <w:pStyle w:val="7"/>
        <w:numPr>
          <w:ilvl w:val="0"/>
          <w:numId w:val="2"/>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乙方根据甲方提出的服务需求，向甲方提供服务。服务项目的服务事项、服务期限等以双方签署的该项目服务确认单为准。乙方应严格按照服务确认单中服务事项的要求为甲方提供服务。</w:t>
      </w:r>
    </w:p>
    <w:p w14:paraId="6BC7C4B7">
      <w:pPr>
        <w:pStyle w:val="7"/>
        <w:numPr>
          <w:ilvl w:val="0"/>
          <w:numId w:val="2"/>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甲方指定</w:t>
      </w:r>
      <w:r>
        <w:rPr>
          <w:rFonts w:hint="eastAsia" w:ascii="仿宋" w:hAnsi="仿宋" w:eastAsia="仿宋"/>
          <w:color w:val="auto"/>
          <w:sz w:val="24"/>
          <w:szCs w:val="24"/>
          <w:u w:val="single"/>
          <w:lang w:val="en-US" w:eastAsia="zh-CN"/>
        </w:rPr>
        <w:t xml:space="preserve">  XX   </w:t>
      </w:r>
      <w:r>
        <w:rPr>
          <w:rFonts w:hint="eastAsia" w:ascii="仿宋" w:hAnsi="仿宋" w:eastAsia="仿宋"/>
          <w:color w:val="auto"/>
          <w:sz w:val="24"/>
          <w:szCs w:val="24"/>
        </w:rPr>
        <w:t>作为甲方的项目</w:t>
      </w:r>
      <w:r>
        <w:rPr>
          <w:rFonts w:hint="eastAsia" w:ascii="仿宋" w:hAnsi="仿宋" w:eastAsia="仿宋"/>
          <w:color w:val="auto"/>
          <w:sz w:val="24"/>
          <w:szCs w:val="24"/>
          <w:lang w:val="en-US" w:eastAsia="zh-CN"/>
        </w:rPr>
        <w:t>联络</w:t>
      </w:r>
      <w:r>
        <w:rPr>
          <w:rFonts w:hint="eastAsia" w:ascii="仿宋" w:hAnsi="仿宋" w:eastAsia="仿宋"/>
          <w:color w:val="auto"/>
          <w:sz w:val="24"/>
          <w:szCs w:val="24"/>
        </w:rPr>
        <w:t>人（联系方式：</w:t>
      </w:r>
      <w:r>
        <w:rPr>
          <w:rFonts w:hint="eastAsia" w:ascii="仿宋" w:hAnsi="仿宋" w:eastAsia="仿宋"/>
          <w:color w:val="auto"/>
          <w:sz w:val="24"/>
          <w:szCs w:val="24"/>
          <w:u w:val="single"/>
          <w:lang w:val="en-US" w:eastAsia="zh-CN"/>
        </w:rPr>
        <w:t xml:space="preserve"> XX</w:t>
      </w:r>
      <w:r>
        <w:rPr>
          <w:rFonts w:hint="eastAsia" w:ascii="仿宋" w:hAnsi="仿宋" w:eastAsia="仿宋"/>
          <w:color w:val="auto"/>
          <w:sz w:val="24"/>
          <w:szCs w:val="24"/>
        </w:rPr>
        <w:t>），负责与乙方的沟通和联络。</w:t>
      </w:r>
    </w:p>
    <w:p w14:paraId="5A093468">
      <w:pPr>
        <w:pStyle w:val="7"/>
        <w:numPr>
          <w:ilvl w:val="0"/>
          <w:numId w:val="2"/>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乙方指定</w:t>
      </w:r>
      <w:r>
        <w:rPr>
          <w:rFonts w:hint="eastAsia" w:ascii="仿宋" w:hAnsi="仿宋" w:eastAsia="仿宋"/>
          <w:color w:val="auto"/>
          <w:sz w:val="24"/>
          <w:szCs w:val="24"/>
          <w:u w:val="single"/>
          <w:lang w:val="en-US" w:eastAsia="zh-CN"/>
        </w:rPr>
        <w:t>XXX</w:t>
      </w:r>
      <w:r>
        <w:rPr>
          <w:rFonts w:hint="eastAsia" w:ascii="仿宋" w:hAnsi="仿宋" w:eastAsia="仿宋"/>
          <w:color w:val="auto"/>
          <w:sz w:val="24"/>
          <w:szCs w:val="24"/>
        </w:rPr>
        <w:t>作为乙方的项目</w:t>
      </w:r>
      <w:r>
        <w:rPr>
          <w:rFonts w:hint="eastAsia" w:ascii="仿宋" w:hAnsi="仿宋" w:eastAsia="仿宋"/>
          <w:color w:val="auto"/>
          <w:sz w:val="24"/>
          <w:szCs w:val="24"/>
          <w:lang w:val="en-US" w:eastAsia="zh-CN"/>
        </w:rPr>
        <w:t>联络</w:t>
      </w:r>
      <w:r>
        <w:rPr>
          <w:rFonts w:hint="eastAsia" w:ascii="仿宋" w:hAnsi="仿宋" w:eastAsia="仿宋"/>
          <w:color w:val="auto"/>
          <w:sz w:val="24"/>
          <w:szCs w:val="24"/>
        </w:rPr>
        <w:t>人（联系方式：</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。），负责与甲方的沟通和联络，接受甲方的服务要求和处理甲方的服务投诉。</w:t>
      </w:r>
    </w:p>
    <w:p w14:paraId="3317B93F">
      <w:pPr>
        <w:pStyle w:val="7"/>
        <w:numPr>
          <w:ilvl w:val="0"/>
          <w:numId w:val="2"/>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甲方、乙方中任何一方指定的项目</w:t>
      </w:r>
      <w:r>
        <w:rPr>
          <w:rFonts w:hint="eastAsia" w:ascii="仿宋" w:hAnsi="仿宋" w:eastAsia="仿宋"/>
          <w:color w:val="auto"/>
          <w:sz w:val="24"/>
          <w:szCs w:val="24"/>
          <w:lang w:val="en-US" w:eastAsia="zh-CN"/>
        </w:rPr>
        <w:t>联络</w:t>
      </w:r>
      <w:r>
        <w:rPr>
          <w:rFonts w:hint="eastAsia" w:ascii="仿宋" w:hAnsi="仿宋" w:eastAsia="仿宋"/>
          <w:color w:val="auto"/>
          <w:sz w:val="24"/>
          <w:szCs w:val="24"/>
        </w:rPr>
        <w:t>人有变更的，应当提前5个工作日以书面形式告知对方。</w:t>
      </w:r>
    </w:p>
    <w:p w14:paraId="5214666D">
      <w:pPr>
        <w:pStyle w:val="7"/>
        <w:numPr>
          <w:ilvl w:val="0"/>
          <w:numId w:val="1"/>
        </w:numPr>
        <w:spacing w:line="560" w:lineRule="exact"/>
        <w:ind w:left="0" w:firstLine="560"/>
        <w:outlineLvl w:val="0"/>
        <w:rPr>
          <w:rFonts w:ascii="黑体" w:hAnsi="黑体" w:eastAsia="黑体"/>
          <w:color w:val="auto"/>
          <w:sz w:val="24"/>
          <w:szCs w:val="24"/>
        </w:rPr>
      </w:pPr>
      <w:r>
        <w:rPr>
          <w:rFonts w:hint="eastAsia" w:ascii="黑体" w:hAnsi="黑体" w:eastAsia="黑体"/>
          <w:color w:val="auto"/>
          <w:sz w:val="24"/>
          <w:szCs w:val="24"/>
        </w:rPr>
        <w:t>合同期限</w:t>
      </w:r>
    </w:p>
    <w:p w14:paraId="66ECF043">
      <w:p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本合同</w:t>
      </w:r>
      <w:r>
        <w:rPr>
          <w:rFonts w:ascii="仿宋" w:hAnsi="仿宋" w:eastAsia="仿宋"/>
          <w:color w:val="auto"/>
          <w:sz w:val="24"/>
          <w:szCs w:val="24"/>
        </w:rPr>
        <w:t>期限</w:t>
      </w:r>
      <w:r>
        <w:rPr>
          <w:rFonts w:hint="eastAsia" w:ascii="仿宋" w:hAnsi="仿宋" w:eastAsia="仿宋" w:cs="仿宋"/>
          <w:color w:val="auto"/>
          <w:sz w:val="24"/>
          <w:szCs w:val="24"/>
        </w:rPr>
        <w:t>自</w:t>
      </w:r>
      <w:r>
        <w:rPr>
          <w:rFonts w:hint="eastAsia" w:ascii="仿宋" w:hAnsi="仿宋" w:eastAsia="仿宋" w:cs="仿宋"/>
          <w:color w:val="auto"/>
          <w:sz w:val="24"/>
          <w:szCs w:val="24"/>
          <w:u w:val="single"/>
          <w:lang w:val="en-US" w:eastAsia="zh-CN"/>
        </w:rPr>
        <w:t>XX</w:t>
      </w:r>
      <w:r>
        <w:rPr>
          <w:rFonts w:hint="eastAsia" w:ascii="仿宋" w:hAnsi="仿宋" w:eastAsia="仿宋" w:cs="仿宋"/>
          <w:color w:val="auto"/>
          <w:sz w:val="24"/>
          <w:szCs w:val="24"/>
          <w:u w:val="single"/>
        </w:rPr>
        <w:t>年</w:t>
      </w:r>
      <w:r>
        <w:rPr>
          <w:rFonts w:hint="eastAsia" w:ascii="仿宋" w:hAnsi="仿宋" w:eastAsia="仿宋" w:cs="仿宋"/>
          <w:color w:val="auto"/>
          <w:sz w:val="24"/>
          <w:szCs w:val="24"/>
          <w:u w:val="single"/>
          <w:lang w:val="en-US" w:eastAsia="zh-CN"/>
        </w:rPr>
        <w:t>XX</w:t>
      </w:r>
      <w:r>
        <w:rPr>
          <w:rFonts w:hint="eastAsia" w:ascii="仿宋" w:hAnsi="仿宋" w:eastAsia="仿宋" w:cs="仿宋"/>
          <w:color w:val="auto"/>
          <w:sz w:val="24"/>
          <w:szCs w:val="24"/>
          <w:u w:val="single"/>
        </w:rPr>
        <w:t>月</w:t>
      </w:r>
      <w:r>
        <w:rPr>
          <w:rFonts w:hint="eastAsia" w:ascii="仿宋" w:hAnsi="仿宋" w:eastAsia="仿宋" w:cs="仿宋"/>
          <w:color w:val="auto"/>
          <w:sz w:val="24"/>
          <w:szCs w:val="24"/>
          <w:u w:val="single"/>
          <w:lang w:val="en-US" w:eastAsia="zh-CN"/>
        </w:rPr>
        <w:t>XX</w:t>
      </w:r>
      <w:r>
        <w:rPr>
          <w:rFonts w:hint="eastAsia" w:ascii="仿宋" w:hAnsi="仿宋" w:eastAsia="仿宋" w:cs="仿宋"/>
          <w:color w:val="auto"/>
          <w:sz w:val="24"/>
          <w:szCs w:val="24"/>
          <w:u w:val="single"/>
        </w:rPr>
        <w:t>日至</w:t>
      </w:r>
      <w:r>
        <w:rPr>
          <w:rFonts w:hint="eastAsia" w:ascii="仿宋" w:hAnsi="仿宋" w:eastAsia="仿宋" w:cs="仿宋"/>
          <w:color w:val="auto"/>
          <w:sz w:val="24"/>
          <w:szCs w:val="24"/>
          <w:u w:val="single"/>
          <w:lang w:val="en-US" w:eastAsia="zh-CN"/>
        </w:rPr>
        <w:t>XX</w:t>
      </w:r>
      <w:r>
        <w:rPr>
          <w:rFonts w:hint="eastAsia" w:ascii="仿宋" w:hAnsi="仿宋" w:eastAsia="仿宋" w:cs="仿宋"/>
          <w:color w:val="auto"/>
          <w:sz w:val="24"/>
          <w:szCs w:val="24"/>
          <w:u w:val="single"/>
        </w:rPr>
        <w:t>年</w:t>
      </w:r>
      <w:r>
        <w:rPr>
          <w:rFonts w:hint="eastAsia" w:ascii="仿宋" w:hAnsi="仿宋" w:eastAsia="仿宋" w:cs="仿宋"/>
          <w:color w:val="auto"/>
          <w:sz w:val="24"/>
          <w:szCs w:val="24"/>
          <w:u w:val="single"/>
          <w:lang w:val="en-US" w:eastAsia="zh-CN"/>
        </w:rPr>
        <w:t>XX</w:t>
      </w:r>
      <w:r>
        <w:rPr>
          <w:rFonts w:hint="eastAsia" w:ascii="仿宋" w:hAnsi="仿宋" w:eastAsia="仿宋" w:cs="仿宋"/>
          <w:color w:val="auto"/>
          <w:sz w:val="24"/>
          <w:szCs w:val="24"/>
          <w:u w:val="single"/>
        </w:rPr>
        <w:t>月</w:t>
      </w:r>
      <w:r>
        <w:rPr>
          <w:rFonts w:hint="eastAsia" w:ascii="仿宋" w:hAnsi="仿宋" w:eastAsia="仿宋" w:cs="仿宋"/>
          <w:color w:val="auto"/>
          <w:sz w:val="24"/>
          <w:szCs w:val="24"/>
          <w:u w:val="single"/>
          <w:lang w:val="en-US" w:eastAsia="zh-CN"/>
        </w:rPr>
        <w:t>XX</w:t>
      </w:r>
      <w:r>
        <w:rPr>
          <w:rFonts w:hint="eastAsia" w:ascii="仿宋" w:hAnsi="仿宋" w:eastAsia="仿宋" w:cs="仿宋"/>
          <w:color w:val="auto"/>
          <w:sz w:val="24"/>
          <w:szCs w:val="24"/>
          <w:u w:val="single"/>
        </w:rPr>
        <w:t>日</w:t>
      </w:r>
      <w:r>
        <w:rPr>
          <w:rFonts w:hint="eastAsia" w:ascii="仿宋" w:hAnsi="仿宋" w:eastAsia="仿宋"/>
          <w:color w:val="auto"/>
          <w:sz w:val="24"/>
          <w:szCs w:val="24"/>
        </w:rPr>
        <w:t>，本合同到期终止</w:t>
      </w:r>
      <w:r>
        <w:rPr>
          <w:rFonts w:hint="eastAsia" w:ascii="仿宋" w:hAnsi="仿宋" w:eastAsia="仿宋"/>
          <w:color w:val="auto"/>
          <w:sz w:val="24"/>
          <w:szCs w:val="24"/>
          <w:lang w:val="en-US" w:eastAsia="zh-CN"/>
        </w:rPr>
        <w:t>时</w:t>
      </w:r>
      <w:r>
        <w:rPr>
          <w:rFonts w:hint="eastAsia" w:ascii="仿宋" w:hAnsi="仿宋" w:eastAsia="仿宋"/>
          <w:color w:val="auto"/>
          <w:sz w:val="24"/>
          <w:szCs w:val="24"/>
        </w:rPr>
        <w:t>，不影响甲乙双方履行《服务确认单》中双方的权利义务。</w:t>
      </w:r>
    </w:p>
    <w:p w14:paraId="6BD26706">
      <w:pPr>
        <w:pStyle w:val="7"/>
        <w:numPr>
          <w:ilvl w:val="0"/>
          <w:numId w:val="1"/>
        </w:numPr>
        <w:spacing w:line="560" w:lineRule="exact"/>
        <w:ind w:left="0" w:firstLine="560"/>
        <w:outlineLvl w:val="0"/>
        <w:rPr>
          <w:rFonts w:ascii="黑体" w:hAnsi="黑体" w:eastAsia="黑体"/>
          <w:color w:val="auto"/>
          <w:sz w:val="24"/>
          <w:szCs w:val="24"/>
        </w:rPr>
      </w:pPr>
      <w:r>
        <w:rPr>
          <w:rFonts w:hint="eastAsia" w:ascii="黑体" w:hAnsi="黑体" w:eastAsia="黑体"/>
          <w:color w:val="auto"/>
          <w:sz w:val="24"/>
          <w:szCs w:val="24"/>
        </w:rPr>
        <w:t>服务要求</w:t>
      </w:r>
    </w:p>
    <w:p w14:paraId="4C6463EC">
      <w:pPr>
        <w:pStyle w:val="7"/>
        <w:numPr>
          <w:ilvl w:val="0"/>
          <w:numId w:val="3"/>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乙方向甲方提供符合服务内容要求的、具有相应服务能力和/或资质的服务人员。</w:t>
      </w:r>
    </w:p>
    <w:p w14:paraId="6476C9FA">
      <w:pPr>
        <w:pStyle w:val="7"/>
        <w:numPr>
          <w:ilvl w:val="0"/>
          <w:numId w:val="3"/>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服务人员按照甲方提出的、服务内容范围内的要求和指令为甲方提供服务。</w:t>
      </w:r>
    </w:p>
    <w:p w14:paraId="57ABB9DE">
      <w:pPr>
        <w:pStyle w:val="7"/>
        <w:numPr>
          <w:ilvl w:val="0"/>
          <w:numId w:val="3"/>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投诉及反馈：对于任何服务质量问题，甲方有权向乙方项目负责人投诉，乙方项目负责人应于</w:t>
      </w:r>
      <w:r>
        <w:rPr>
          <w:rFonts w:hint="eastAsia" w:ascii="仿宋" w:hAnsi="仿宋" w:eastAsia="仿宋"/>
          <w:color w:val="auto"/>
          <w:sz w:val="24"/>
          <w:szCs w:val="24"/>
          <w:lang w:val="en-US" w:eastAsia="zh-CN"/>
        </w:rPr>
        <w:t>5</w:t>
      </w:r>
      <w:r>
        <w:rPr>
          <w:rFonts w:hint="eastAsia" w:ascii="仿宋" w:hAnsi="仿宋" w:eastAsia="仿宋"/>
          <w:color w:val="auto"/>
          <w:sz w:val="24"/>
          <w:szCs w:val="24"/>
        </w:rPr>
        <w:t>个工作日内作出书面答复。</w:t>
      </w:r>
    </w:p>
    <w:p w14:paraId="693895DE">
      <w:pPr>
        <w:pStyle w:val="7"/>
        <w:numPr>
          <w:ilvl w:val="0"/>
          <w:numId w:val="3"/>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服务人员的更换和取消：若乙方服务人员提供的服务不符合约定的服务范围及标准，甲方应提前</w:t>
      </w:r>
      <w:r>
        <w:rPr>
          <w:rFonts w:hint="eastAsia" w:ascii="仿宋" w:hAnsi="仿宋" w:eastAsia="仿宋"/>
          <w:color w:val="auto"/>
          <w:sz w:val="24"/>
          <w:szCs w:val="24"/>
          <w:lang w:val="en-US" w:eastAsia="zh-CN"/>
        </w:rPr>
        <w:t>30</w:t>
      </w:r>
      <w:r>
        <w:rPr>
          <w:rFonts w:hint="eastAsia" w:ascii="仿宋" w:hAnsi="仿宋" w:eastAsia="仿宋"/>
          <w:color w:val="auto"/>
          <w:sz w:val="24"/>
          <w:szCs w:val="24"/>
        </w:rPr>
        <w:t>日书面通知乙方并提供材料，要求乙方更换或取消服务人员。甲方要求更换服务人员的，乙方应在收到甲方通知后的</w:t>
      </w:r>
      <w:r>
        <w:rPr>
          <w:rFonts w:hint="eastAsia" w:ascii="仿宋" w:hAnsi="仿宋" w:eastAsia="仿宋"/>
          <w:color w:val="auto"/>
          <w:sz w:val="24"/>
          <w:szCs w:val="24"/>
          <w:lang w:val="en-US" w:eastAsia="zh-CN"/>
        </w:rPr>
        <w:t>30</w:t>
      </w:r>
      <w:r>
        <w:rPr>
          <w:rFonts w:hint="eastAsia" w:ascii="仿宋" w:hAnsi="仿宋" w:eastAsia="仿宋"/>
          <w:color w:val="auto"/>
          <w:sz w:val="24"/>
          <w:szCs w:val="24"/>
        </w:rPr>
        <w:t>个工作日内调换服务人员。</w:t>
      </w:r>
    </w:p>
    <w:p w14:paraId="050A9C78">
      <w:p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（五）若甲方无故要求乙方更换服务人员，甲方除应提前</w:t>
      </w:r>
      <w:r>
        <w:rPr>
          <w:rFonts w:hint="eastAsia" w:ascii="仿宋" w:hAnsi="仿宋" w:eastAsia="仿宋"/>
          <w:color w:val="auto"/>
          <w:sz w:val="24"/>
          <w:szCs w:val="24"/>
          <w:lang w:val="en-US" w:eastAsia="zh-CN"/>
        </w:rPr>
        <w:t>15</w:t>
      </w:r>
      <w:r>
        <w:rPr>
          <w:rFonts w:hint="eastAsia" w:ascii="仿宋" w:hAnsi="仿宋" w:eastAsia="仿宋"/>
          <w:color w:val="auto"/>
          <w:sz w:val="24"/>
          <w:szCs w:val="24"/>
        </w:rPr>
        <w:t>日</w:t>
      </w:r>
      <w:r>
        <w:rPr>
          <w:rFonts w:hint="eastAsia" w:ascii="仿宋" w:hAnsi="仿宋" w:eastAsia="仿宋"/>
          <w:color w:val="auto"/>
          <w:sz w:val="24"/>
          <w:szCs w:val="24"/>
          <w:lang w:val="en-US" w:eastAsia="zh-CN"/>
        </w:rPr>
        <w:t>书面</w:t>
      </w:r>
      <w:r>
        <w:rPr>
          <w:rFonts w:hint="eastAsia" w:ascii="仿宋" w:hAnsi="仿宋" w:eastAsia="仿宋"/>
          <w:color w:val="auto"/>
          <w:sz w:val="24"/>
          <w:szCs w:val="24"/>
        </w:rPr>
        <w:t>通知乙方外，还应按该服务人员在甲方实际的服务期限向乙方支付服务费。服务期限自服务人员在甲方的首次服务日起算，按其在甲方的工作年限，每满一年另行支付一个月服务费；不满一年超过半年（含）的，按一年计算；不足半年的，另行支付半个月服务费。</w:t>
      </w:r>
    </w:p>
    <w:p w14:paraId="3E5EEC1A">
      <w:pPr>
        <w:pStyle w:val="7"/>
        <w:numPr>
          <w:ilvl w:val="255"/>
          <w:numId w:val="0"/>
        </w:num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（六）乙方除法定节假日外，每周一至周五上午8:30至下午17:30在甲方现场提供服务。乙方服务人员可按相关法律法规享受法定假期。</w:t>
      </w:r>
    </w:p>
    <w:p w14:paraId="001999CD">
      <w:pPr>
        <w:pStyle w:val="7"/>
        <w:numPr>
          <w:ilvl w:val="0"/>
          <w:numId w:val="1"/>
        </w:numPr>
        <w:spacing w:line="560" w:lineRule="exact"/>
        <w:ind w:left="0" w:firstLine="560"/>
        <w:outlineLvl w:val="0"/>
        <w:rPr>
          <w:rFonts w:ascii="黑体" w:hAnsi="黑体" w:eastAsia="黑体"/>
          <w:color w:val="auto"/>
          <w:sz w:val="24"/>
          <w:szCs w:val="24"/>
        </w:rPr>
      </w:pPr>
      <w:r>
        <w:rPr>
          <w:rFonts w:hint="eastAsia" w:ascii="黑体" w:hAnsi="黑体" w:eastAsia="黑体"/>
          <w:color w:val="auto"/>
          <w:sz w:val="24"/>
          <w:szCs w:val="24"/>
        </w:rPr>
        <w:t>服务费用和费用支付</w:t>
      </w:r>
    </w:p>
    <w:p w14:paraId="70536F37">
      <w:pPr>
        <w:pStyle w:val="7"/>
        <w:numPr>
          <w:ilvl w:val="0"/>
          <w:numId w:val="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本合同项下的服务费用包含项目成本、管理费和税费，不包含办公耗材、</w:t>
      </w:r>
      <w:r>
        <w:rPr>
          <w:rFonts w:hint="eastAsia" w:ascii="仿宋" w:hAnsi="仿宋" w:eastAsia="仿宋"/>
          <w:color w:val="auto"/>
          <w:sz w:val="24"/>
          <w:szCs w:val="24"/>
          <w:u w:val="none"/>
        </w:rPr>
        <w:t>各项保险</w:t>
      </w:r>
      <w:r>
        <w:rPr>
          <w:rFonts w:hint="eastAsia" w:ascii="仿宋" w:hAnsi="仿宋" w:eastAsia="仿宋"/>
          <w:color w:val="auto"/>
          <w:sz w:val="24"/>
          <w:szCs w:val="24"/>
          <w:u w:val="none"/>
          <w:lang w:eastAsia="zh-CN"/>
        </w:rPr>
        <w:t>（</w:t>
      </w:r>
      <w:r>
        <w:rPr>
          <w:rFonts w:hint="eastAsia" w:ascii="仿宋" w:hAnsi="仿宋" w:eastAsia="仿宋"/>
          <w:color w:val="auto"/>
          <w:sz w:val="24"/>
          <w:szCs w:val="24"/>
          <w:u w:val="none"/>
          <w:lang w:val="en-US" w:eastAsia="zh-CN"/>
        </w:rPr>
        <w:t>项目成本包含的社保除外</w:t>
      </w:r>
      <w:r>
        <w:rPr>
          <w:rFonts w:hint="eastAsia" w:ascii="仿宋" w:hAnsi="仿宋" w:eastAsia="仿宋"/>
          <w:color w:val="auto"/>
          <w:sz w:val="24"/>
          <w:szCs w:val="24"/>
          <w:u w:val="none"/>
          <w:lang w:eastAsia="zh-CN"/>
        </w:rPr>
        <w:t>）</w:t>
      </w:r>
      <w:r>
        <w:rPr>
          <w:rFonts w:hint="eastAsia" w:ascii="仿宋" w:hAnsi="仿宋" w:eastAsia="仿宋"/>
          <w:color w:val="auto"/>
          <w:sz w:val="24"/>
          <w:szCs w:val="24"/>
        </w:rPr>
        <w:t>等。具体项目的服务费金额和支付方式以《服务确认单》确定的标准为准。</w:t>
      </w:r>
    </w:p>
    <w:p w14:paraId="49482967">
      <w:pPr>
        <w:pStyle w:val="7"/>
        <w:numPr>
          <w:ilvl w:val="0"/>
          <w:numId w:val="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甲乙双方一致同意，若因甲方要求导致乙方增加服务事项（如增加服务人员、</w:t>
      </w:r>
      <w:r>
        <w:rPr>
          <w:rFonts w:hint="eastAsia" w:ascii="仿宋" w:hAnsi="仿宋" w:eastAsia="仿宋"/>
          <w:color w:val="auto"/>
          <w:sz w:val="24"/>
          <w:szCs w:val="24"/>
          <w:u w:val="none"/>
        </w:rPr>
        <w:t>购买保险</w:t>
      </w:r>
      <w:r>
        <w:rPr>
          <w:rFonts w:hint="eastAsia" w:ascii="仿宋" w:hAnsi="仿宋" w:eastAsia="仿宋"/>
          <w:color w:val="auto"/>
          <w:sz w:val="24"/>
          <w:szCs w:val="24"/>
        </w:rPr>
        <w:t>等其他服务事项），乙方有权收取相应的服务费。</w:t>
      </w:r>
    </w:p>
    <w:p w14:paraId="1FECDFBA">
      <w:pPr>
        <w:pStyle w:val="7"/>
        <w:numPr>
          <w:ilvl w:val="0"/>
          <w:numId w:val="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在服务过程中，乙方服务人员为完成甲方工作要求而需要支付的交通费、餐费、差旅费、误餐费等各项费用经甲方审批确认无误后应由甲方直接承担，并按照</w:t>
      </w:r>
      <w:r>
        <w:rPr>
          <w:rFonts w:ascii="仿宋" w:hAnsi="仿宋" w:eastAsia="仿宋"/>
          <w:color w:val="auto"/>
          <w:sz w:val="24"/>
          <w:szCs w:val="24"/>
        </w:rPr>
        <w:t>甲方财务流程直接支付给</w:t>
      </w:r>
      <w:r>
        <w:rPr>
          <w:rFonts w:hint="eastAsia" w:ascii="仿宋" w:hAnsi="仿宋" w:eastAsia="仿宋"/>
          <w:color w:val="auto"/>
          <w:sz w:val="24"/>
          <w:szCs w:val="24"/>
        </w:rPr>
        <w:t>乙方</w:t>
      </w:r>
      <w:r>
        <w:rPr>
          <w:rFonts w:ascii="仿宋" w:hAnsi="仿宋" w:eastAsia="仿宋"/>
          <w:color w:val="auto"/>
          <w:sz w:val="24"/>
          <w:szCs w:val="24"/>
        </w:rPr>
        <w:t>服务人员</w:t>
      </w:r>
      <w:r>
        <w:rPr>
          <w:rFonts w:hint="eastAsia" w:ascii="仿宋" w:hAnsi="仿宋" w:eastAsia="仿宋"/>
          <w:color w:val="auto"/>
          <w:sz w:val="24"/>
          <w:szCs w:val="24"/>
        </w:rPr>
        <w:t>。</w:t>
      </w:r>
    </w:p>
    <w:p w14:paraId="5D20A376">
      <w:pPr>
        <w:pStyle w:val="7"/>
        <w:numPr>
          <w:ilvl w:val="0"/>
          <w:numId w:val="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甲方</w:t>
      </w:r>
      <w:r>
        <w:rPr>
          <w:rFonts w:ascii="仿宋" w:hAnsi="仿宋" w:eastAsia="仿宋"/>
          <w:color w:val="auto"/>
          <w:sz w:val="24"/>
          <w:szCs w:val="24"/>
        </w:rPr>
        <w:t>付款前，乙方应向甲方出具</w:t>
      </w:r>
      <w:r>
        <w:rPr>
          <w:rFonts w:hint="eastAsia" w:ascii="仿宋" w:hAnsi="仿宋" w:eastAsia="仿宋"/>
          <w:color w:val="auto"/>
          <w:sz w:val="24"/>
          <w:szCs w:val="24"/>
        </w:rPr>
        <w:t>符合甲方</w:t>
      </w:r>
      <w:r>
        <w:rPr>
          <w:rFonts w:ascii="仿宋" w:hAnsi="仿宋" w:eastAsia="仿宋"/>
          <w:color w:val="auto"/>
          <w:sz w:val="24"/>
          <w:szCs w:val="24"/>
        </w:rPr>
        <w:t>要求的增值税发票。</w:t>
      </w:r>
      <w:r>
        <w:rPr>
          <w:rFonts w:hint="eastAsia" w:ascii="仿宋" w:hAnsi="仿宋" w:eastAsia="仿宋"/>
          <w:color w:val="auto"/>
          <w:sz w:val="24"/>
          <w:szCs w:val="24"/>
        </w:rPr>
        <w:t>若乙方未按</w:t>
      </w:r>
      <w:r>
        <w:rPr>
          <w:rFonts w:hint="eastAsia" w:ascii="仿宋" w:hAnsi="仿宋" w:eastAsia="仿宋"/>
          <w:color w:val="auto"/>
          <w:sz w:val="24"/>
          <w:szCs w:val="24"/>
          <w:lang w:val="en-US" w:eastAsia="zh-CN"/>
        </w:rPr>
        <w:t>约定</w:t>
      </w:r>
      <w:r>
        <w:rPr>
          <w:rFonts w:hint="eastAsia" w:ascii="仿宋" w:hAnsi="仿宋" w:eastAsia="仿宋"/>
          <w:color w:val="auto"/>
          <w:sz w:val="24"/>
          <w:szCs w:val="24"/>
        </w:rPr>
        <w:t>提供等额有效的增值税发票，甲方有权迟延付款且不视为违约。</w:t>
      </w:r>
    </w:p>
    <w:p w14:paraId="2F40416A">
      <w:p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甲方增值税发票开具信息：</w:t>
      </w:r>
    </w:p>
    <w:p w14:paraId="6E2A43B0">
      <w:pPr>
        <w:spacing w:line="560" w:lineRule="exact"/>
        <w:ind w:firstLine="480" w:firstLineChars="200"/>
        <w:rPr>
          <w:rFonts w:hint="default" w:ascii="仿宋" w:hAnsi="仿宋" w:eastAsia="仿宋"/>
          <w:color w:val="auto"/>
          <w:sz w:val="24"/>
          <w:szCs w:val="24"/>
          <w:u w:val="single"/>
          <w:lang w:val="en-US" w:eastAsia="zh-CN"/>
        </w:rPr>
      </w:pPr>
      <w:r>
        <w:rPr>
          <w:rFonts w:hint="eastAsia" w:ascii="仿宋" w:hAnsi="仿宋" w:eastAsia="仿宋"/>
          <w:color w:val="auto"/>
          <w:sz w:val="24"/>
          <w:szCs w:val="24"/>
        </w:rPr>
        <w:t>单位名称：</w:t>
      </w:r>
      <w:r>
        <w:rPr>
          <w:rFonts w:hint="eastAsia" w:ascii="仿宋" w:hAnsi="仿宋" w:eastAsia="仿宋"/>
          <w:color w:val="auto"/>
          <w:sz w:val="24"/>
          <w:szCs w:val="24"/>
          <w:u w:val="single"/>
          <w:lang w:val="en-US" w:eastAsia="zh-CN"/>
        </w:rPr>
        <w:t>XX</w:t>
      </w:r>
    </w:p>
    <w:p w14:paraId="3548AF35">
      <w:pPr>
        <w:spacing w:line="560" w:lineRule="exact"/>
        <w:ind w:firstLine="480" w:firstLineChars="200"/>
        <w:rPr>
          <w:rFonts w:hint="default" w:ascii="仿宋" w:hAnsi="仿宋" w:eastAsia="仿宋"/>
          <w:color w:val="auto"/>
          <w:sz w:val="24"/>
          <w:szCs w:val="24"/>
          <w:u w:val="single"/>
          <w:lang w:val="en-US" w:eastAsia="zh-CN"/>
        </w:rPr>
      </w:pPr>
      <w:r>
        <w:rPr>
          <w:rFonts w:hint="eastAsia" w:ascii="仿宋" w:hAnsi="仿宋" w:eastAsia="仿宋"/>
          <w:color w:val="auto"/>
          <w:sz w:val="24"/>
          <w:szCs w:val="24"/>
        </w:rPr>
        <w:t>纳税人识别号：</w:t>
      </w:r>
      <w:r>
        <w:rPr>
          <w:rFonts w:hint="eastAsia" w:ascii="仿宋" w:hAnsi="仿宋" w:eastAsia="仿宋"/>
          <w:color w:val="auto"/>
          <w:sz w:val="24"/>
          <w:szCs w:val="24"/>
          <w:u w:val="single"/>
          <w:lang w:val="en-US" w:eastAsia="zh-CN"/>
        </w:rPr>
        <w:t>XX</w:t>
      </w:r>
    </w:p>
    <w:p w14:paraId="68601649">
      <w:p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乙方的账户信息如下：</w:t>
      </w:r>
    </w:p>
    <w:p w14:paraId="5AAFA49F">
      <w:pPr>
        <w:spacing w:line="560" w:lineRule="exact"/>
        <w:ind w:firstLine="480" w:firstLineChars="200"/>
        <w:rPr>
          <w:rFonts w:hint="default" w:ascii="仿宋" w:hAnsi="仿宋" w:eastAsia="仿宋"/>
          <w:color w:val="auto"/>
          <w:sz w:val="24"/>
          <w:szCs w:val="24"/>
          <w:u w:val="single"/>
          <w:lang w:val="en-US" w:eastAsia="zh-CN"/>
        </w:rPr>
      </w:pPr>
      <w:r>
        <w:rPr>
          <w:rFonts w:hint="eastAsia" w:ascii="仿宋" w:hAnsi="仿宋" w:eastAsia="仿宋"/>
          <w:color w:val="auto"/>
          <w:sz w:val="24"/>
          <w:szCs w:val="24"/>
        </w:rPr>
        <w:t>账户名称：</w:t>
      </w:r>
      <w:r>
        <w:rPr>
          <w:rFonts w:hint="eastAsia" w:ascii="仿宋" w:hAnsi="仿宋" w:eastAsia="仿宋"/>
          <w:color w:val="auto"/>
          <w:sz w:val="24"/>
          <w:szCs w:val="24"/>
          <w:u w:val="single"/>
          <w:lang w:val="en-US" w:eastAsia="zh-CN"/>
        </w:rPr>
        <w:t xml:space="preserve"> </w:t>
      </w:r>
    </w:p>
    <w:p w14:paraId="43B35866">
      <w:pPr>
        <w:spacing w:line="560" w:lineRule="exact"/>
        <w:ind w:firstLine="480" w:firstLineChars="200"/>
        <w:rPr>
          <w:rFonts w:hint="default" w:ascii="仿宋" w:hAnsi="仿宋" w:eastAsia="仿宋"/>
          <w:color w:val="auto"/>
          <w:sz w:val="24"/>
          <w:szCs w:val="24"/>
          <w:lang w:val="en-US" w:eastAsia="zh-CN"/>
        </w:rPr>
      </w:pPr>
      <w:r>
        <w:rPr>
          <w:rFonts w:hint="eastAsia" w:ascii="仿宋" w:hAnsi="仿宋" w:eastAsia="仿宋"/>
          <w:color w:val="auto"/>
          <w:sz w:val="24"/>
          <w:szCs w:val="24"/>
        </w:rPr>
        <w:t>开户行：</w:t>
      </w:r>
      <w:r>
        <w:rPr>
          <w:rFonts w:hint="eastAsia" w:ascii="仿宋" w:hAnsi="仿宋" w:eastAsia="仿宋"/>
          <w:color w:val="auto"/>
          <w:sz w:val="24"/>
          <w:szCs w:val="24"/>
          <w:u w:val="single"/>
          <w:lang w:val="en-US" w:eastAsia="zh-CN"/>
        </w:rPr>
        <w:t xml:space="preserve">         </w:t>
      </w:r>
    </w:p>
    <w:p w14:paraId="73DFEE73">
      <w:pPr>
        <w:spacing w:line="560" w:lineRule="exact"/>
        <w:ind w:firstLine="480" w:firstLineChars="200"/>
        <w:rPr>
          <w:rFonts w:hint="default" w:ascii="仿宋" w:hAnsi="仿宋" w:eastAsia="仿宋"/>
          <w:color w:val="auto"/>
          <w:sz w:val="24"/>
          <w:szCs w:val="24"/>
          <w:u w:val="single"/>
          <w:lang w:val="en-US" w:eastAsia="zh-CN"/>
        </w:rPr>
      </w:pPr>
      <w:r>
        <w:rPr>
          <w:rFonts w:hint="eastAsia" w:ascii="仿宋" w:hAnsi="仿宋" w:eastAsia="仿宋"/>
          <w:color w:val="auto"/>
          <w:sz w:val="24"/>
          <w:szCs w:val="24"/>
        </w:rPr>
        <w:t>银行账号：</w:t>
      </w:r>
      <w:r>
        <w:rPr>
          <w:rFonts w:hint="eastAsia" w:ascii="仿宋" w:hAnsi="仿宋" w:eastAsia="仿宋"/>
          <w:color w:val="auto"/>
          <w:sz w:val="24"/>
          <w:szCs w:val="24"/>
          <w:u w:val="single"/>
          <w:lang w:val="en-US" w:eastAsia="zh-CN"/>
        </w:rPr>
        <w:t xml:space="preserve">           </w:t>
      </w:r>
    </w:p>
    <w:p w14:paraId="48F9DA06">
      <w:pPr>
        <w:spacing w:line="560" w:lineRule="exact"/>
        <w:ind w:firstLine="480" w:firstLineChars="200"/>
        <w:rPr>
          <w:rFonts w:ascii="黑体" w:hAnsi="黑体" w:eastAsia="黑体"/>
          <w:color w:val="auto"/>
          <w:sz w:val="24"/>
          <w:szCs w:val="24"/>
        </w:rPr>
      </w:pPr>
      <w:r>
        <w:rPr>
          <w:rFonts w:hint="eastAsia" w:ascii="黑体" w:hAnsi="黑体" w:eastAsia="黑体"/>
          <w:color w:val="auto"/>
          <w:sz w:val="24"/>
          <w:szCs w:val="24"/>
        </w:rPr>
        <w:t>五、甲方的权利和义务</w:t>
      </w:r>
    </w:p>
    <w:p w14:paraId="3391AE70">
      <w:pPr>
        <w:pStyle w:val="7"/>
        <w:numPr>
          <w:ilvl w:val="0"/>
          <w:numId w:val="5"/>
        </w:numPr>
        <w:spacing w:line="560" w:lineRule="exact"/>
        <w:ind w:left="0" w:firstLine="560"/>
        <w:rPr>
          <w:rFonts w:ascii="仿宋" w:hAnsi="仿宋" w:eastAsia="仿宋"/>
          <w:color w:val="auto"/>
          <w:sz w:val="24"/>
          <w:szCs w:val="24"/>
          <w:u w:val="none"/>
        </w:rPr>
      </w:pPr>
      <w:r>
        <w:rPr>
          <w:rFonts w:hint="eastAsia" w:ascii="仿宋" w:hAnsi="仿宋" w:eastAsia="仿宋"/>
          <w:color w:val="auto"/>
          <w:sz w:val="24"/>
          <w:szCs w:val="24"/>
          <w:u w:val="none"/>
        </w:rPr>
        <w:t>甲方</w:t>
      </w:r>
      <w:r>
        <w:rPr>
          <w:rFonts w:ascii="仿宋" w:hAnsi="仿宋" w:eastAsia="仿宋"/>
          <w:color w:val="auto"/>
          <w:sz w:val="24"/>
          <w:szCs w:val="24"/>
          <w:u w:val="none"/>
        </w:rPr>
        <w:t>有权</w:t>
      </w:r>
      <w:r>
        <w:rPr>
          <w:rFonts w:hint="eastAsia" w:ascii="仿宋" w:hAnsi="仿宋" w:eastAsia="仿宋"/>
          <w:color w:val="auto"/>
          <w:sz w:val="24"/>
          <w:szCs w:val="24"/>
          <w:u w:val="none"/>
        </w:rPr>
        <w:t>提出</w:t>
      </w:r>
      <w:r>
        <w:rPr>
          <w:rFonts w:ascii="仿宋" w:hAnsi="仿宋" w:eastAsia="仿宋"/>
          <w:color w:val="auto"/>
          <w:sz w:val="24"/>
          <w:szCs w:val="24"/>
          <w:u w:val="none"/>
        </w:rPr>
        <w:t>具体的</w:t>
      </w:r>
      <w:r>
        <w:rPr>
          <w:rFonts w:hint="eastAsia" w:ascii="仿宋" w:hAnsi="仿宋" w:eastAsia="仿宋"/>
          <w:color w:val="auto"/>
          <w:sz w:val="24"/>
          <w:szCs w:val="24"/>
          <w:u w:val="none"/>
        </w:rPr>
        <w:t>服务项目</w:t>
      </w:r>
      <w:r>
        <w:rPr>
          <w:rFonts w:ascii="仿宋" w:hAnsi="仿宋" w:eastAsia="仿宋"/>
          <w:color w:val="auto"/>
          <w:sz w:val="24"/>
          <w:szCs w:val="24"/>
          <w:u w:val="none"/>
        </w:rPr>
        <w:t>的服务标准</w:t>
      </w:r>
      <w:r>
        <w:rPr>
          <w:rFonts w:hint="eastAsia" w:ascii="仿宋" w:hAnsi="仿宋" w:eastAsia="仿宋"/>
          <w:color w:val="auto"/>
          <w:sz w:val="24"/>
          <w:szCs w:val="24"/>
          <w:u w:val="none"/>
        </w:rPr>
        <w:t>，可在与乙方协商一致后有权对服务内容进行调整，变更服务内容</w:t>
      </w:r>
      <w:r>
        <w:rPr>
          <w:rFonts w:hint="eastAsia" w:ascii="仿宋" w:hAnsi="仿宋" w:eastAsia="仿宋"/>
          <w:color w:val="auto"/>
          <w:sz w:val="24"/>
          <w:szCs w:val="24"/>
          <w:u w:val="none"/>
          <w:lang w:eastAsia="zh-CN"/>
        </w:rPr>
        <w:t>，</w:t>
      </w:r>
      <w:r>
        <w:rPr>
          <w:rFonts w:hint="eastAsia" w:ascii="仿宋" w:hAnsi="仿宋" w:eastAsia="仿宋"/>
          <w:color w:val="auto"/>
          <w:sz w:val="24"/>
          <w:szCs w:val="24"/>
          <w:u w:val="none"/>
          <w:lang w:val="en-US" w:eastAsia="zh-CN"/>
        </w:rPr>
        <w:t>并签订补充协议</w:t>
      </w:r>
      <w:r>
        <w:rPr>
          <w:rFonts w:ascii="仿宋" w:hAnsi="仿宋" w:eastAsia="仿宋"/>
          <w:color w:val="auto"/>
          <w:sz w:val="24"/>
          <w:szCs w:val="24"/>
          <w:u w:val="none"/>
        </w:rPr>
        <w:t>。</w:t>
      </w:r>
      <w:r>
        <w:rPr>
          <w:rFonts w:hint="eastAsia" w:ascii="仿宋" w:hAnsi="仿宋" w:eastAsia="仿宋"/>
          <w:color w:val="auto"/>
          <w:sz w:val="24"/>
          <w:szCs w:val="24"/>
          <w:u w:val="none"/>
        </w:rPr>
        <w:t>如甲方服务需求情况发生变动，或甲方需修改委托服务内容和要求的，甲方应当提前7日</w:t>
      </w:r>
      <w:r>
        <w:rPr>
          <w:rFonts w:hint="eastAsia" w:ascii="仿宋" w:hAnsi="仿宋" w:eastAsia="仿宋"/>
          <w:color w:val="auto"/>
          <w:sz w:val="24"/>
          <w:szCs w:val="24"/>
          <w:u w:val="none"/>
          <w:lang w:val="en-US" w:eastAsia="zh-CN"/>
        </w:rPr>
        <w:t>书面</w:t>
      </w:r>
      <w:r>
        <w:rPr>
          <w:rFonts w:hint="eastAsia" w:ascii="仿宋" w:hAnsi="仿宋" w:eastAsia="仿宋"/>
          <w:color w:val="auto"/>
          <w:sz w:val="24"/>
          <w:szCs w:val="24"/>
          <w:u w:val="none"/>
        </w:rPr>
        <w:t>通知乙方，重大修改的需要提前15日</w:t>
      </w:r>
      <w:r>
        <w:rPr>
          <w:rFonts w:hint="eastAsia" w:ascii="仿宋" w:hAnsi="仿宋" w:eastAsia="仿宋"/>
          <w:color w:val="auto"/>
          <w:sz w:val="24"/>
          <w:szCs w:val="24"/>
          <w:u w:val="none"/>
          <w:lang w:val="en-US" w:eastAsia="zh-CN"/>
        </w:rPr>
        <w:t>书面</w:t>
      </w:r>
      <w:r>
        <w:rPr>
          <w:rFonts w:hint="eastAsia" w:ascii="仿宋" w:hAnsi="仿宋" w:eastAsia="仿宋"/>
          <w:color w:val="auto"/>
          <w:sz w:val="24"/>
          <w:szCs w:val="24"/>
          <w:u w:val="none"/>
        </w:rPr>
        <w:t>通知。因修改委托服务要求而需调整合同时间和金额的，双方应另行协商</w:t>
      </w:r>
      <w:r>
        <w:rPr>
          <w:rFonts w:hint="eastAsia" w:ascii="仿宋" w:hAnsi="仿宋" w:eastAsia="仿宋"/>
          <w:color w:val="auto"/>
          <w:sz w:val="24"/>
          <w:szCs w:val="24"/>
          <w:u w:val="none"/>
          <w:lang w:eastAsia="zh-CN"/>
        </w:rPr>
        <w:t>，</w:t>
      </w:r>
      <w:r>
        <w:rPr>
          <w:rFonts w:hint="eastAsia" w:ascii="仿宋" w:hAnsi="仿宋" w:eastAsia="仿宋"/>
          <w:color w:val="auto"/>
          <w:sz w:val="24"/>
          <w:szCs w:val="24"/>
          <w:u w:val="none"/>
          <w:lang w:val="en-US" w:eastAsia="zh-CN"/>
        </w:rPr>
        <w:t>并签订补充协议</w:t>
      </w:r>
      <w:r>
        <w:rPr>
          <w:rFonts w:hint="eastAsia" w:ascii="仿宋" w:hAnsi="仿宋" w:eastAsia="仿宋"/>
          <w:color w:val="auto"/>
          <w:sz w:val="24"/>
          <w:szCs w:val="24"/>
          <w:u w:val="none"/>
        </w:rPr>
        <w:t>。</w:t>
      </w:r>
    </w:p>
    <w:p w14:paraId="6D250634">
      <w:pPr>
        <w:pStyle w:val="7"/>
        <w:numPr>
          <w:ilvl w:val="0"/>
          <w:numId w:val="5"/>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方有权监督检查乙方所提供的服务质量，对乙方履行义务不符合要求的，有权向乙方提出纠正意见，如果甲方所反映的问题确实存在，并且不违反法律、法规或政策的规定，乙方应及时与甲方沟通，并及时予以纠正或弥补。</w:t>
      </w:r>
    </w:p>
    <w:p w14:paraId="54C25A8E">
      <w:pPr>
        <w:pStyle w:val="7"/>
        <w:numPr>
          <w:ilvl w:val="0"/>
          <w:numId w:val="5"/>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甲方应按照本合同约定在合同约定的时间内向乙方支付服务费用。</w:t>
      </w:r>
    </w:p>
    <w:p w14:paraId="251EFAE1">
      <w:pPr>
        <w:pStyle w:val="7"/>
        <w:numPr>
          <w:ilvl w:val="0"/>
          <w:numId w:val="5"/>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甲方应为乙方服务人员正常开展业务外包服务提供必要的工具、资料、办公用品和协助等。</w:t>
      </w:r>
    </w:p>
    <w:p w14:paraId="6381A393">
      <w:pPr>
        <w:pStyle w:val="7"/>
        <w:numPr>
          <w:ilvl w:val="0"/>
          <w:numId w:val="5"/>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甲方负责提供安全工作操作规程与工作质量标准，并提供必要的安全工作场所和设备。因甲方原因致服务人员人身、财产损失的，由甲方承担赔偿责任。</w:t>
      </w:r>
    </w:p>
    <w:p w14:paraId="2B44A51D">
      <w:pPr>
        <w:pStyle w:val="7"/>
        <w:numPr>
          <w:ilvl w:val="0"/>
          <w:numId w:val="5"/>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若服务人员因执行甲方交代的工作任务造成他人损害的，由甲方承担侵权责任；若乙方有过错的，承担相应的责任。</w:t>
      </w:r>
    </w:p>
    <w:p w14:paraId="361D9049">
      <w:pPr>
        <w:pStyle w:val="7"/>
        <w:numPr>
          <w:ilvl w:val="0"/>
          <w:numId w:val="5"/>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服务人员在服务期间发生工伤事故伤害的，甲方应当协助乙方做好服务人员工伤认定申报工作，事后对工伤职工及其亲属开展慰问工作。服务人员工伤相关待遇除社会保险支付外，剩余需支付的费用和承担的责任，由甲方承担。</w:t>
      </w:r>
    </w:p>
    <w:p w14:paraId="5654A416">
      <w:pPr>
        <w:pStyle w:val="7"/>
        <w:numPr>
          <w:ilvl w:val="0"/>
          <w:numId w:val="5"/>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因甲方原因发生劳动争议导致乙方成本费用增加，或者发生乙方需向服务人员支付经济补偿或赔偿金等情形，相应费用由甲方另行承担。</w:t>
      </w:r>
    </w:p>
    <w:p w14:paraId="11E81A42">
      <w:pPr>
        <w:pStyle w:val="7"/>
        <w:numPr>
          <w:ilvl w:val="255"/>
          <w:numId w:val="0"/>
        </w:numPr>
        <w:spacing w:line="560" w:lineRule="exact"/>
        <w:ind w:firstLine="480" w:firstLineChars="200"/>
        <w:outlineLvl w:val="0"/>
        <w:rPr>
          <w:rFonts w:ascii="黑体" w:hAnsi="黑体" w:eastAsia="黑体"/>
          <w:color w:val="auto"/>
          <w:sz w:val="24"/>
          <w:szCs w:val="24"/>
        </w:rPr>
      </w:pPr>
      <w:r>
        <w:rPr>
          <w:rFonts w:hint="eastAsia" w:ascii="黑体" w:hAnsi="黑体" w:eastAsia="黑体"/>
          <w:color w:val="auto"/>
          <w:sz w:val="24"/>
          <w:szCs w:val="24"/>
        </w:rPr>
        <w:t>六、乙方的权利和义务</w:t>
      </w:r>
    </w:p>
    <w:p w14:paraId="34A7F00A">
      <w:pPr>
        <w:pStyle w:val="7"/>
        <w:numPr>
          <w:ilvl w:val="0"/>
          <w:numId w:val="6"/>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乙方按照本合同约定提供服务且收取约定的服务费用，并向甲方开具发票。</w:t>
      </w:r>
    </w:p>
    <w:p w14:paraId="2B27A290">
      <w:pPr>
        <w:pStyle w:val="7"/>
        <w:numPr>
          <w:ilvl w:val="0"/>
          <w:numId w:val="6"/>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乙方有权拒绝甲方强令违章、冒险作业、违规操作等指令。</w:t>
      </w:r>
    </w:p>
    <w:p w14:paraId="3544227B">
      <w:pPr>
        <w:pStyle w:val="7"/>
        <w:numPr>
          <w:ilvl w:val="0"/>
          <w:numId w:val="6"/>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lang w:val="en-US" w:eastAsia="zh-CN"/>
        </w:rPr>
        <w:t>乙方保证其具备从事所约定的服务所应具备的资质、营业范围、专业</w:t>
      </w:r>
      <w:r>
        <w:rPr>
          <w:rFonts w:hint="eastAsia" w:ascii="仿宋" w:hAnsi="仿宋" w:eastAsia="仿宋"/>
          <w:color w:val="auto"/>
          <w:sz w:val="24"/>
          <w:szCs w:val="24"/>
        </w:rPr>
        <w:t>范围、专业人员、专业技术等条件。</w:t>
      </w:r>
    </w:p>
    <w:p w14:paraId="52B0F4D6">
      <w:pPr>
        <w:pStyle w:val="7"/>
        <w:numPr>
          <w:ilvl w:val="0"/>
          <w:numId w:val="6"/>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因履行指令导致服务人员所提供的服务给甲乙双方、服务人员、第三方等造成损失的，由指令的发出方承担赔偿责任，但乙方服务人员存在过失或故意的除外</w:t>
      </w:r>
      <w:r>
        <w:rPr>
          <w:rFonts w:hint="eastAsia" w:ascii="仿宋" w:hAnsi="仿宋" w:eastAsia="仿宋"/>
          <w:color w:val="auto"/>
          <w:sz w:val="24"/>
          <w:szCs w:val="24"/>
          <w:u w:val="none"/>
          <w:lang w:eastAsia="zh-CN"/>
        </w:rPr>
        <w:t>，</w:t>
      </w:r>
      <w:r>
        <w:rPr>
          <w:rFonts w:hint="eastAsia" w:ascii="仿宋" w:hAnsi="仿宋" w:eastAsia="仿宋"/>
          <w:color w:val="auto"/>
          <w:sz w:val="24"/>
          <w:szCs w:val="24"/>
          <w:u w:val="none"/>
          <w:lang w:val="en-US" w:eastAsia="zh-CN"/>
        </w:rPr>
        <w:t>由服务人员个人承担</w:t>
      </w:r>
      <w:r>
        <w:rPr>
          <w:rFonts w:hint="eastAsia" w:ascii="仿宋" w:hAnsi="仿宋" w:eastAsia="仿宋"/>
          <w:color w:val="auto"/>
          <w:sz w:val="24"/>
          <w:szCs w:val="24"/>
          <w:u w:val="none"/>
        </w:rPr>
        <w:t>。</w:t>
      </w:r>
    </w:p>
    <w:p w14:paraId="7AFDFBDC">
      <w:pPr>
        <w:numPr>
          <w:ilvl w:val="0"/>
          <w:numId w:val="7"/>
        </w:num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乙方应对服务人员进行保密培训，要求服务人员保守甲方的商业秘密和其他保密信息。</w:t>
      </w:r>
    </w:p>
    <w:p w14:paraId="5A272D2C">
      <w:p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（六）乙方应当保障服务的连续性，出现服务人员不能按时完成任务的情况，乙方应当及时协调解决，如果造成甲方损失的，乙方需要进行相应的赔偿。</w:t>
      </w:r>
    </w:p>
    <w:p w14:paraId="5490F2C6">
      <w:pPr>
        <w:pStyle w:val="7"/>
        <w:spacing w:line="560" w:lineRule="exact"/>
        <w:ind w:firstLine="560"/>
        <w:outlineLvl w:val="0"/>
        <w:rPr>
          <w:rFonts w:ascii="黑体" w:hAnsi="黑体" w:eastAsia="黑体"/>
          <w:color w:val="auto"/>
          <w:sz w:val="24"/>
          <w:szCs w:val="24"/>
        </w:rPr>
      </w:pPr>
      <w:r>
        <w:rPr>
          <w:rFonts w:hint="eastAsia" w:ascii="黑体" w:hAnsi="黑体" w:eastAsia="黑体"/>
          <w:color w:val="auto"/>
          <w:sz w:val="24"/>
          <w:szCs w:val="24"/>
        </w:rPr>
        <w:t>七、保密条款</w:t>
      </w:r>
    </w:p>
    <w:p w14:paraId="48FAFA37">
      <w:pPr>
        <w:pStyle w:val="7"/>
        <w:numPr>
          <w:ilvl w:val="0"/>
          <w:numId w:val="8"/>
        </w:numPr>
        <w:spacing w:line="560" w:lineRule="exact"/>
        <w:ind w:left="0" w:firstLine="560"/>
        <w:rPr>
          <w:rFonts w:ascii="仿宋" w:hAnsi="仿宋" w:eastAsia="仿宋"/>
          <w:color w:val="auto"/>
          <w:sz w:val="24"/>
          <w:szCs w:val="24"/>
        </w:rPr>
      </w:pPr>
      <w:r>
        <w:rPr>
          <w:rFonts w:ascii="仿宋" w:hAnsi="仿宋" w:eastAsia="仿宋"/>
          <w:color w:val="auto"/>
          <w:sz w:val="24"/>
          <w:szCs w:val="24"/>
        </w:rPr>
        <w:t>本合同所称“保密信息”，是指本合同拥有信息的一方（“提供方”）根据本合同向另一方（“接受方”）提供的信息，包括但不限于商业信息、文件等。</w:t>
      </w:r>
    </w:p>
    <w:p w14:paraId="62F4DA39">
      <w:pPr>
        <w:pStyle w:val="7"/>
        <w:numPr>
          <w:ilvl w:val="0"/>
          <w:numId w:val="8"/>
        </w:numPr>
        <w:spacing w:line="560" w:lineRule="exact"/>
        <w:ind w:left="0" w:firstLine="560"/>
        <w:rPr>
          <w:rFonts w:ascii="仿宋" w:hAnsi="仿宋" w:eastAsia="仿宋"/>
          <w:color w:val="auto"/>
          <w:sz w:val="24"/>
          <w:szCs w:val="24"/>
        </w:rPr>
      </w:pPr>
      <w:r>
        <w:rPr>
          <w:rFonts w:ascii="仿宋" w:hAnsi="仿宋" w:eastAsia="仿宋"/>
          <w:color w:val="auto"/>
          <w:sz w:val="24"/>
          <w:szCs w:val="24"/>
        </w:rPr>
        <w:t>保密信息只能由接受方及其人员为本合同目的而使用。除非本合同另有约定，对于提供方提供的任何保密信息，未经提供方事先书面同意，接受方及其知悉保密信息的有关人员均不得直接或间接地以任何方式提供或披露给任何“第三方”。</w:t>
      </w:r>
    </w:p>
    <w:p w14:paraId="2056155C">
      <w:pPr>
        <w:pStyle w:val="7"/>
        <w:numPr>
          <w:ilvl w:val="0"/>
          <w:numId w:val="8"/>
        </w:numPr>
        <w:spacing w:line="560" w:lineRule="exact"/>
        <w:ind w:left="0" w:firstLine="560"/>
        <w:rPr>
          <w:rFonts w:ascii="仿宋" w:hAnsi="仿宋" w:eastAsia="仿宋"/>
          <w:color w:val="auto"/>
          <w:sz w:val="24"/>
          <w:szCs w:val="24"/>
        </w:rPr>
      </w:pPr>
      <w:r>
        <w:rPr>
          <w:rFonts w:ascii="仿宋" w:hAnsi="仿宋" w:eastAsia="仿宋"/>
          <w:color w:val="auto"/>
          <w:sz w:val="24"/>
          <w:szCs w:val="24"/>
        </w:rPr>
        <w:t>有关政府部门或监管机构要求接受方披露任何保密信息，接受方在该部门或机构要求的范围内进行披露的，无需承担本合同中的责任。但前提是该接受方应在信息披露前将需披露的保密信息书面通知提供方以便提供方采取必要的保护措施，并且应尽合理努力确保该等被披露的保密信息获得该部门或机构的保密待遇。</w:t>
      </w:r>
    </w:p>
    <w:p w14:paraId="1F7EE042">
      <w:pPr>
        <w:pStyle w:val="7"/>
        <w:numPr>
          <w:ilvl w:val="0"/>
          <w:numId w:val="8"/>
        </w:numPr>
        <w:spacing w:line="560" w:lineRule="exact"/>
        <w:ind w:left="0" w:firstLine="560"/>
        <w:rPr>
          <w:rFonts w:ascii="仿宋" w:hAnsi="仿宋" w:eastAsia="仿宋"/>
          <w:color w:val="auto"/>
          <w:sz w:val="24"/>
          <w:szCs w:val="24"/>
        </w:rPr>
      </w:pPr>
      <w:r>
        <w:rPr>
          <w:rFonts w:ascii="仿宋" w:hAnsi="仿宋" w:eastAsia="仿宋"/>
          <w:color w:val="auto"/>
          <w:sz w:val="24"/>
          <w:szCs w:val="24"/>
        </w:rPr>
        <w:t>在任何情形下，本合同约定的保密义务应永久持续有效。</w:t>
      </w:r>
      <w:r>
        <w:rPr>
          <w:rFonts w:hint="eastAsia" w:ascii="仿宋" w:hAnsi="仿宋" w:eastAsia="仿宋"/>
          <w:color w:val="auto"/>
          <w:sz w:val="24"/>
          <w:szCs w:val="24"/>
        </w:rPr>
        <w:t>如接收方因违反保密义务给提供方造成损失的，提供方有权要求合理的赔偿包括但不限于律师费、诉讼费、差旅费等。</w:t>
      </w:r>
    </w:p>
    <w:p w14:paraId="02C33E39">
      <w:pPr>
        <w:pStyle w:val="7"/>
        <w:spacing w:line="560" w:lineRule="exact"/>
        <w:ind w:firstLine="560"/>
        <w:outlineLvl w:val="0"/>
        <w:rPr>
          <w:rFonts w:ascii="黑体" w:hAnsi="黑体" w:eastAsia="黑体"/>
          <w:color w:val="auto"/>
          <w:sz w:val="24"/>
          <w:szCs w:val="24"/>
        </w:rPr>
      </w:pPr>
      <w:r>
        <w:rPr>
          <w:rFonts w:hint="eastAsia" w:ascii="黑体" w:hAnsi="黑体" w:eastAsia="黑体"/>
          <w:color w:val="auto"/>
          <w:sz w:val="24"/>
          <w:szCs w:val="24"/>
        </w:rPr>
        <w:t>八、合同的变更、解除、终止</w:t>
      </w:r>
    </w:p>
    <w:p w14:paraId="1C2514ED">
      <w:pPr>
        <w:pStyle w:val="7"/>
        <w:numPr>
          <w:ilvl w:val="0"/>
          <w:numId w:val="9"/>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甲乙双方应共同遵守本合同的各项条款，在本合同履行期间，未经双方书面协商同意，任何一方不得变更或解除。</w:t>
      </w:r>
    </w:p>
    <w:p w14:paraId="3510425F">
      <w:pPr>
        <w:pStyle w:val="7"/>
        <w:numPr>
          <w:ilvl w:val="0"/>
          <w:numId w:val="9"/>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因不可抗力或法律、法规及相关政策变化等因素需对合同内容进行调整或者解除的，需双方协商一致。因不可抗力或法律、法规及政策变化等因素导致合同无法履行的，合同自然解除。</w:t>
      </w:r>
    </w:p>
    <w:p w14:paraId="5A96879B">
      <w:pPr>
        <w:pStyle w:val="7"/>
        <w:numPr>
          <w:ilvl w:val="0"/>
          <w:numId w:val="9"/>
        </w:numPr>
        <w:spacing w:line="560" w:lineRule="exact"/>
        <w:ind w:left="0" w:firstLine="560"/>
        <w:rPr>
          <w:rFonts w:ascii="仿宋" w:hAnsi="仿宋" w:eastAsia="仿宋"/>
          <w:color w:val="auto"/>
          <w:sz w:val="24"/>
          <w:szCs w:val="24"/>
          <w:u w:val="none"/>
        </w:rPr>
      </w:pPr>
      <w:r>
        <w:rPr>
          <w:rFonts w:hint="eastAsia" w:ascii="仿宋" w:hAnsi="仿宋" w:eastAsia="仿宋"/>
          <w:color w:val="auto"/>
          <w:sz w:val="24"/>
          <w:szCs w:val="24"/>
          <w:u w:val="none"/>
        </w:rPr>
        <w:t>本合同到期前30日，双方如无异议，通过书面（包括电子邮件）确认，合同将自动延长一年，否则本合同到期终止。</w:t>
      </w:r>
    </w:p>
    <w:p w14:paraId="6F90C519">
      <w:pPr>
        <w:pStyle w:val="7"/>
        <w:numPr>
          <w:ilvl w:val="0"/>
          <w:numId w:val="9"/>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无论因何种原因终止本合同，乙方应确保本着诚实信用的原则在合同终止7日内完成任务交接，并继续承担有关保密义务，甲方给乙方的费用结算至任务交接完成。</w:t>
      </w:r>
    </w:p>
    <w:p w14:paraId="580FD950">
      <w:pPr>
        <w:pStyle w:val="7"/>
        <w:spacing w:line="560" w:lineRule="exact"/>
        <w:ind w:firstLine="560"/>
        <w:outlineLvl w:val="0"/>
        <w:rPr>
          <w:rFonts w:ascii="黑体" w:hAnsi="黑体" w:eastAsia="黑体"/>
          <w:color w:val="auto"/>
          <w:sz w:val="24"/>
          <w:szCs w:val="24"/>
        </w:rPr>
      </w:pPr>
      <w:r>
        <w:rPr>
          <w:rFonts w:hint="eastAsia" w:ascii="黑体" w:hAnsi="黑体" w:eastAsia="黑体"/>
          <w:color w:val="auto"/>
          <w:sz w:val="24"/>
          <w:szCs w:val="24"/>
        </w:rPr>
        <w:t>九、不可抗力</w:t>
      </w:r>
    </w:p>
    <w:p w14:paraId="20191296">
      <w:pPr>
        <w:pStyle w:val="7"/>
        <w:numPr>
          <w:ilvl w:val="0"/>
          <w:numId w:val="10"/>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本合同所称“不可抗力”，是指不能预见、不能避免并不能克服的客观情况。</w:t>
      </w:r>
    </w:p>
    <w:p w14:paraId="02208CE3">
      <w:pPr>
        <w:pStyle w:val="7"/>
        <w:numPr>
          <w:ilvl w:val="0"/>
          <w:numId w:val="10"/>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受不可抗力影响不能按时、全部履行合同的一方，在不可抗力发生后应立即通知另一方，并且在不可抗力发生后的10日内向另一方提供有关该不可抗力的权威证明文件和书面说明，该书面说明中应包括对迟延或部分履行本合同的原因的说明。另一方接到通知后有权选择待不可抗力事件结束后继续履行本合同或终止本合同，并将结果书面通知对方。另一方同意待不可抗力事件结束后继续履行的，不可抗力终止后，受不可抗力影响一方应继续履行本合同并尽快通知对方。本合同的履行期限可相应延长，延长的时间应相当于不可抗力实际造成延误的时间。</w:t>
      </w:r>
    </w:p>
    <w:p w14:paraId="233EA375">
      <w:pPr>
        <w:pStyle w:val="7"/>
        <w:numPr>
          <w:ilvl w:val="0"/>
          <w:numId w:val="10"/>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不可抗力事件或其影响持续超过30日的，双方应根据该不可抗力对履行本合同的影响程度，协商变更或终止本合同。</w:t>
      </w:r>
    </w:p>
    <w:p w14:paraId="3D3A3351">
      <w:pPr>
        <w:pStyle w:val="7"/>
        <w:spacing w:line="560" w:lineRule="exact"/>
        <w:ind w:firstLine="560"/>
        <w:outlineLvl w:val="0"/>
        <w:rPr>
          <w:rFonts w:ascii="黑体" w:hAnsi="黑体" w:eastAsia="黑体"/>
          <w:color w:val="auto"/>
          <w:sz w:val="24"/>
          <w:szCs w:val="24"/>
        </w:rPr>
      </w:pPr>
      <w:r>
        <w:rPr>
          <w:rFonts w:hint="eastAsia" w:ascii="黑体" w:hAnsi="黑体" w:eastAsia="黑体"/>
          <w:color w:val="auto"/>
          <w:sz w:val="24"/>
          <w:szCs w:val="24"/>
        </w:rPr>
        <w:t>十、违约责任</w:t>
      </w:r>
    </w:p>
    <w:p w14:paraId="0671903B">
      <w:pPr>
        <w:pStyle w:val="7"/>
        <w:numPr>
          <w:ilvl w:val="0"/>
          <w:numId w:val="11"/>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任何一方不履行本合同约定的义务或履行义务不符合本合同约定的，视为违约，应立即停止违约行为，并按守约方要求承担继续履行、采取补救措施和/或赔偿损失等违约责任，给对方造成损失的，违约方应承担损害赔偿责任包括但不限于律师费、诉讼费、差旅费等。损害赔偿额应当相当于违约所造成的损失，包括合同履行后可以获得的利益，但不得超过违反合同一方订立合同时可预见到或者应当预见到的因违反合同可能造成的损失。</w:t>
      </w:r>
    </w:p>
    <w:p w14:paraId="6F28C9E9">
      <w:pPr>
        <w:pStyle w:val="7"/>
        <w:numPr>
          <w:ilvl w:val="0"/>
          <w:numId w:val="11"/>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甲方</w:t>
      </w:r>
      <w:r>
        <w:rPr>
          <w:rFonts w:ascii="仿宋" w:hAnsi="仿宋" w:eastAsia="仿宋"/>
          <w:color w:val="auto"/>
          <w:sz w:val="24"/>
          <w:szCs w:val="24"/>
        </w:rPr>
        <w:t>在</w:t>
      </w:r>
      <w:r>
        <w:rPr>
          <w:rFonts w:hint="eastAsia" w:ascii="仿宋" w:hAnsi="仿宋" w:eastAsia="仿宋"/>
          <w:color w:val="auto"/>
          <w:sz w:val="24"/>
          <w:szCs w:val="24"/>
        </w:rPr>
        <w:t>乙方未发生任何违约的情况下提前终止合同或服务确认单的，应当提前3</w:t>
      </w:r>
      <w:r>
        <w:rPr>
          <w:rFonts w:ascii="仿宋" w:hAnsi="仿宋" w:eastAsia="仿宋"/>
          <w:color w:val="auto"/>
          <w:sz w:val="24"/>
          <w:szCs w:val="24"/>
        </w:rPr>
        <w:t>0</w:t>
      </w:r>
      <w:r>
        <w:rPr>
          <w:rFonts w:hint="eastAsia" w:ascii="仿宋" w:hAnsi="仿宋" w:eastAsia="仿宋"/>
          <w:color w:val="auto"/>
          <w:sz w:val="24"/>
          <w:szCs w:val="24"/>
        </w:rPr>
        <w:t>日通知乙方，并且应当向乙方支付提前终止违约金。提前终止的违约金根据已发生服务的服务期进行计算，具体方式为：</w:t>
      </w:r>
    </w:p>
    <w:p w14:paraId="535D5980">
      <w:pPr>
        <w:pStyle w:val="7"/>
        <w:numPr>
          <w:ilvl w:val="1"/>
          <w:numId w:val="12"/>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服务期＜6个月，违约金为</w:t>
      </w:r>
      <w:r>
        <w:rPr>
          <w:rFonts w:ascii="仿宋" w:hAnsi="仿宋" w:eastAsia="仿宋"/>
          <w:color w:val="auto"/>
          <w:sz w:val="24"/>
          <w:szCs w:val="24"/>
        </w:rPr>
        <w:t>1</w:t>
      </w:r>
      <w:r>
        <w:rPr>
          <w:rFonts w:hint="eastAsia" w:ascii="仿宋" w:hAnsi="仿宋" w:eastAsia="仿宋"/>
          <w:color w:val="auto"/>
          <w:sz w:val="24"/>
          <w:szCs w:val="24"/>
        </w:rPr>
        <w:t>个月服务费。</w:t>
      </w:r>
    </w:p>
    <w:p w14:paraId="1D4AD843">
      <w:pPr>
        <w:pStyle w:val="7"/>
        <w:numPr>
          <w:ilvl w:val="1"/>
          <w:numId w:val="12"/>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6个月≤服务期＜12个月，违约金为</w:t>
      </w:r>
      <w:r>
        <w:rPr>
          <w:rFonts w:ascii="仿宋" w:hAnsi="仿宋" w:eastAsia="仿宋"/>
          <w:color w:val="auto"/>
          <w:sz w:val="24"/>
          <w:szCs w:val="24"/>
        </w:rPr>
        <w:t>2</w:t>
      </w:r>
      <w:r>
        <w:rPr>
          <w:rFonts w:hint="eastAsia" w:ascii="仿宋" w:hAnsi="仿宋" w:eastAsia="仿宋"/>
          <w:color w:val="auto"/>
          <w:sz w:val="24"/>
          <w:szCs w:val="24"/>
        </w:rPr>
        <w:t>个月服务费。</w:t>
      </w:r>
    </w:p>
    <w:p w14:paraId="23381A2A">
      <w:pPr>
        <w:pStyle w:val="7"/>
        <w:spacing w:line="560" w:lineRule="exact"/>
        <w:ind w:firstLine="560"/>
        <w:rPr>
          <w:rFonts w:ascii="仿宋" w:hAnsi="仿宋" w:eastAsia="仿宋"/>
          <w:color w:val="auto"/>
          <w:sz w:val="24"/>
          <w:szCs w:val="24"/>
        </w:rPr>
      </w:pPr>
      <w:r>
        <w:rPr>
          <w:rFonts w:hint="eastAsia" w:ascii="仿宋" w:hAnsi="仿宋" w:eastAsia="仿宋"/>
          <w:color w:val="auto"/>
          <w:sz w:val="24"/>
          <w:szCs w:val="24"/>
        </w:rPr>
        <w:t>服务期以累加计算，超过上述期间，双方另行约定。乙方在甲方未发生任何根本违约的情况下提前终止合同或服务确认单的，应</w:t>
      </w:r>
      <w:r>
        <w:rPr>
          <w:rFonts w:ascii="仿宋" w:hAnsi="仿宋" w:eastAsia="仿宋"/>
          <w:color w:val="auto"/>
          <w:sz w:val="24"/>
          <w:szCs w:val="24"/>
        </w:rPr>
        <w:t>按照上述公式</w:t>
      </w:r>
      <w:r>
        <w:rPr>
          <w:rFonts w:hint="eastAsia" w:ascii="仿宋" w:hAnsi="仿宋" w:eastAsia="仿宋"/>
          <w:color w:val="auto"/>
          <w:sz w:val="24"/>
          <w:szCs w:val="24"/>
        </w:rPr>
        <w:t>向</w:t>
      </w:r>
      <w:r>
        <w:rPr>
          <w:rFonts w:ascii="仿宋" w:hAnsi="仿宋" w:eastAsia="仿宋"/>
          <w:color w:val="auto"/>
          <w:sz w:val="24"/>
          <w:szCs w:val="24"/>
        </w:rPr>
        <w:t>甲方支付违约金。</w:t>
      </w:r>
    </w:p>
    <w:p w14:paraId="3A96F496">
      <w:pPr>
        <w:pStyle w:val="7"/>
        <w:numPr>
          <w:ilvl w:val="0"/>
          <w:numId w:val="11"/>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甲方无正当理由不按本合同约定付款的，超过30日后每逾期1日，应按应付金额的万分之一向乙方支付违约金。</w:t>
      </w:r>
    </w:p>
    <w:p w14:paraId="7AD5BE98">
      <w:pPr>
        <w:pStyle w:val="7"/>
        <w:numPr>
          <w:ilvl w:val="0"/>
          <w:numId w:val="11"/>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乙方不按照本合同约定提供受托服务的，应对甲方就此遭受的实际损失进行赔偿包括但不限于律师费、诉讼费、差旅费等。</w:t>
      </w:r>
    </w:p>
    <w:p w14:paraId="4B807636">
      <w:pPr>
        <w:pStyle w:val="7"/>
        <w:numPr>
          <w:ilvl w:val="0"/>
          <w:numId w:val="11"/>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乙方</w:t>
      </w:r>
      <w:r>
        <w:rPr>
          <w:rFonts w:ascii="仿宋" w:hAnsi="仿宋" w:eastAsia="仿宋"/>
          <w:color w:val="auto"/>
          <w:sz w:val="24"/>
          <w:szCs w:val="24"/>
        </w:rPr>
        <w:t>在</w:t>
      </w:r>
      <w:r>
        <w:rPr>
          <w:rFonts w:hint="eastAsia" w:ascii="仿宋" w:hAnsi="仿宋" w:eastAsia="仿宋"/>
          <w:color w:val="auto"/>
          <w:sz w:val="24"/>
          <w:szCs w:val="24"/>
        </w:rPr>
        <w:t>甲方未发生任何违约的情况下提前终止合同或服务确认单的，应当提前3</w:t>
      </w:r>
      <w:r>
        <w:rPr>
          <w:rFonts w:ascii="仿宋" w:hAnsi="仿宋" w:eastAsia="仿宋"/>
          <w:color w:val="auto"/>
          <w:sz w:val="24"/>
          <w:szCs w:val="24"/>
        </w:rPr>
        <w:t>0</w:t>
      </w:r>
      <w:r>
        <w:rPr>
          <w:rFonts w:hint="eastAsia" w:ascii="仿宋" w:hAnsi="仿宋" w:eastAsia="仿宋"/>
          <w:color w:val="auto"/>
          <w:sz w:val="24"/>
          <w:szCs w:val="24"/>
        </w:rPr>
        <w:t>日通知甲方，并且应当向甲方支付提前终止违约金。提前终止的违约金根据已发生服务的服务期进行计算，计算方式同上述第十条第（二）项相同。</w:t>
      </w:r>
    </w:p>
    <w:p w14:paraId="460A12E7">
      <w:pPr>
        <w:pStyle w:val="7"/>
        <w:spacing w:line="560" w:lineRule="exact"/>
        <w:ind w:firstLine="560"/>
        <w:outlineLvl w:val="0"/>
        <w:rPr>
          <w:rFonts w:ascii="黑体" w:hAnsi="黑体" w:eastAsia="黑体"/>
          <w:color w:val="auto"/>
          <w:sz w:val="24"/>
          <w:szCs w:val="24"/>
        </w:rPr>
      </w:pPr>
      <w:r>
        <w:rPr>
          <w:rFonts w:hint="eastAsia" w:ascii="黑体" w:hAnsi="黑体" w:eastAsia="黑体"/>
          <w:color w:val="auto"/>
          <w:sz w:val="24"/>
          <w:szCs w:val="24"/>
        </w:rPr>
        <w:t>十一、适用法律和争议解决</w:t>
      </w:r>
    </w:p>
    <w:p w14:paraId="35F22289">
      <w:pPr>
        <w:pStyle w:val="7"/>
        <w:numPr>
          <w:ilvl w:val="0"/>
          <w:numId w:val="13"/>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本合同的成立、签订、效力、解释、履行、变更、终止和争议解决均适用中华人民共和国法律。</w:t>
      </w:r>
    </w:p>
    <w:p w14:paraId="3C4D3BE4">
      <w:pPr>
        <w:pStyle w:val="7"/>
        <w:numPr>
          <w:ilvl w:val="0"/>
          <w:numId w:val="13"/>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因本合同履行过程中引起的或与本合同相关的任何争议，双方应争取以友好协商的方式迅速解决。若经协商仍未能解决，则将争议提交甲方所在地人民法院通过诉讼方式解决。诉讼进行过程中，除双方有争议的部分外，本合同其他部分仍然有效，双方应继续履行。</w:t>
      </w:r>
    </w:p>
    <w:p w14:paraId="7D3EE4AD">
      <w:pPr>
        <w:pStyle w:val="7"/>
        <w:spacing w:line="560" w:lineRule="exact"/>
        <w:ind w:firstLine="560"/>
        <w:outlineLvl w:val="0"/>
        <w:rPr>
          <w:rFonts w:ascii="黑体" w:hAnsi="黑体" w:eastAsia="黑体"/>
          <w:color w:val="auto"/>
          <w:sz w:val="24"/>
          <w:szCs w:val="24"/>
        </w:rPr>
      </w:pPr>
      <w:r>
        <w:rPr>
          <w:rFonts w:hint="eastAsia" w:ascii="黑体" w:hAnsi="黑体" w:eastAsia="黑体"/>
          <w:color w:val="auto"/>
          <w:sz w:val="24"/>
          <w:szCs w:val="24"/>
        </w:rPr>
        <w:t>十二、通知与送达</w:t>
      </w:r>
    </w:p>
    <w:p w14:paraId="367B87A1">
      <w:p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本合同项下的通知应以书面形式并采用挂号投邮、专人递送、传真或电子邮件任一方式按以下所示地址和号码发出，除非任何一方已书面通知另一方其变更后的地址和号码。通知以挂号信件方式发送，挂号信寄出或投邮后的第三个工作日视为送达。以专人递送方式递交的，交收件人签收即视为送达。以传真方式发送，传真发出后第一个工作日视为送达。如以电子邮件方式发送，电子邮件发送到对方指定邮件地址即视为送达。任何一方更改通讯地址、电子邮箱或传真号码等联系方式的，须至少提前7个工作日通知另一方。</w:t>
      </w:r>
    </w:p>
    <w:p w14:paraId="06EEF0FB">
      <w:pPr>
        <w:pStyle w:val="7"/>
        <w:spacing w:line="560" w:lineRule="exact"/>
        <w:ind w:firstLine="560"/>
        <w:outlineLvl w:val="0"/>
        <w:rPr>
          <w:rFonts w:ascii="黑体" w:hAnsi="黑体" w:eastAsia="黑体"/>
          <w:color w:val="auto"/>
          <w:sz w:val="24"/>
          <w:szCs w:val="24"/>
        </w:rPr>
      </w:pPr>
      <w:r>
        <w:rPr>
          <w:rFonts w:hint="eastAsia" w:ascii="黑体" w:hAnsi="黑体" w:eastAsia="黑体"/>
          <w:color w:val="auto"/>
          <w:sz w:val="24"/>
          <w:szCs w:val="24"/>
        </w:rPr>
        <w:t>十三、合同生效及其他</w:t>
      </w:r>
    </w:p>
    <w:p w14:paraId="6576C0E9">
      <w:pPr>
        <w:pStyle w:val="7"/>
        <w:numPr>
          <w:ilvl w:val="0"/>
          <w:numId w:val="1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本合同自双方法定代表人或授权代表签字（人名章）并加盖公章或合同专用章之日起生效。</w:t>
      </w:r>
    </w:p>
    <w:p w14:paraId="34015550">
      <w:pPr>
        <w:pStyle w:val="7"/>
        <w:numPr>
          <w:ilvl w:val="0"/>
          <w:numId w:val="1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本合同各条的标题只供了解该条的内容之用，对该标题下的内容不具有限制范围的作用。</w:t>
      </w:r>
    </w:p>
    <w:p w14:paraId="41E0A43B">
      <w:pPr>
        <w:pStyle w:val="7"/>
        <w:numPr>
          <w:ilvl w:val="0"/>
          <w:numId w:val="1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本合同及其附件构成双方就本合同目的达成的完整合同，取代双方之前达成的所有口头或书面的约定书、协商、意向书和其他约定书及文件。</w:t>
      </w:r>
    </w:p>
    <w:p w14:paraId="5CB2EE08">
      <w:pPr>
        <w:pStyle w:val="7"/>
        <w:numPr>
          <w:ilvl w:val="0"/>
          <w:numId w:val="1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除法律另有规定外，本合同部分条款的无效不影响本合同任何其它条款的有效性。</w:t>
      </w:r>
    </w:p>
    <w:p w14:paraId="434C7524">
      <w:pPr>
        <w:pStyle w:val="7"/>
        <w:numPr>
          <w:ilvl w:val="0"/>
          <w:numId w:val="1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附件为本合同不可分割的组成部分，与正文具有同等法律效力。</w:t>
      </w:r>
    </w:p>
    <w:p w14:paraId="79CA2E07">
      <w:pPr>
        <w:pStyle w:val="7"/>
        <w:numPr>
          <w:ilvl w:val="0"/>
          <w:numId w:val="1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对本合同及附件的任何变更或修改均需以书面形式进行，并经双方法定代表人或授权代表签字（人名章）并加盖公章或合同专用章方为有效。</w:t>
      </w:r>
    </w:p>
    <w:p w14:paraId="3915D53F">
      <w:pPr>
        <w:pStyle w:val="7"/>
        <w:numPr>
          <w:ilvl w:val="0"/>
          <w:numId w:val="1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本合同未尽事宜将由双方另行协商并签订书面补充协议。补充协议与本合同具有同等法律效力。补充协议与本合同表述不一致的，以补充协议为准。</w:t>
      </w:r>
    </w:p>
    <w:p w14:paraId="65D95A5D">
      <w:pPr>
        <w:pStyle w:val="7"/>
        <w:numPr>
          <w:ilvl w:val="0"/>
          <w:numId w:val="1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本合同以中文签署，壹式</w:t>
      </w:r>
      <w:r>
        <w:rPr>
          <w:rFonts w:hint="eastAsia" w:ascii="仿宋" w:hAnsi="仿宋" w:eastAsia="仿宋"/>
          <w:color w:val="auto"/>
          <w:sz w:val="24"/>
          <w:szCs w:val="24"/>
          <w:lang w:val="en-US" w:eastAsia="zh-CN"/>
        </w:rPr>
        <w:t>肆</w:t>
      </w:r>
      <w:r>
        <w:rPr>
          <w:rFonts w:hint="eastAsia" w:ascii="仿宋" w:hAnsi="仿宋" w:eastAsia="仿宋"/>
          <w:color w:val="auto"/>
          <w:sz w:val="24"/>
          <w:szCs w:val="24"/>
        </w:rPr>
        <w:t>份，甲方持</w:t>
      </w:r>
      <w:r>
        <w:rPr>
          <w:rFonts w:hint="eastAsia" w:ascii="仿宋" w:hAnsi="仿宋" w:eastAsia="仿宋"/>
          <w:color w:val="auto"/>
          <w:sz w:val="24"/>
          <w:szCs w:val="24"/>
          <w:lang w:val="en-US" w:eastAsia="zh-CN"/>
        </w:rPr>
        <w:t>贰</w:t>
      </w:r>
      <w:r>
        <w:rPr>
          <w:rFonts w:hint="eastAsia" w:ascii="仿宋" w:hAnsi="仿宋" w:eastAsia="仿宋"/>
          <w:color w:val="auto"/>
          <w:sz w:val="24"/>
          <w:szCs w:val="24"/>
        </w:rPr>
        <w:t>份，乙方持</w:t>
      </w:r>
      <w:r>
        <w:rPr>
          <w:rFonts w:hint="eastAsia" w:ascii="仿宋" w:hAnsi="仿宋" w:eastAsia="仿宋"/>
          <w:color w:val="auto"/>
          <w:sz w:val="24"/>
          <w:szCs w:val="24"/>
          <w:lang w:val="en-US" w:eastAsia="zh-CN"/>
        </w:rPr>
        <w:t>贰</w:t>
      </w:r>
      <w:r>
        <w:rPr>
          <w:rFonts w:hint="eastAsia" w:ascii="仿宋" w:hAnsi="仿宋" w:eastAsia="仿宋"/>
          <w:color w:val="auto"/>
          <w:sz w:val="24"/>
          <w:szCs w:val="24"/>
        </w:rPr>
        <w:t>份，具有同等法律效力。</w:t>
      </w:r>
    </w:p>
    <w:p w14:paraId="37E50BEF">
      <w:pPr>
        <w:pStyle w:val="7"/>
        <w:numPr>
          <w:ilvl w:val="0"/>
          <w:numId w:val="14"/>
        </w:numPr>
        <w:spacing w:line="560" w:lineRule="exact"/>
        <w:ind w:left="0" w:firstLine="560"/>
        <w:rPr>
          <w:rFonts w:ascii="仿宋" w:hAnsi="仿宋" w:eastAsia="仿宋"/>
          <w:color w:val="auto"/>
          <w:sz w:val="24"/>
          <w:szCs w:val="24"/>
        </w:rPr>
      </w:pPr>
      <w:r>
        <w:rPr>
          <w:rFonts w:hint="eastAsia" w:ascii="仿宋" w:hAnsi="仿宋" w:eastAsia="仿宋"/>
          <w:color w:val="auto"/>
          <w:sz w:val="24"/>
          <w:szCs w:val="24"/>
        </w:rPr>
        <w:t>双方应在本合同签订前分别向对方提供其授权有关人员签订本合同的授权文件，双方的授权委托书原件由对方存档。</w:t>
      </w:r>
    </w:p>
    <w:p w14:paraId="1433184E">
      <w:pPr>
        <w:spacing w:line="560" w:lineRule="exact"/>
        <w:ind w:firstLine="480" w:firstLineChars="200"/>
        <w:rPr>
          <w:rFonts w:ascii="仿宋" w:hAnsi="仿宋" w:eastAsia="仿宋"/>
          <w:color w:val="auto"/>
          <w:sz w:val="24"/>
          <w:szCs w:val="24"/>
        </w:rPr>
      </w:pPr>
      <w:r>
        <w:rPr>
          <w:rFonts w:hint="eastAsia" w:ascii="仿宋" w:hAnsi="仿宋" w:eastAsia="仿宋"/>
          <w:color w:val="auto"/>
          <w:sz w:val="24"/>
          <w:szCs w:val="24"/>
        </w:rPr>
        <w:t>（以下</w:t>
      </w:r>
      <w:r>
        <w:rPr>
          <w:rFonts w:ascii="仿宋" w:hAnsi="仿宋" w:eastAsia="仿宋"/>
          <w:color w:val="auto"/>
          <w:sz w:val="24"/>
          <w:szCs w:val="24"/>
        </w:rPr>
        <w:t>无正文</w:t>
      </w:r>
      <w:r>
        <w:rPr>
          <w:rFonts w:hint="eastAsia" w:ascii="仿宋" w:hAnsi="仿宋" w:eastAsia="仿宋"/>
          <w:color w:val="auto"/>
          <w:sz w:val="24"/>
          <w:szCs w:val="24"/>
        </w:rPr>
        <w:t>）</w:t>
      </w:r>
      <w:r>
        <w:rPr>
          <w:rFonts w:ascii="仿宋" w:hAnsi="仿宋" w:eastAsia="仿宋"/>
          <w:color w:val="auto"/>
          <w:sz w:val="24"/>
          <w:szCs w:val="24"/>
        </w:rPr>
        <w:br w:type="page"/>
      </w:r>
    </w:p>
    <w:p w14:paraId="50587F47">
      <w:pPr>
        <w:spacing w:line="560" w:lineRule="exact"/>
        <w:ind w:firstLine="480" w:firstLineChars="200"/>
        <w:jc w:val="left"/>
        <w:rPr>
          <w:rFonts w:ascii="仿宋" w:hAnsi="仿宋" w:eastAsia="仿宋"/>
          <w:color w:val="auto"/>
          <w:sz w:val="24"/>
          <w:szCs w:val="24"/>
        </w:rPr>
      </w:pPr>
      <w:r>
        <w:rPr>
          <w:rFonts w:hint="eastAsia" w:ascii="仿宋" w:hAnsi="仿宋" w:eastAsia="仿宋"/>
          <w:color w:val="auto"/>
          <w:sz w:val="24"/>
          <w:szCs w:val="24"/>
        </w:rPr>
        <w:t>（本页无正文，为【</w:t>
      </w:r>
      <w:r>
        <w:rPr>
          <w:rFonts w:hint="eastAsia" w:ascii="仿宋" w:hAnsi="仿宋" w:eastAsia="仿宋"/>
          <w:color w:val="auto"/>
          <w:sz w:val="24"/>
          <w:szCs w:val="24"/>
          <w:lang w:val="en-US" w:eastAsia="zh-CN"/>
        </w:rPr>
        <w:t>XXXX</w:t>
      </w:r>
      <w:r>
        <w:rPr>
          <w:rFonts w:hint="eastAsia" w:ascii="仿宋" w:hAnsi="仿宋" w:eastAsia="仿宋"/>
          <w:color w:val="auto"/>
          <w:sz w:val="24"/>
          <w:szCs w:val="24"/>
        </w:rPr>
        <w:t>】与【</w:t>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rPr>
        <w:t>】就《</w:t>
      </w:r>
      <w:r>
        <w:rPr>
          <w:rFonts w:hint="eastAsia" w:ascii="仿宋" w:hAnsi="仿宋" w:eastAsia="仿宋"/>
          <w:color w:val="auto"/>
          <w:sz w:val="24"/>
          <w:szCs w:val="24"/>
          <w:lang w:val="en-US" w:eastAsia="zh-CN"/>
        </w:rPr>
        <w:t>XX外包</w:t>
      </w:r>
      <w:r>
        <w:rPr>
          <w:rFonts w:hint="eastAsia" w:ascii="仿宋" w:hAnsi="仿宋" w:eastAsia="仿宋"/>
          <w:color w:val="auto"/>
          <w:sz w:val="24"/>
          <w:szCs w:val="24"/>
        </w:rPr>
        <w:t>服务项目合同》</w:t>
      </w:r>
      <w:r>
        <w:rPr>
          <w:rFonts w:hint="eastAsia" w:ascii="仿宋" w:hAnsi="仿宋" w:eastAsia="仿宋"/>
          <w:color w:val="auto"/>
          <w:sz w:val="24"/>
          <w:szCs w:val="24"/>
          <w:lang w:eastAsia="zh-CN"/>
        </w:rPr>
        <w:t>（</w:t>
      </w:r>
      <w:r>
        <w:rPr>
          <w:rFonts w:hint="eastAsia" w:ascii="仿宋" w:hAnsi="仿宋" w:eastAsia="仿宋"/>
          <w:color w:val="auto"/>
          <w:sz w:val="24"/>
          <w:szCs w:val="24"/>
        </w:rPr>
        <w:t>签字盖章页）</w:t>
      </w:r>
    </w:p>
    <w:p w14:paraId="50EE8E8E">
      <w:pPr>
        <w:spacing w:line="560" w:lineRule="exact"/>
        <w:ind w:firstLine="480" w:firstLineChars="200"/>
        <w:rPr>
          <w:rFonts w:ascii="仿宋" w:hAnsi="仿宋" w:eastAsia="仿宋"/>
          <w:color w:val="auto"/>
          <w:sz w:val="24"/>
          <w:szCs w:val="24"/>
        </w:rPr>
      </w:pPr>
    </w:p>
    <w:p w14:paraId="591CB463">
      <w:pPr>
        <w:pStyle w:val="2"/>
        <w:rPr>
          <w:rFonts w:ascii="仿宋" w:hAnsi="仿宋" w:eastAsia="仿宋"/>
          <w:color w:val="auto"/>
          <w:sz w:val="24"/>
          <w:szCs w:val="24"/>
        </w:rPr>
      </w:pPr>
    </w:p>
    <w:p w14:paraId="1DA6E7A4">
      <w:pPr>
        <w:rPr>
          <w:color w:val="auto"/>
          <w:sz w:val="24"/>
          <w:szCs w:val="24"/>
        </w:rPr>
      </w:pPr>
    </w:p>
    <w:p w14:paraId="3A6F9615">
      <w:pPr>
        <w:pStyle w:val="2"/>
        <w:rPr>
          <w:color w:val="auto"/>
          <w:sz w:val="24"/>
          <w:szCs w:val="24"/>
        </w:rPr>
      </w:pPr>
    </w:p>
    <w:p w14:paraId="30E3E055">
      <w:pPr>
        <w:widowControl/>
        <w:spacing w:line="560" w:lineRule="exact"/>
        <w:ind w:firstLine="480" w:firstLineChars="200"/>
        <w:jc w:val="left"/>
        <w:rPr>
          <w:rFonts w:ascii="仿宋" w:hAnsi="仿宋" w:eastAsia="仿宋"/>
          <w:color w:val="auto"/>
          <w:sz w:val="24"/>
          <w:szCs w:val="24"/>
        </w:rPr>
      </w:pPr>
      <w:r>
        <w:rPr>
          <w:rFonts w:hint="eastAsia" w:ascii="仿宋" w:hAnsi="仿宋" w:eastAsia="仿宋"/>
          <w:color w:val="auto"/>
          <w:sz w:val="24"/>
          <w:szCs w:val="24"/>
        </w:rPr>
        <w:t>甲方：</w:t>
      </w:r>
    </w:p>
    <w:p w14:paraId="1BD921B8">
      <w:pPr>
        <w:widowControl/>
        <w:spacing w:line="560" w:lineRule="exact"/>
        <w:ind w:firstLine="480" w:firstLineChars="200"/>
        <w:jc w:val="left"/>
        <w:rPr>
          <w:rFonts w:ascii="仿宋" w:hAnsi="仿宋" w:eastAsia="仿宋"/>
          <w:color w:val="auto"/>
          <w:sz w:val="24"/>
          <w:szCs w:val="24"/>
        </w:rPr>
      </w:pPr>
      <w:r>
        <w:rPr>
          <w:rFonts w:hint="eastAsia" w:ascii="仿宋" w:hAnsi="仿宋" w:eastAsia="仿宋"/>
          <w:color w:val="auto"/>
          <w:sz w:val="24"/>
          <w:szCs w:val="24"/>
        </w:rPr>
        <w:t>【</w:t>
      </w:r>
      <w:r>
        <w:rPr>
          <w:rFonts w:hint="eastAsia" w:ascii="仿宋" w:hAnsi="仿宋" w:eastAsia="仿宋"/>
          <w:color w:val="auto"/>
          <w:sz w:val="24"/>
          <w:szCs w:val="24"/>
          <w:lang w:val="en-US" w:eastAsia="zh-CN"/>
        </w:rPr>
        <w:t>XX</w:t>
      </w:r>
      <w:r>
        <w:rPr>
          <w:rFonts w:hint="eastAsia" w:ascii="仿宋" w:hAnsi="仿宋" w:eastAsia="仿宋"/>
          <w:color w:val="auto"/>
          <w:sz w:val="24"/>
          <w:szCs w:val="24"/>
        </w:rPr>
        <w:t>】（盖章）：</w:t>
      </w:r>
    </w:p>
    <w:p w14:paraId="0823E5CD">
      <w:pPr>
        <w:widowControl/>
        <w:spacing w:line="560" w:lineRule="exact"/>
        <w:ind w:firstLine="480" w:firstLineChars="200"/>
        <w:jc w:val="left"/>
        <w:rPr>
          <w:rFonts w:ascii="仿宋" w:hAnsi="仿宋" w:eastAsia="仿宋"/>
          <w:color w:val="auto"/>
          <w:sz w:val="24"/>
          <w:szCs w:val="24"/>
        </w:rPr>
      </w:pPr>
    </w:p>
    <w:p w14:paraId="19724A16">
      <w:pPr>
        <w:pStyle w:val="2"/>
        <w:rPr>
          <w:color w:val="auto"/>
          <w:sz w:val="24"/>
          <w:szCs w:val="24"/>
        </w:rPr>
      </w:pPr>
    </w:p>
    <w:p w14:paraId="1CAC99DE">
      <w:pPr>
        <w:widowControl/>
        <w:spacing w:line="560" w:lineRule="exact"/>
        <w:ind w:firstLine="480" w:firstLineChars="200"/>
        <w:jc w:val="left"/>
        <w:rPr>
          <w:rFonts w:ascii="仿宋" w:hAnsi="仿宋" w:eastAsia="仿宋"/>
          <w:color w:val="auto"/>
          <w:sz w:val="24"/>
          <w:szCs w:val="24"/>
        </w:rPr>
      </w:pPr>
      <w:r>
        <w:rPr>
          <w:rFonts w:hint="eastAsia" w:ascii="仿宋" w:hAnsi="仿宋" w:eastAsia="仿宋"/>
          <w:color w:val="auto"/>
          <w:sz w:val="24"/>
          <w:szCs w:val="24"/>
        </w:rPr>
        <w:t>法定代表人或授权代表（签字</w:t>
      </w:r>
      <w:r>
        <w:rPr>
          <w:rFonts w:hint="eastAsia" w:ascii="仿宋" w:hAnsi="仿宋" w:eastAsia="仿宋"/>
          <w:color w:val="auto"/>
          <w:sz w:val="24"/>
          <w:szCs w:val="24"/>
          <w:lang w:val="en-US" w:eastAsia="zh-CN"/>
        </w:rPr>
        <w:t>或签</w:t>
      </w:r>
      <w:r>
        <w:rPr>
          <w:rFonts w:hint="eastAsia" w:ascii="仿宋" w:hAnsi="仿宋" w:eastAsia="仿宋"/>
          <w:color w:val="auto"/>
          <w:sz w:val="24"/>
          <w:szCs w:val="24"/>
        </w:rPr>
        <w:t>章）：</w:t>
      </w:r>
    </w:p>
    <w:p w14:paraId="61C6AAAC">
      <w:pPr>
        <w:widowControl/>
        <w:spacing w:line="560" w:lineRule="exact"/>
        <w:ind w:firstLine="480" w:firstLineChars="200"/>
        <w:jc w:val="left"/>
        <w:rPr>
          <w:rFonts w:ascii="仿宋" w:hAnsi="仿宋" w:eastAsia="仿宋"/>
          <w:color w:val="auto"/>
          <w:sz w:val="24"/>
          <w:szCs w:val="24"/>
        </w:rPr>
      </w:pPr>
    </w:p>
    <w:p w14:paraId="1C3ACAD7">
      <w:pPr>
        <w:widowControl/>
        <w:spacing w:line="560" w:lineRule="exact"/>
        <w:ind w:firstLine="480" w:firstLineChars="200"/>
        <w:jc w:val="left"/>
        <w:rPr>
          <w:rFonts w:ascii="仿宋" w:hAnsi="仿宋" w:eastAsia="仿宋"/>
          <w:color w:val="auto"/>
          <w:sz w:val="24"/>
          <w:szCs w:val="24"/>
        </w:rPr>
      </w:pPr>
    </w:p>
    <w:p w14:paraId="740A039A">
      <w:pPr>
        <w:pStyle w:val="2"/>
        <w:rPr>
          <w:color w:val="auto"/>
          <w:sz w:val="24"/>
          <w:szCs w:val="24"/>
        </w:rPr>
      </w:pPr>
    </w:p>
    <w:p w14:paraId="7D598B9C">
      <w:pPr>
        <w:pStyle w:val="2"/>
        <w:rPr>
          <w:color w:val="auto"/>
          <w:sz w:val="24"/>
          <w:szCs w:val="24"/>
        </w:rPr>
      </w:pPr>
    </w:p>
    <w:p w14:paraId="080C1F23">
      <w:pPr>
        <w:widowControl/>
        <w:spacing w:line="560" w:lineRule="exact"/>
        <w:ind w:firstLine="480" w:firstLineChars="200"/>
        <w:jc w:val="left"/>
        <w:rPr>
          <w:rFonts w:ascii="仿宋" w:hAnsi="仿宋" w:eastAsia="仿宋"/>
          <w:color w:val="auto"/>
          <w:sz w:val="24"/>
          <w:szCs w:val="24"/>
        </w:rPr>
      </w:pPr>
      <w:r>
        <w:rPr>
          <w:rFonts w:hint="eastAsia" w:ascii="仿宋" w:hAnsi="仿宋" w:eastAsia="仿宋"/>
          <w:color w:val="auto"/>
          <w:sz w:val="24"/>
          <w:szCs w:val="24"/>
        </w:rPr>
        <w:t>乙方：</w:t>
      </w:r>
    </w:p>
    <w:p w14:paraId="1115AC5B">
      <w:pPr>
        <w:widowControl/>
        <w:spacing w:line="560" w:lineRule="exact"/>
        <w:ind w:firstLine="480" w:firstLineChars="200"/>
        <w:jc w:val="left"/>
        <w:rPr>
          <w:rFonts w:ascii="仿宋" w:hAnsi="仿宋" w:eastAsia="仿宋"/>
          <w:color w:val="auto"/>
          <w:sz w:val="24"/>
          <w:szCs w:val="24"/>
        </w:rPr>
      </w:pPr>
      <w:r>
        <w:rPr>
          <w:rFonts w:hint="eastAsia" w:ascii="仿宋" w:hAnsi="仿宋" w:eastAsia="仿宋"/>
          <w:color w:val="auto"/>
          <w:sz w:val="24"/>
          <w:szCs w:val="24"/>
        </w:rPr>
        <w:t>【</w:t>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rPr>
        <w:t>】（盖章）：</w:t>
      </w:r>
    </w:p>
    <w:p w14:paraId="1425427D">
      <w:pPr>
        <w:widowControl/>
        <w:spacing w:line="560" w:lineRule="exact"/>
        <w:ind w:firstLine="480" w:firstLineChars="200"/>
        <w:jc w:val="left"/>
        <w:rPr>
          <w:rFonts w:ascii="仿宋" w:hAnsi="仿宋" w:eastAsia="仿宋"/>
          <w:color w:val="auto"/>
          <w:sz w:val="24"/>
          <w:szCs w:val="24"/>
        </w:rPr>
      </w:pPr>
    </w:p>
    <w:p w14:paraId="6BCDAF69">
      <w:pPr>
        <w:pStyle w:val="2"/>
        <w:rPr>
          <w:color w:val="auto"/>
          <w:sz w:val="24"/>
          <w:szCs w:val="24"/>
        </w:rPr>
      </w:pPr>
    </w:p>
    <w:p w14:paraId="514A9F31">
      <w:pPr>
        <w:widowControl/>
        <w:spacing w:line="560" w:lineRule="exact"/>
        <w:ind w:firstLine="480" w:firstLineChars="200"/>
        <w:jc w:val="left"/>
        <w:rPr>
          <w:rFonts w:ascii="仿宋" w:hAnsi="仿宋" w:eastAsia="仿宋"/>
          <w:color w:val="auto"/>
          <w:sz w:val="24"/>
          <w:szCs w:val="24"/>
        </w:rPr>
      </w:pPr>
      <w:r>
        <w:rPr>
          <w:rFonts w:hint="eastAsia" w:ascii="仿宋" w:hAnsi="仿宋" w:eastAsia="仿宋"/>
          <w:color w:val="auto"/>
          <w:sz w:val="24"/>
          <w:szCs w:val="24"/>
        </w:rPr>
        <w:t>法定代表人或授权代表（签字</w:t>
      </w:r>
      <w:r>
        <w:rPr>
          <w:rFonts w:hint="eastAsia" w:ascii="仿宋" w:hAnsi="仿宋" w:eastAsia="仿宋"/>
          <w:color w:val="auto"/>
          <w:sz w:val="24"/>
          <w:szCs w:val="24"/>
          <w:lang w:val="en-US" w:eastAsia="zh-CN"/>
        </w:rPr>
        <w:t>或签</w:t>
      </w:r>
      <w:r>
        <w:rPr>
          <w:rFonts w:hint="eastAsia" w:ascii="仿宋" w:hAnsi="仿宋" w:eastAsia="仿宋"/>
          <w:color w:val="auto"/>
          <w:sz w:val="24"/>
          <w:szCs w:val="24"/>
        </w:rPr>
        <w:t>章）：</w:t>
      </w:r>
    </w:p>
    <w:p w14:paraId="6CF792EF">
      <w:pPr>
        <w:widowControl/>
        <w:spacing w:line="560" w:lineRule="exact"/>
        <w:ind w:firstLine="480" w:firstLineChars="200"/>
        <w:jc w:val="left"/>
        <w:rPr>
          <w:rFonts w:ascii="仿宋" w:hAnsi="仿宋" w:eastAsia="仿宋"/>
          <w:color w:val="auto"/>
          <w:sz w:val="24"/>
          <w:szCs w:val="24"/>
        </w:rPr>
      </w:pPr>
    </w:p>
    <w:p w14:paraId="14C58280">
      <w:pPr>
        <w:pStyle w:val="2"/>
        <w:rPr>
          <w:color w:val="auto"/>
          <w:sz w:val="24"/>
          <w:szCs w:val="24"/>
        </w:rPr>
      </w:pPr>
    </w:p>
    <w:p w14:paraId="7910FEB6">
      <w:pPr>
        <w:rPr>
          <w:color w:val="auto"/>
          <w:sz w:val="24"/>
          <w:szCs w:val="24"/>
        </w:rPr>
      </w:pPr>
    </w:p>
    <w:p w14:paraId="0D301B11">
      <w:pPr>
        <w:widowControl/>
        <w:spacing w:line="560" w:lineRule="exact"/>
        <w:ind w:firstLine="480" w:firstLineChars="200"/>
        <w:jc w:val="left"/>
        <w:rPr>
          <w:rFonts w:ascii="仿宋" w:hAnsi="仿宋" w:eastAsia="仿宋"/>
          <w:color w:val="auto"/>
          <w:sz w:val="28"/>
          <w:szCs w:val="28"/>
        </w:rPr>
      </w:pPr>
      <w:r>
        <w:rPr>
          <w:rFonts w:hint="eastAsia" w:ascii="仿宋" w:hAnsi="仿宋" w:eastAsia="仿宋"/>
          <w:color w:val="auto"/>
          <w:sz w:val="24"/>
          <w:szCs w:val="24"/>
        </w:rPr>
        <w:t>签约日期：</w:t>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rPr>
        <w:t>年</w:t>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rPr>
        <w:t xml:space="preserve">  月 </w:t>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rPr>
        <w:t xml:space="preserve"> 日</w:t>
      </w:r>
      <w:bookmarkEnd w:id="2"/>
    </w:p>
    <w:p w14:paraId="3264FC83">
      <w:pPr>
        <w:widowControl/>
        <w:spacing w:line="560" w:lineRule="exact"/>
        <w:rPr>
          <w:rFonts w:ascii="黑体" w:hAnsi="黑体" w:eastAsia="黑体"/>
          <w:color w:val="auto"/>
          <w:sz w:val="28"/>
          <w:szCs w:val="28"/>
        </w:rPr>
        <w:sectPr>
          <w:headerReference r:id="rId6" w:type="default"/>
          <w:footerReference r:id="rId7" w:type="default"/>
          <w:pgSz w:w="11906" w:h="16838"/>
          <w:pgMar w:top="1440" w:right="1800" w:bottom="1440" w:left="1800" w:header="851" w:footer="992" w:gutter="0"/>
          <w:pgNumType w:fmt="decimal" w:start="1"/>
          <w:cols w:space="425" w:num="1"/>
          <w:docGrid w:type="lines" w:linePitch="312" w:charSpace="0"/>
        </w:sectPr>
      </w:pPr>
    </w:p>
    <w:p w14:paraId="6DF64D9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1B2C1">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8CF74">
    <w:pPr>
      <w:pStyle w:val="4"/>
      <w:pBdr>
        <w:top w:val="none" w:color="auto" w:sz="0" w:space="0"/>
        <w:left w:val="none" w:color="auto" w:sz="0" w:space="0"/>
        <w:bottom w:val="none" w:color="auto" w:sz="0" w:space="1"/>
        <w:right w:val="none" w:color="auto" w:sz="0" w:space="0"/>
        <w:between w:val="none" w:color="auto" w:sz="0" w:space="0"/>
      </w:pBdr>
      <w:jc w:val="both"/>
      <w:rPr>
        <w:rFonts w:ascii="仿宋" w:hAnsi="仿宋" w:eastAsia="仿宋"/>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5CAF6">
    <w:pPr>
      <w:pStyle w:val="4"/>
      <w:pBdr>
        <w:top w:val="none" w:color="auto" w:sz="0" w:space="0"/>
        <w:left w:val="none" w:color="auto" w:sz="0" w:space="0"/>
        <w:bottom w:val="none" w:color="auto" w:sz="0" w:space="1"/>
        <w:right w:val="none" w:color="auto" w:sz="0" w:space="0"/>
        <w:between w:val="none" w:color="auto" w:sz="0" w:space="0"/>
      </w:pBdr>
      <w:jc w:val="both"/>
      <w:rPr>
        <w:rFonts w:ascii="仿宋" w:hAnsi="仿宋" w:eastAsia="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DF15AD"/>
    <w:multiLevelType w:val="multilevel"/>
    <w:tmpl w:val="04DF15AD"/>
    <w:lvl w:ilvl="0" w:tentative="0">
      <w:start w:val="1"/>
      <w:numFmt w:val="chineseCountingThousand"/>
      <w:suff w:val="nothing"/>
      <w:lvlText w:val="（%1）"/>
      <w:lvlJc w:val="left"/>
      <w:pPr>
        <w:ind w:left="980" w:hanging="420"/>
      </w:pPr>
      <w:rPr>
        <w:rFonts w:hint="eastAsia"/>
        <w:b w:val="0"/>
        <w:i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0ACC6F8B"/>
    <w:multiLevelType w:val="multilevel"/>
    <w:tmpl w:val="0ACC6F8B"/>
    <w:lvl w:ilvl="0" w:tentative="0">
      <w:start w:val="1"/>
      <w:numFmt w:val="decimal"/>
      <w:lvlText w:val="%1."/>
      <w:lvlJc w:val="left"/>
      <w:pPr>
        <w:ind w:left="980" w:hanging="420"/>
      </w:pPr>
    </w:lvl>
    <w:lvl w:ilvl="1" w:tentative="0">
      <w:start w:val="1"/>
      <w:numFmt w:val="decimal"/>
      <w:suff w:val="nothing"/>
      <w:lvlText w:val="%2."/>
      <w:lvlJc w:val="left"/>
      <w:pPr>
        <w:ind w:left="1400" w:hanging="420"/>
      </w:pPr>
      <w:rPr>
        <w:rFonts w:hint="eastAsia"/>
      </w:r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0B672C2F"/>
    <w:multiLevelType w:val="multilevel"/>
    <w:tmpl w:val="0B672C2F"/>
    <w:lvl w:ilvl="0" w:tentative="0">
      <w:start w:val="1"/>
      <w:numFmt w:val="chineseCountingThousand"/>
      <w:suff w:val="nothing"/>
      <w:lvlText w:val="（%1）"/>
      <w:lvlJc w:val="left"/>
      <w:pPr>
        <w:ind w:left="840" w:hanging="420"/>
      </w:pPr>
      <w:rPr>
        <w:rFonts w:hint="eastAsia"/>
        <w:b w:val="0"/>
        <w:i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143B5290"/>
    <w:multiLevelType w:val="singleLevel"/>
    <w:tmpl w:val="143B5290"/>
    <w:lvl w:ilvl="0" w:tentative="0">
      <w:start w:val="5"/>
      <w:numFmt w:val="chineseCounting"/>
      <w:suff w:val="nothing"/>
      <w:lvlText w:val="（%1）"/>
      <w:lvlJc w:val="left"/>
      <w:rPr>
        <w:rFonts w:hint="eastAsia"/>
      </w:rPr>
    </w:lvl>
  </w:abstractNum>
  <w:abstractNum w:abstractNumId="4">
    <w:nsid w:val="1BBF3794"/>
    <w:multiLevelType w:val="multilevel"/>
    <w:tmpl w:val="1BBF3794"/>
    <w:lvl w:ilvl="0" w:tentative="0">
      <w:start w:val="1"/>
      <w:numFmt w:val="chineseCountingThousand"/>
      <w:suff w:val="nothing"/>
      <w:lvlText w:val="（%1）"/>
      <w:lvlJc w:val="left"/>
      <w:pPr>
        <w:ind w:left="980" w:hanging="420"/>
      </w:pPr>
      <w:rPr>
        <w:rFonts w:hint="eastAsia"/>
        <w:b w:val="0"/>
        <w:i w:val="0"/>
      </w:rPr>
    </w:lvl>
    <w:lvl w:ilvl="1" w:tentative="0">
      <w:start w:val="1"/>
      <w:numFmt w:val="decimal"/>
      <w:lvlText w:val="（%2）"/>
      <w:lvlJc w:val="left"/>
      <w:pPr>
        <w:ind w:left="1700" w:hanging="720"/>
      </w:pPr>
      <w:rPr>
        <w:rFonts w:hint="default"/>
      </w:r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5">
    <w:nsid w:val="1EC94D9C"/>
    <w:multiLevelType w:val="multilevel"/>
    <w:tmpl w:val="1EC94D9C"/>
    <w:lvl w:ilvl="0" w:tentative="0">
      <w:start w:val="1"/>
      <w:numFmt w:val="chineseCountingThousand"/>
      <w:suff w:val="nothing"/>
      <w:lvlText w:val="（%1）"/>
      <w:lvlJc w:val="left"/>
      <w:pPr>
        <w:ind w:left="980" w:hanging="420"/>
      </w:pPr>
      <w:rPr>
        <w:rFonts w:hint="eastAsia"/>
        <w:b w:val="0"/>
        <w:i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6">
    <w:nsid w:val="26007C3D"/>
    <w:multiLevelType w:val="multilevel"/>
    <w:tmpl w:val="26007C3D"/>
    <w:lvl w:ilvl="0" w:tentative="0">
      <w:start w:val="1"/>
      <w:numFmt w:val="chineseCountingThousand"/>
      <w:suff w:val="nothing"/>
      <w:lvlText w:val="（%1）"/>
      <w:lvlJc w:val="left"/>
      <w:pPr>
        <w:ind w:left="980" w:hanging="420"/>
      </w:pPr>
      <w:rPr>
        <w:rFonts w:hint="eastAsia"/>
        <w:b w:val="0"/>
        <w:i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2D363AA0"/>
    <w:multiLevelType w:val="multilevel"/>
    <w:tmpl w:val="2D363AA0"/>
    <w:lvl w:ilvl="0" w:tentative="0">
      <w:start w:val="1"/>
      <w:numFmt w:val="chineseCountingThousand"/>
      <w:suff w:val="nothing"/>
      <w:lvlText w:val="%1、"/>
      <w:lvlJc w:val="left"/>
      <w:pPr>
        <w:ind w:left="105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36841523"/>
    <w:multiLevelType w:val="multilevel"/>
    <w:tmpl w:val="36841523"/>
    <w:lvl w:ilvl="0" w:tentative="0">
      <w:start w:val="1"/>
      <w:numFmt w:val="chineseCountingThousand"/>
      <w:suff w:val="nothing"/>
      <w:lvlText w:val="（%1）"/>
      <w:lvlJc w:val="left"/>
      <w:pPr>
        <w:ind w:left="980" w:hanging="420"/>
      </w:pPr>
      <w:rPr>
        <w:rFonts w:hint="eastAsia"/>
        <w:b w:val="0"/>
        <w:i w:val="0"/>
      </w:rPr>
    </w:lvl>
    <w:lvl w:ilvl="1" w:tentative="0">
      <w:start w:val="1"/>
      <w:numFmt w:val="decimal"/>
      <w:lvlText w:val="（%2）"/>
      <w:lvlJc w:val="left"/>
      <w:pPr>
        <w:ind w:left="1700" w:hanging="720"/>
      </w:pPr>
      <w:rPr>
        <w:rFonts w:hint="default"/>
      </w:r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9">
    <w:nsid w:val="3A272F34"/>
    <w:multiLevelType w:val="multilevel"/>
    <w:tmpl w:val="3A272F34"/>
    <w:lvl w:ilvl="0" w:tentative="0">
      <w:start w:val="1"/>
      <w:numFmt w:val="chineseCountingThousand"/>
      <w:suff w:val="nothing"/>
      <w:lvlText w:val="（%1）"/>
      <w:lvlJc w:val="left"/>
      <w:pPr>
        <w:ind w:left="980" w:hanging="420"/>
      </w:pPr>
      <w:rPr>
        <w:rFonts w:hint="eastAsia"/>
        <w:b w:val="0"/>
        <w:i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0">
    <w:nsid w:val="48C270E8"/>
    <w:multiLevelType w:val="multilevel"/>
    <w:tmpl w:val="48C270E8"/>
    <w:lvl w:ilvl="0" w:tentative="0">
      <w:start w:val="1"/>
      <w:numFmt w:val="chineseCountingThousand"/>
      <w:suff w:val="nothing"/>
      <w:lvlText w:val="（%1）"/>
      <w:lvlJc w:val="left"/>
      <w:pPr>
        <w:ind w:left="980" w:hanging="420"/>
      </w:pPr>
      <w:rPr>
        <w:rFonts w:hint="eastAsia"/>
        <w:b w:val="0"/>
        <w:i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1">
    <w:nsid w:val="655A073D"/>
    <w:multiLevelType w:val="multilevel"/>
    <w:tmpl w:val="655A073D"/>
    <w:lvl w:ilvl="0" w:tentative="0">
      <w:start w:val="1"/>
      <w:numFmt w:val="chineseCountingThousand"/>
      <w:suff w:val="nothing"/>
      <w:lvlText w:val="（%1）"/>
      <w:lvlJc w:val="left"/>
      <w:pPr>
        <w:ind w:left="980" w:hanging="420"/>
      </w:pPr>
      <w:rPr>
        <w:rFonts w:hint="eastAsia"/>
        <w:b w:val="0"/>
        <w:i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2">
    <w:nsid w:val="67783411"/>
    <w:multiLevelType w:val="multilevel"/>
    <w:tmpl w:val="67783411"/>
    <w:lvl w:ilvl="0" w:tentative="0">
      <w:start w:val="1"/>
      <w:numFmt w:val="chineseCountingThousand"/>
      <w:suff w:val="nothing"/>
      <w:lvlText w:val="（%1）"/>
      <w:lvlJc w:val="left"/>
      <w:pPr>
        <w:ind w:left="1050" w:hanging="420"/>
      </w:pPr>
      <w:rPr>
        <w:rFonts w:hint="eastAsia"/>
        <w:b w:val="0"/>
        <w:i w:val="0"/>
      </w:rPr>
    </w:lvl>
    <w:lvl w:ilvl="1" w:tentative="0">
      <w:start w:val="1"/>
      <w:numFmt w:val="decimal"/>
      <w:lvlText w:val="（%2）"/>
      <w:lvlJc w:val="left"/>
      <w:pPr>
        <w:ind w:left="1700" w:hanging="720"/>
      </w:pPr>
      <w:rPr>
        <w:rFonts w:hint="default"/>
      </w:r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3">
    <w:nsid w:val="6E5C1940"/>
    <w:multiLevelType w:val="multilevel"/>
    <w:tmpl w:val="6E5C1940"/>
    <w:lvl w:ilvl="0" w:tentative="0">
      <w:start w:val="1"/>
      <w:numFmt w:val="chineseCountingThousand"/>
      <w:suff w:val="nothing"/>
      <w:lvlText w:val="（%1）"/>
      <w:lvlJc w:val="left"/>
      <w:pPr>
        <w:ind w:left="980" w:hanging="420"/>
      </w:pPr>
      <w:rPr>
        <w:rFonts w:hint="eastAsia"/>
        <w:b w:val="0"/>
        <w:i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7"/>
  </w:num>
  <w:num w:numId="2">
    <w:abstractNumId w:val="10"/>
  </w:num>
  <w:num w:numId="3">
    <w:abstractNumId w:val="0"/>
  </w:num>
  <w:num w:numId="4">
    <w:abstractNumId w:val="9"/>
  </w:num>
  <w:num w:numId="5">
    <w:abstractNumId w:val="5"/>
  </w:num>
  <w:num w:numId="6">
    <w:abstractNumId w:val="2"/>
  </w:num>
  <w:num w:numId="7">
    <w:abstractNumId w:val="3"/>
  </w:num>
  <w:num w:numId="8">
    <w:abstractNumId w:val="6"/>
  </w:num>
  <w:num w:numId="9">
    <w:abstractNumId w:val="11"/>
  </w:num>
  <w:num w:numId="10">
    <w:abstractNumId w:val="13"/>
  </w:num>
  <w:num w:numId="11">
    <w:abstractNumId w:val="12"/>
  </w:num>
  <w:num w:numId="12">
    <w:abstractNumId w:val="1"/>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343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段"/>
    <w:next w:val="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styleId="3">
    <w:name w:val="footer"/>
    <w:basedOn w:val="1"/>
    <w:unhideWhenUsed/>
    <w:qFormat/>
    <w:uiPriority w:val="0"/>
    <w:pPr>
      <w:tabs>
        <w:tab w:val="center" w:pos="4153"/>
        <w:tab w:val="right" w:pos="8306"/>
      </w:tabs>
      <w:snapToGrid w:val="0"/>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3</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2025-07-21T09:56:22Z</dcterms:created>
  <dc:creator>Administrator</dc:creator>
  <cp:lastModifiedBy>严冬</cp:lastModifiedBy>
  <dcterms:modified xsi:type="dcterms:W3CDTF">2025-07-21T10:22:20Z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eyJoZGlkIjoiZDBmMGEzNGJkZGI5ODBkY2U5MTRkZjhiZGM0Y2ZiM2MiLCJ1c2VySWQiOiIxMDE3OTk0NTUwIn0=</vt:lpwstr>
  </property>
  <property fmtid="{D5CDD505-2E9C-101B-9397-08002B2CF9AE}" pid="4" name="ICV">
    <vt:lpwstr>319BFA20686C4222ACDF4F305888E6CA_12</vt:lpwstr>
  </property>
</Properties>
</file>