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澄迈县人民医院医共体总院智慧互联网医院便民服务平台</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HNJC2025-039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澄迈县人民医院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海南吉采项目管理有限公司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澄迈县人民医院</w:t>
      </w:r>
      <w:r>
        <w:rPr>
          <w:rFonts w:ascii="仿宋_GB2312" w:hAnsi="仿宋_GB2312" w:cs="仿宋_GB2312" w:eastAsia="仿宋_GB2312"/>
        </w:rPr>
        <w:t xml:space="preserve"> 的委托， </w:t>
      </w:r>
      <w:r>
        <w:rPr>
          <w:rFonts w:ascii="仿宋_GB2312" w:hAnsi="仿宋_GB2312" w:cs="仿宋_GB2312" w:eastAsia="仿宋_GB2312"/>
        </w:rPr>
        <w:t>海南吉采项目管理有限公司</w:t>
      </w:r>
      <w:r>
        <w:rPr>
          <w:rFonts w:ascii="仿宋_GB2312" w:hAnsi="仿宋_GB2312" w:cs="仿宋_GB2312" w:eastAsia="仿宋_GB2312"/>
        </w:rPr>
        <w:t xml:space="preserve"> 对 </w:t>
      </w:r>
      <w:r>
        <w:rPr>
          <w:rFonts w:ascii="仿宋_GB2312" w:hAnsi="仿宋_GB2312" w:cs="仿宋_GB2312" w:eastAsia="仿宋_GB2312"/>
        </w:rPr>
        <w:t>澄迈县人民医院医共体总院智慧互联网医院便民服务平台</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HNJC2025-039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澄迈县人民医院医共体总院智慧互联网医院便民服务平台</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2,436,600.00元</w:t>
      </w:r>
      <w:r>
        <w:rPr>
          <w:rFonts w:ascii="仿宋_GB2312" w:hAnsi="仿宋_GB2312" w:cs="仿宋_GB2312" w:eastAsia="仿宋_GB2312"/>
        </w:rPr>
        <w:t>贰佰肆拾叁万陆仟陆佰元整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合同签订6个月内</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3.投标人须在海南政府采购网(https://ccgp-hainan.gov.cn/maincms-web/)中的海南省政府采购智慧云平台进行注册并完善信息，然后下载参与投标项目电子招标文件（数据包）及其他文件； 4.请投标人（供应商）自行在海南省政府采购智慧云平台-办事指南查看相应的系统操作指南，严格按照操作指南要求进行系统操作。技术支持电话：4001691288。 5.电子标:必须办理数字证书CA锁，并使用数字证书（https://www.yuque.com/haonan123/bzzx /ugmn1f）进行签字和加密，投标截止时间前，必须登录系统上传加密的电子投标文件。本项目需使用蓝色CA锁，CA数字证书认证咨询电话：0898-66668096。 6.本项目为远程不见面开标，投标人（供应商）无须到达开标现场，但开标前必须进入电子开标大厅在线签到（未签到视为无效投标），远程按时参加在线开标解密即可。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澄迈县人民医院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澄迈县人民医院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0898-67607288　</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海南吉采项目管理有限公司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 35号名门广场北区C座15A层1509房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0898-65331989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采购包1：2,436,600.00元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代理服务费参考“国家计委关于印发《招标代理服务收费管理暂行办法》的通知计价格【2002】1980号文件”规定收取代理服务费，由中标单位在领取中标通知书的同时向代理机构支付。 服务费收取账号： 开户名称：海南吉采项目管理有限公司 银行账号：4605 0100 4636 0000 0822 开户银行：中国建设银行股份有限公司海口蓝天路支行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政府采购法实施条例》及有关释义，如投标人是银行、保险、石油石化、电力、电信行业的，分支机构可参与本项目的采购活动；适用《合伙企业法》调整的律师事务所及其分所、会计师事务所及其分所，按要求提供执业许可证等证明文件的，可参加政府采购活动；采购文件中涉及要求提供“法定代表人”相关证明材料的，提供分支机构、分所等“负责人”的相关证明材料。 2、根据财政部办公厅《关于在相关自由贸易试验区和自由贸易港开展推动解决政府采购异常低价问题试点工作的通知》财办库〔2024〕265号文件，强化政府采购异常低价审查，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联系人：海南吉采项目管理有限公司－项目部</w:t>
      </w:r>
    </w:p>
    <w:p>
      <w:pPr>
        <w:pStyle w:val="null3"/>
        <w:jc w:val="left"/>
      </w:pPr>
      <w:r>
        <w:rPr>
          <w:rFonts w:ascii="仿宋_GB2312" w:hAnsi="仿宋_GB2312" w:cs="仿宋_GB2312" w:eastAsia="仿宋_GB2312"/>
        </w:rPr>
        <w:t>联系电话：0898-65331989</w:t>
      </w:r>
    </w:p>
    <w:p>
      <w:pPr>
        <w:pStyle w:val="null3"/>
        <w:jc w:val="left"/>
      </w:pPr>
      <w:r>
        <w:rPr>
          <w:rFonts w:ascii="仿宋_GB2312" w:hAnsi="仿宋_GB2312" w:cs="仿宋_GB2312" w:eastAsia="仿宋_GB2312"/>
        </w:rPr>
        <w:t>地址：海口市蓝天路35号名门广场北区C座15A层15A09房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（一）项目名称：澄迈县人民医院医共体总院智慧互联网医院便民服务平台</w:t>
      </w:r>
    </w:p>
    <w:p>
      <w:pPr>
        <w:pStyle w:val="null3"/>
        <w:ind w:firstLine="480"/>
        <w:jc w:val="both"/>
      </w:pP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2,436,600.00</w:t>
      </w:r>
    </w:p>
    <w:p>
      <w:pPr>
        <w:pStyle w:val="null3"/>
        <w:jc w:val="left"/>
      </w:pPr>
      <w:r>
        <w:rPr>
          <w:rFonts w:ascii="仿宋_GB2312" w:hAnsi="仿宋_GB2312" w:cs="仿宋_GB2312" w:eastAsia="仿宋_GB2312"/>
        </w:rPr>
        <w:t>采购包最高限价（元）: 2,436,600.00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澄迈县人民医院医共体总院智慧互联网医院便民服务平台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2,436,600.00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2,436,600.00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标的名称：澄迈县人民医院医共体总院智慧互联网医院便民服务平台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（一）采购项目的数量、简要规格描述</w:t>
            </w:r>
          </w:p>
          <w:tbl>
            <w:tblPr>
              <w:tblBorders>
                <w:top w:val="none" w:color="000000" w:sz="4"/>
                <w:left w:val="none" w:color="000000" w:sz="4"/>
                <w:bottom w:val="none" w:color="000000" w:sz="4"/>
                <w:right w:val="none" w:color="000000" w:sz="4"/>
                <w:insideH w:val="none"/>
                <w:insideV w:val="none"/>
              </w:tblBorders>
            </w:tblPr>
            <w:tblGrid>
              <w:gridCol w:w="266"/>
              <w:gridCol w:w="569"/>
              <w:gridCol w:w="366"/>
              <w:gridCol w:w="1352"/>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简要技术参数</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澄迈县人民医院医共体总院智慧互联网医院便民服务平台</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1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服务内容包括：搭建一套体系完整的医共体智慧互联网医院便民服务平台。其建设内容围绕五大核心系统展开：</w:t>
                  </w:r>
                </w:p>
                <w:p>
                  <w:pPr>
                    <w:pStyle w:val="null3"/>
                    <w:numPr>
                      <w:ilvl w:val="0"/>
                      <w:numId w:val="1"/>
                    </w:numPr>
                    <w:jc w:val="left"/>
                  </w:pPr>
                  <w:r>
                    <w:rPr>
                      <w:rFonts w:ascii="仿宋_GB2312" w:hAnsi="仿宋_GB2312" w:cs="仿宋_GB2312" w:eastAsia="仿宋_GB2312"/>
                      <w:sz w:val="24"/>
                    </w:rPr>
                    <w:t>基础服务支撑系统，由用户、日志、问卷和消息中心构成。用户中心管理患者信息并提供建议；日志中心保障系统安全与性能；问卷中心收集反馈以优化服务；消息中心及时传递医疗资讯。还具备数据同步、用户管理、权限控制等功能，实现医疗数据的统一管理与系统间高效协同；</w:t>
                  </w:r>
                </w:p>
                <w:p>
                  <w:pPr>
                    <w:pStyle w:val="null3"/>
                    <w:numPr>
                      <w:ilvl w:val="0"/>
                      <w:numId w:val="1"/>
                    </w:numPr>
                    <w:jc w:val="left"/>
                  </w:pPr>
                  <w:r>
                    <w:rPr>
                      <w:rFonts w:ascii="仿宋_GB2312" w:hAnsi="仿宋_GB2312" w:cs="仿宋_GB2312" w:eastAsia="仿宋_GB2312"/>
                      <w:sz w:val="24"/>
                    </w:rPr>
                    <w:t>移动就医服务系统，集诊前咨询、预约挂号、缴费、报告查询等功能于一体，通过用户层、展现层、应用层等多层架构，整合医院服务。借助就诊人管理、排队叫号等功能，优化就医流程，提升患者就医便捷性与满意度；</w:t>
                  </w:r>
                </w:p>
                <w:p>
                  <w:pPr>
                    <w:pStyle w:val="null3"/>
                    <w:numPr>
                      <w:ilvl w:val="0"/>
                      <w:numId w:val="1"/>
                    </w:numPr>
                    <w:jc w:val="left"/>
                  </w:pPr>
                  <w:r>
                    <w:rPr>
                      <w:rFonts w:ascii="仿宋_GB2312" w:hAnsi="仿宋_GB2312" w:cs="仿宋_GB2312" w:eastAsia="仿宋_GB2312"/>
                      <w:sz w:val="24"/>
                    </w:rPr>
                    <w:t>互联网诊疗系统，融合患者、医生、药师和监管机构流程，提供在线预约、问诊、处方开具及药品配送一站式服务。涵盖远程诊断、医疗监管、</w:t>
                  </w:r>
                  <w:r>
                    <w:rPr>
                      <w:rFonts w:ascii="仿宋_GB2312" w:hAnsi="仿宋_GB2312" w:cs="仿宋_GB2312" w:eastAsia="仿宋_GB2312"/>
                      <w:sz w:val="24"/>
                    </w:rPr>
                    <w:t>CA 签章等功能模块，运用云计算等技术，确保医疗服务精准、合规，提升医疗服务效率与质量；</w:t>
                  </w:r>
                </w:p>
                <w:p>
                  <w:pPr>
                    <w:pStyle w:val="null3"/>
                    <w:numPr>
                      <w:ilvl w:val="0"/>
                      <w:numId w:val="1"/>
                    </w:numPr>
                    <w:jc w:val="left"/>
                  </w:pPr>
                  <w:r>
                    <w:rPr>
                      <w:rFonts w:ascii="仿宋_GB2312" w:hAnsi="仿宋_GB2312" w:cs="仿宋_GB2312" w:eastAsia="仿宋_GB2312"/>
                      <w:sz w:val="24"/>
                    </w:rPr>
                    <w:t>县域慢病管理服务系统，围绕慢性病患者管理，提供自我监测、医患互动、健康指导等服务。具备患者建档、全病程跟踪、慢病监测预警等功能，依托先进技术保障数据安全，助力患者自我管理，提升基层医疗服务水平；</w:t>
                  </w:r>
                </w:p>
                <w:p>
                  <w:pPr>
                    <w:pStyle w:val="null3"/>
                    <w:numPr>
                      <w:ilvl w:val="0"/>
                      <w:numId w:val="1"/>
                    </w:numPr>
                    <w:jc w:val="left"/>
                  </w:pPr>
                  <w:r>
                    <w:rPr>
                      <w:rFonts w:ascii="仿宋_GB2312" w:hAnsi="仿宋_GB2312" w:cs="仿宋_GB2312" w:eastAsia="仿宋_GB2312"/>
                      <w:sz w:val="24"/>
                    </w:rPr>
                    <w:t>统一支付服务系统，整合银行卡、移动支付和医保结算等多种方式，满足就医全流程支付需求。提供用户管理、权限控制、对账和预警功能，通过报表与数据分析优化财务决策，确保支付安全、准确、高效</w:t>
                  </w:r>
                  <w:r>
                    <w:rPr>
                      <w:rFonts w:ascii="仿宋_GB2312" w:hAnsi="仿宋_GB2312" w:cs="仿宋_GB2312" w:eastAsia="仿宋_GB2312"/>
                      <w:sz w:val="24"/>
                    </w:rPr>
                    <w:t>。</w:t>
                  </w:r>
                </w:p>
              </w:tc>
            </w:tr>
          </w:tbl>
          <w:p>
            <w:pPr>
              <w:pStyle w:val="null3"/>
              <w:jc w:val="left"/>
              <w:outlineLvl w:val="1"/>
            </w:pPr>
            <w:r>
              <w:rPr>
                <w:rFonts w:ascii="仿宋_GB2312" w:hAnsi="仿宋_GB2312" w:cs="仿宋_GB2312" w:eastAsia="仿宋_GB2312"/>
                <w:sz w:val="24"/>
                <w:b/>
              </w:rPr>
              <w:t xml:space="preserve"> </w:t>
            </w:r>
            <w:r>
              <w:rPr>
                <w:rFonts w:ascii="仿宋_GB2312" w:hAnsi="仿宋_GB2312" w:cs="仿宋_GB2312" w:eastAsia="仿宋_GB2312"/>
                <w:sz w:val="24"/>
                <w:b/>
              </w:rPr>
              <w:t>（二）</w:t>
            </w:r>
            <w:r>
              <w:rPr>
                <w:rFonts w:ascii="仿宋_GB2312" w:hAnsi="仿宋_GB2312" w:cs="仿宋_GB2312" w:eastAsia="仿宋_GB2312"/>
                <w:sz w:val="24"/>
                <w:b/>
              </w:rPr>
              <w:t>业务需求分析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1）需求背景</w:t>
            </w:r>
          </w:p>
          <w:p>
            <w:pPr>
              <w:pStyle w:val="null3"/>
              <w:ind w:firstLine="480"/>
              <w:jc w:val="left"/>
            </w:pPr>
            <w:r>
              <w:rPr>
                <w:rFonts w:ascii="仿宋_GB2312" w:hAnsi="仿宋_GB2312" w:cs="仿宋_GB2312" w:eastAsia="仿宋_GB2312"/>
                <w:sz w:val="24"/>
              </w:rPr>
              <w:t>在数字化浪潮席卷下，医疗行业的信息化转型进程不断加速，民众对便捷、高效医疗服务的需求愈发强烈，在此大环境下，澄迈县人民医院面临着诸多挑战，迫切需要构建智慧互联网医院便民服务平台。</w:t>
            </w:r>
          </w:p>
          <w:p>
            <w:pPr>
              <w:pStyle w:val="null3"/>
              <w:ind w:firstLine="480"/>
              <w:jc w:val="left"/>
            </w:pPr>
            <w:r>
              <w:rPr>
                <w:rFonts w:ascii="仿宋_GB2312" w:hAnsi="仿宋_GB2312" w:cs="仿宋_GB2312" w:eastAsia="仿宋_GB2312"/>
                <w:sz w:val="24"/>
              </w:rPr>
              <w:t>从政策导向来看，国家和地方积极推动医疗信息化建设，出台了一系列政策法规，如《国务院关于印发促进大数据发展行动纲要的通知》《海南省政务信息化项目建设管理办法》等，明确要求医院提升信息化水平，加强信息共享与业务协同，以优化医疗服务流程，提高服务质量和效率。这为澄迈县人民医院开展智慧互联网医院建设提供了坚实的政策依据和方向指引。</w:t>
            </w:r>
          </w:p>
          <w:p>
            <w:pPr>
              <w:pStyle w:val="null3"/>
              <w:ind w:firstLine="480"/>
              <w:jc w:val="left"/>
            </w:pPr>
            <w:r>
              <w:rPr>
                <w:rFonts w:ascii="仿宋_GB2312" w:hAnsi="仿宋_GB2312" w:cs="仿宋_GB2312" w:eastAsia="仿宋_GB2312"/>
                <w:sz w:val="24"/>
              </w:rPr>
              <w:t>就医院自身发展而言，当前医疗服务模式面临着严峻考验。一方面，现有的业务应用系统存在功能短板，难以满足日益增长的医疗服务需求。例如，现有的互联网医院功能局限，无法满足患者线上问诊、医保移动支付等需求，在医院信息互联互通标准化成熟度测评中难以达到更高等级要求；慢病管理仅依靠人工，效率低且管理范围有限，信息孤岛现象严重。另一方面，随着医院规模扩大和业务量增加，传统就医模式下，患者在挂号、缴费、候诊等环节耗费大量时间和精力，就医体验不佳；医护人员工作效率也受到影响，难以快速获取患者全面信息进行精准诊疗。</w:t>
            </w:r>
          </w:p>
          <w:p>
            <w:pPr>
              <w:pStyle w:val="null3"/>
              <w:ind w:firstLine="480"/>
              <w:jc w:val="left"/>
            </w:pPr>
            <w:r>
              <w:rPr>
                <w:rFonts w:ascii="仿宋_GB2312" w:hAnsi="仿宋_GB2312" w:cs="仿宋_GB2312" w:eastAsia="仿宋_GB2312"/>
                <w:sz w:val="24"/>
              </w:rPr>
              <w:t>从社会需求层面分析，随着人们生活水平提高和健康意识增强，患者期望获得更加便捷、高效、个性化的医疗服务。他们希望能够通过线上平台轻松完成预约挂号、缴费、查询报告等操作，减少排队等候时间；对于慢病患者，更需要长期、持续的健康管理服务和专业指导。同时，社会也期望医疗资源能够更加合理地分配和利用，通过信息化手段实现优质医疗资源下沉，提高基层医疗服务水平。</w:t>
            </w:r>
          </w:p>
          <w:p>
            <w:pPr>
              <w:pStyle w:val="null3"/>
              <w:jc w:val="both"/>
              <w:outlineLvl w:val="2"/>
            </w:pPr>
            <w:r>
              <w:rPr>
                <w:rFonts w:ascii="仿宋_GB2312" w:hAnsi="仿宋_GB2312" w:cs="仿宋_GB2312" w:eastAsia="仿宋_GB2312"/>
                <w:sz w:val="24"/>
                <w:b/>
              </w:rPr>
              <w:t>（</w:t>
            </w:r>
            <w:r>
              <w:rPr>
                <w:rFonts w:ascii="仿宋_GB2312" w:hAnsi="仿宋_GB2312" w:cs="仿宋_GB2312" w:eastAsia="仿宋_GB2312"/>
                <w:sz w:val="24"/>
                <w:b/>
              </w:rPr>
              <w:t>2）实现目标</w:t>
            </w:r>
          </w:p>
          <w:p>
            <w:pPr>
              <w:pStyle w:val="null3"/>
              <w:ind w:firstLine="480"/>
              <w:jc w:val="left"/>
            </w:pPr>
            <w:r>
              <w:rPr>
                <w:rFonts w:ascii="仿宋_GB2312" w:hAnsi="仿宋_GB2312" w:cs="仿宋_GB2312" w:eastAsia="仿宋_GB2312"/>
                <w:sz w:val="24"/>
              </w:rPr>
              <w:t>优化就医流程，提升患者体验：打造一站式移动就医服务平台，集成诊前到诊后的全流程功能，如在线预约挂号、智能导诊、门诊缴费、报告查询等，减少患者排队等候时间，提升就医便捷性。患者能通过移动端随时获取就医信息，合理安排时间，实现</w:t>
            </w:r>
            <w:r>
              <w:rPr>
                <w:rFonts w:ascii="仿宋_GB2312" w:hAnsi="仿宋_GB2312" w:cs="仿宋_GB2312" w:eastAsia="仿宋_GB2312"/>
                <w:sz w:val="24"/>
              </w:rPr>
              <w:t>“一键诊疗”，改善整体就医感受，增强满意度。</w:t>
            </w:r>
          </w:p>
          <w:p>
            <w:pPr>
              <w:pStyle w:val="null3"/>
              <w:ind w:firstLine="480"/>
              <w:jc w:val="left"/>
            </w:pPr>
            <w:r>
              <w:rPr>
                <w:rFonts w:ascii="仿宋_GB2312" w:hAnsi="仿宋_GB2312" w:cs="仿宋_GB2312" w:eastAsia="仿宋_GB2312"/>
                <w:sz w:val="24"/>
              </w:rPr>
              <w:t>拓展诊疗模式，提高医疗服务可及性：借助互联网诊疗系统，打破地域限制，为患者提供在线问诊、远程诊断等服务，扩大医疗服务覆盖范围，让偏远地区患者也能享受优质医疗资源。同时，通过与线下实体医疗机构的数据共享和业务协同，实现线上线下医疗服务无缝衔接，为患者提供连续、一体化的医疗服务。</w:t>
            </w:r>
          </w:p>
          <w:p>
            <w:pPr>
              <w:pStyle w:val="null3"/>
              <w:ind w:firstLine="480"/>
              <w:jc w:val="left"/>
            </w:pPr>
            <w:r>
              <w:rPr>
                <w:rFonts w:ascii="仿宋_GB2312" w:hAnsi="仿宋_GB2312" w:cs="仿宋_GB2312" w:eastAsia="仿宋_GB2312"/>
                <w:sz w:val="24"/>
              </w:rPr>
              <w:t>强化慢病管理，提升健康管理水平：构建县域慢病管理服务系统，整合县域内各级医疗机构的慢病数据，为慢病患者建立全面、连续的健康档案。通过智能化的随访管理、健康指导和预警功能，协助患者进行自我健康管理，提高患者自我管理能力和复诊率，降低并发症发生风险，提升县域整体慢病管理水平。</w:t>
            </w:r>
          </w:p>
          <w:p>
            <w:pPr>
              <w:pStyle w:val="null3"/>
              <w:ind w:firstLine="480"/>
              <w:jc w:val="left"/>
            </w:pPr>
            <w:r>
              <w:rPr>
                <w:rFonts w:ascii="仿宋_GB2312" w:hAnsi="仿宋_GB2312" w:cs="仿宋_GB2312" w:eastAsia="仿宋_GB2312"/>
                <w:sz w:val="24"/>
              </w:rPr>
              <w:t>统一支付管理，提高财务运营效率：建设统一支付服务系统，整合多种支付方式，满足患者就医全流程支付需求，支持移动医保支付、微信支付等多种渠道，简化支付流程，提高支付效率。同时，通过系统提供的对账功能、报表分析和预警机制，实现财务工作的精细化管理，降低财务风险，提升医疗机构财务管理效率和决策科学性。</w:t>
            </w:r>
          </w:p>
          <w:p>
            <w:pPr>
              <w:pStyle w:val="null3"/>
              <w:ind w:firstLine="480"/>
              <w:jc w:val="left"/>
            </w:pPr>
            <w:r>
              <w:rPr>
                <w:rFonts w:ascii="仿宋_GB2312" w:hAnsi="仿宋_GB2312" w:cs="仿宋_GB2312" w:eastAsia="仿宋_GB2312"/>
                <w:sz w:val="24"/>
              </w:rPr>
              <w:t>促进数据共享，增强医疗服务协同性：基础服务支撑系统整合医院各类数据，实现与</w:t>
            </w:r>
            <w:r>
              <w:rPr>
                <w:rFonts w:ascii="仿宋_GB2312" w:hAnsi="仿宋_GB2312" w:cs="仿宋_GB2312" w:eastAsia="仿宋_GB2312"/>
                <w:sz w:val="24"/>
              </w:rPr>
              <w:t>HIS、EMR、LIS、PACS 等系统的数据共享与交换，打破信息孤岛。为各业务系统提供准确、及时的数据支持，提升医疗服务协同效率，助力医护人员全面了解患者情况，做出更精准的诊断和治疗决策。</w:t>
            </w:r>
          </w:p>
          <w:p>
            <w:pPr>
              <w:pStyle w:val="null3"/>
              <w:ind w:firstLine="480"/>
              <w:jc w:val="left"/>
            </w:pPr>
            <w:r>
              <w:rPr>
                <w:rFonts w:ascii="仿宋_GB2312" w:hAnsi="仿宋_GB2312" w:cs="仿宋_GB2312" w:eastAsia="仿宋_GB2312"/>
                <w:sz w:val="24"/>
              </w:rPr>
              <w:t>（三）</w:t>
            </w:r>
            <w:r>
              <w:rPr>
                <w:rFonts w:ascii="仿宋_GB2312" w:hAnsi="仿宋_GB2312" w:cs="仿宋_GB2312" w:eastAsia="仿宋_GB2312"/>
                <w:sz w:val="24"/>
                <w:b/>
              </w:rPr>
              <w:t>服务内容</w:t>
            </w:r>
          </w:p>
          <w:p>
            <w:pPr>
              <w:pStyle w:val="null3"/>
              <w:ind w:firstLine="480"/>
              <w:jc w:val="left"/>
            </w:pPr>
            <w:r>
              <w:rPr>
                <w:rFonts w:ascii="仿宋_GB2312" w:hAnsi="仿宋_GB2312" w:cs="仿宋_GB2312" w:eastAsia="仿宋_GB2312"/>
                <w:sz w:val="24"/>
              </w:rPr>
              <w:t>澄迈县人民医院医共体总院智慧互联网医院便民服务平台聚焦患者需求与医疗服务痛点，依托多系统协同运作，构建覆盖诊前、诊中、诊后全流程，涵盖医疗、管理、服务多维度的综合服务体系。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1）基础服务支撑体系</w:t>
            </w:r>
          </w:p>
          <w:p>
            <w:pPr>
              <w:pStyle w:val="null3"/>
              <w:ind w:firstLine="480"/>
              <w:jc w:val="left"/>
            </w:pPr>
            <w:r>
              <w:rPr>
                <w:rFonts w:ascii="仿宋_GB2312" w:hAnsi="仿宋_GB2312" w:cs="仿宋_GB2312" w:eastAsia="仿宋_GB2312"/>
                <w:sz w:val="24"/>
              </w:rPr>
              <w:t>数据中枢服务，以电子健康卡为核心，整合居民全生命周期医疗数据，打通院内</w:t>
            </w:r>
            <w:r>
              <w:rPr>
                <w:rFonts w:ascii="仿宋_GB2312" w:hAnsi="仿宋_GB2312" w:cs="仿宋_GB2312" w:eastAsia="仿宋_GB2312"/>
                <w:sz w:val="24"/>
              </w:rPr>
              <w:t>HIS、LIS、PACS 等系统，实现与公卫系统、海易办平台的数据互通，支持个人健康档案在线查询、更新及重点人群动态预警。</w:t>
            </w:r>
          </w:p>
          <w:p>
            <w:pPr>
              <w:pStyle w:val="null3"/>
              <w:ind w:firstLine="480"/>
              <w:jc w:val="left"/>
            </w:pPr>
            <w:r>
              <w:rPr>
                <w:rFonts w:ascii="仿宋_GB2312" w:hAnsi="仿宋_GB2312" w:cs="仿宋_GB2312" w:eastAsia="仿宋_GB2312"/>
                <w:sz w:val="24"/>
              </w:rPr>
              <w:t>运营管理服务，搭建用户管理中台，区分居民端、医护端、管理端权限，提供个性化服务配置；日志中心实时监控系统操作，保障数据安全；问卷中心收集患者反馈，辅助医疗服务优化；消息中心通过短信、</w:t>
            </w:r>
            <w:r>
              <w:rPr>
                <w:rFonts w:ascii="仿宋_GB2312" w:hAnsi="仿宋_GB2312" w:cs="仿宋_GB2312" w:eastAsia="仿宋_GB2312"/>
                <w:sz w:val="24"/>
              </w:rPr>
              <w:t>APP 推送等多渠道，及时触达就诊提醒、健康宣教等信息。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2）移动就医全流程服务</w:t>
            </w:r>
          </w:p>
          <w:p>
            <w:pPr>
              <w:pStyle w:val="null3"/>
              <w:ind w:firstLine="480"/>
              <w:jc w:val="left"/>
            </w:pPr>
            <w:r>
              <w:rPr>
                <w:rFonts w:ascii="仿宋_GB2312" w:hAnsi="仿宋_GB2312" w:cs="仿宋_GB2312" w:eastAsia="仿宋_GB2312"/>
                <w:sz w:val="24"/>
              </w:rPr>
              <w:t>诊前智能规划，患者可通过微信小程序完成在线咨询、</w:t>
            </w:r>
            <w:r>
              <w:rPr>
                <w:rFonts w:ascii="仿宋_GB2312" w:hAnsi="仿宋_GB2312" w:cs="仿宋_GB2312" w:eastAsia="仿宋_GB2312"/>
                <w:sz w:val="24"/>
              </w:rPr>
              <w:t>AI 智能导诊，依据症状推荐科室；支持分时段预约挂号、跨院区预约，实时查看候诊进度；支持医保移动支付预缴费，减少现场排队。</w:t>
            </w:r>
          </w:p>
          <w:p>
            <w:pPr>
              <w:pStyle w:val="null3"/>
              <w:ind w:firstLine="480"/>
              <w:jc w:val="left"/>
            </w:pPr>
            <w:r>
              <w:rPr>
                <w:rFonts w:ascii="仿宋_GB2312" w:hAnsi="仿宋_GB2312" w:cs="仿宋_GB2312" w:eastAsia="仿宋_GB2312"/>
                <w:sz w:val="24"/>
              </w:rPr>
              <w:t>诊中便捷协同，扫码即可完成门诊缴费、检验检查预约，支持检查项目智能提醒；通过院内导航系统快速定位科室与设备；检查报告（含影像资料）实时推送，支持在线解读。</w:t>
            </w:r>
          </w:p>
          <w:p>
            <w:pPr>
              <w:pStyle w:val="null3"/>
              <w:ind w:firstLine="480"/>
              <w:jc w:val="left"/>
            </w:pPr>
            <w:r>
              <w:rPr>
                <w:rFonts w:ascii="仿宋_GB2312" w:hAnsi="仿宋_GB2312" w:cs="仿宋_GB2312" w:eastAsia="仿宋_GB2312"/>
                <w:sz w:val="24"/>
              </w:rPr>
              <w:t>诊后延续关怀，住院患者可在线办理预住院登记、缴纳押金、查询每日费用清单；出院后提供电子病历下载、复诊预约、用药指导等服务；支持诊后满意度评价与投诉建议，形成服务闭环。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3）互联网诊疗创新服务</w:t>
            </w:r>
          </w:p>
          <w:p>
            <w:pPr>
              <w:pStyle w:val="null3"/>
              <w:ind w:firstLine="480"/>
              <w:jc w:val="left"/>
            </w:pPr>
            <w:r>
              <w:rPr>
                <w:rFonts w:ascii="仿宋_GB2312" w:hAnsi="仿宋_GB2312" w:cs="仿宋_GB2312" w:eastAsia="仿宋_GB2312"/>
                <w:sz w:val="24"/>
              </w:rPr>
              <w:t>远程医疗服务，开通图文、视频在线问诊，支持复诊患者续方；医生在线开具电子处方，经药师审核后，患者可选择到院取药或第三方配送；针对疑难病症，提供多学科远程会诊（</w:t>
            </w:r>
            <w:r>
              <w:rPr>
                <w:rFonts w:ascii="仿宋_GB2312" w:hAnsi="仿宋_GB2312" w:cs="仿宋_GB2312" w:eastAsia="仿宋_GB2312"/>
                <w:sz w:val="24"/>
              </w:rPr>
              <w:t>MDT）服务。</w:t>
            </w:r>
          </w:p>
          <w:p>
            <w:pPr>
              <w:pStyle w:val="null3"/>
              <w:ind w:firstLine="480"/>
              <w:jc w:val="left"/>
            </w:pPr>
            <w:r>
              <w:rPr>
                <w:rFonts w:ascii="仿宋_GB2312" w:hAnsi="仿宋_GB2312" w:cs="仿宋_GB2312" w:eastAsia="仿宋_GB2312"/>
                <w:sz w:val="24"/>
              </w:rPr>
              <w:t>医疗质控管理，建立诊疗行为监管平台，对医生资质、问诊流程、处方合规性进行实时监测；引入</w:t>
            </w:r>
            <w:r>
              <w:rPr>
                <w:rFonts w:ascii="仿宋_GB2312" w:hAnsi="仿宋_GB2312" w:cs="仿宋_GB2312" w:eastAsia="仿宋_GB2312"/>
                <w:sz w:val="24"/>
              </w:rPr>
              <w:t>CA 电子签章，确保医疗文书法律效力；通过大数据分析诊疗数据，优化服务流程。</w:t>
            </w:r>
          </w:p>
          <w:p>
            <w:pPr>
              <w:pStyle w:val="null3"/>
              <w:ind w:firstLine="480"/>
              <w:jc w:val="left"/>
            </w:pPr>
            <w:r>
              <w:rPr>
                <w:rFonts w:ascii="仿宋_GB2312" w:hAnsi="仿宋_GB2312" w:cs="仿宋_GB2312" w:eastAsia="仿宋_GB2312"/>
                <w:sz w:val="24"/>
              </w:rPr>
              <w:t>互联网诊疗需要与省互联网医院监管平台实现数据实时对接，获取到互联网医院相关牌照，支撑县域医共体内实现完整远程会诊（</w:t>
            </w:r>
            <w:r>
              <w:rPr>
                <w:rFonts w:ascii="仿宋_GB2312" w:hAnsi="仿宋_GB2312" w:cs="仿宋_GB2312" w:eastAsia="仿宋_GB2312"/>
                <w:sz w:val="24"/>
              </w:rPr>
              <w:t>MDT）、县内优质资源下沉。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4）县域慢病一体化管理</w:t>
            </w:r>
          </w:p>
          <w:p>
            <w:pPr>
              <w:pStyle w:val="null3"/>
              <w:ind w:firstLine="480"/>
              <w:jc w:val="left"/>
            </w:pPr>
            <w:r>
              <w:rPr>
                <w:rFonts w:ascii="仿宋_GB2312" w:hAnsi="仿宋_GB2312" w:cs="仿宋_GB2312" w:eastAsia="仿宋_GB2312"/>
                <w:sz w:val="24"/>
              </w:rPr>
              <w:t>患者健康管理，为高血压、糖尿病等慢病患者建立专属健康档案，支持智能穿戴设备数据自动上传；提供定期随访提醒、用药打卡、健康指标异常预警；医生根据数据调整治疗方案，推送个性化健康处方。</w:t>
            </w:r>
          </w:p>
          <w:p>
            <w:pPr>
              <w:pStyle w:val="null3"/>
              <w:ind w:firstLine="480"/>
              <w:jc w:val="left"/>
            </w:pPr>
            <w:r>
              <w:rPr>
                <w:rFonts w:ascii="仿宋_GB2312" w:hAnsi="仿宋_GB2312" w:cs="仿宋_GB2312" w:eastAsia="仿宋_GB2312"/>
                <w:sz w:val="24"/>
              </w:rPr>
              <w:t>分级协同服务，构建县</w:t>
            </w:r>
            <w:r>
              <w:rPr>
                <w:rFonts w:ascii="仿宋_GB2312" w:hAnsi="仿宋_GB2312" w:cs="仿宋_GB2312" w:eastAsia="仿宋_GB2312"/>
                <w:sz w:val="24"/>
              </w:rPr>
              <w:t>- 乡 - 村三级联动机制，基层医疗机构实时上传患者数据，总院专家远程指导；开展线上健康宣教直播、科普视频推送，提升患者自我管理能力；支持医保慢病特病在线申报与结算。</w:t>
            </w:r>
          </w:p>
          <w:p>
            <w:pPr>
              <w:pStyle w:val="null3"/>
              <w:ind w:firstLine="480"/>
              <w:jc w:val="left"/>
            </w:pPr>
            <w:r>
              <w:rPr>
                <w:rFonts w:ascii="仿宋_GB2312" w:hAnsi="仿宋_GB2312" w:cs="仿宋_GB2312" w:eastAsia="仿宋_GB2312"/>
                <w:sz w:val="24"/>
              </w:rPr>
              <w:t>打通省三医联动平台数据中心，需与省级电子健康档案、电子健康画像，基层县域社区</w:t>
            </w:r>
            <w:r>
              <w:rPr>
                <w:rFonts w:ascii="仿宋_GB2312" w:hAnsi="仿宋_GB2312" w:cs="仿宋_GB2312" w:eastAsia="仿宋_GB2312"/>
                <w:sz w:val="24"/>
              </w:rPr>
              <w:t>28家社区卫生院院，185家社区、村卫生室数据互通，互通数据包含，基层慢病档案、老年人专档、老年人健康体检、妇幼专档、孕产妇随访及产后访视，儿童计划免疫、儿童健康体检、高血压专档、高血压健康随访、糖尿病专档、糖尿病随访、肺结核、脑卒中等国家基本公共卫生相关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5）统一支付与财务管理</w:t>
            </w:r>
          </w:p>
          <w:p>
            <w:pPr>
              <w:pStyle w:val="null3"/>
              <w:ind w:firstLine="480"/>
              <w:jc w:val="left"/>
            </w:pPr>
            <w:r>
              <w:rPr>
                <w:rFonts w:ascii="仿宋_GB2312" w:hAnsi="仿宋_GB2312" w:cs="仿宋_GB2312" w:eastAsia="仿宋_GB2312"/>
                <w:sz w:val="24"/>
              </w:rPr>
              <w:t>便捷支付体系，整合微信、支付宝、银行卡、医保个人账户等支付方式，覆盖挂号、缴费、检查、药品等全场景；支持医保移动支付直接结算，实现</w:t>
            </w:r>
            <w:r>
              <w:rPr>
                <w:rFonts w:ascii="仿宋_GB2312" w:hAnsi="仿宋_GB2312" w:cs="仿宋_GB2312" w:eastAsia="仿宋_GB2312"/>
                <w:sz w:val="24"/>
              </w:rPr>
              <w:t>“脱卡就医”；提供交易明细查询、退费申请、电子发票开具功能。</w:t>
            </w:r>
          </w:p>
          <w:p>
            <w:pPr>
              <w:pStyle w:val="null3"/>
              <w:ind w:firstLine="480"/>
              <w:jc w:val="left"/>
            </w:pPr>
            <w:r>
              <w:rPr>
                <w:rFonts w:ascii="仿宋_GB2312" w:hAnsi="仿宋_GB2312" w:cs="仿宋_GB2312" w:eastAsia="仿宋_GB2312"/>
                <w:sz w:val="24"/>
              </w:rPr>
              <w:t>智能财务管控，自动生成对账报表，智能匹配交易流水与财务数据；建立异常交易预警机制，实时监控资金流向；为医院提供收入分析、成本核算等财务决策支持，提升运营效率。</w:t>
            </w:r>
          </w:p>
          <w:p>
            <w:pPr>
              <w:pStyle w:val="null3"/>
              <w:jc w:val="left"/>
              <w:outlineLvl w:val="3"/>
            </w:pP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信息安全与运维保障</w:t>
            </w:r>
          </w:p>
          <w:p>
            <w:pPr>
              <w:pStyle w:val="null3"/>
              <w:ind w:firstLine="480"/>
              <w:jc w:val="left"/>
            </w:pPr>
            <w:r>
              <w:rPr>
                <w:rFonts w:ascii="仿宋_GB2312" w:hAnsi="仿宋_GB2312" w:cs="仿宋_GB2312" w:eastAsia="仿宋_GB2312"/>
                <w:sz w:val="24"/>
              </w:rPr>
              <w:t>安全防护体系，遵循等保三级标准，采用数据加密（</w:t>
            </w:r>
            <w:r>
              <w:rPr>
                <w:rFonts w:ascii="仿宋_GB2312" w:hAnsi="仿宋_GB2312" w:cs="仿宋_GB2312" w:eastAsia="仿宋_GB2312"/>
                <w:sz w:val="24"/>
              </w:rPr>
              <w:t>SM4 算法）、访问控制、入侵检测等技术，保障患者隐私与医疗数据安全；定期开展安全漏洞扫描与应急演练。</w:t>
            </w:r>
          </w:p>
          <w:p>
            <w:pPr>
              <w:pStyle w:val="null3"/>
              <w:ind w:firstLine="480"/>
              <w:jc w:val="left"/>
            </w:pPr>
            <w:r>
              <w:rPr>
                <w:rFonts w:ascii="仿宋_GB2312" w:hAnsi="仿宋_GB2312" w:cs="仿宋_GB2312" w:eastAsia="仿宋_GB2312"/>
                <w:sz w:val="24"/>
              </w:rPr>
              <w:t>全时运维服务，提供</w:t>
            </w:r>
            <w:r>
              <w:rPr>
                <w:rFonts w:ascii="仿宋_GB2312" w:hAnsi="仿宋_GB2312" w:cs="仿宋_GB2312" w:eastAsia="仿宋_GB2312"/>
                <w:sz w:val="24"/>
              </w:rPr>
              <w:t>7×24 小时系统监控与故障响应，保障平台稳定运行；通过 AI 客服解答常见问题，人工客服处理复杂咨询；定期升级系统功能，适配最新医疗政策与技术发展。</w:t>
            </w:r>
          </w:p>
          <w:p>
            <w:pPr>
              <w:pStyle w:val="null3"/>
              <w:jc w:val="both"/>
              <w:outlineLvl w:val="2"/>
            </w:pPr>
            <w:r>
              <w:rPr>
                <w:rFonts w:ascii="仿宋_GB2312" w:hAnsi="仿宋_GB2312" w:cs="仿宋_GB2312" w:eastAsia="仿宋_GB2312"/>
                <w:sz w:val="24"/>
                <w:b/>
              </w:rPr>
              <w:t>（四）网络安全</w:t>
            </w:r>
          </w:p>
          <w:p>
            <w:pPr>
              <w:pStyle w:val="null3"/>
              <w:ind w:firstLine="480"/>
              <w:jc w:val="left"/>
            </w:pPr>
            <w:r>
              <w:rPr>
                <w:rFonts w:ascii="仿宋_GB2312" w:hAnsi="仿宋_GB2312" w:cs="仿宋_GB2312" w:eastAsia="仿宋_GB2312"/>
                <w:sz w:val="24"/>
              </w:rPr>
              <w:t>建设单位现有的网络安全系统已达到等保三级标准，因此本项目将充分利用原有的安全系统，无需增设新的网络安全设备。这一决策旨在优化资源配置，避免不必要的重复建设，同时确保项目在网络安全方面符合等保三级的相关要求。</w:t>
            </w:r>
          </w:p>
          <w:p>
            <w:pPr>
              <w:pStyle w:val="null3"/>
              <w:jc w:val="both"/>
              <w:outlineLvl w:val="2"/>
            </w:pPr>
            <w:r>
              <w:rPr>
                <w:rFonts w:ascii="仿宋_GB2312" w:hAnsi="仿宋_GB2312" w:cs="仿宋_GB2312" w:eastAsia="仿宋_GB2312"/>
                <w:sz w:val="24"/>
                <w:b/>
              </w:rPr>
              <w:t>（五）服务要求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1）服务周期：合同签订6个月内。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2）服务时效性：6个月内完成项目的交付，经采购人组织验收通过之日起提供两年免费运维。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3）交付要求及标准</w:t>
            </w:r>
          </w:p>
          <w:tbl>
            <w:tblPr>
              <w:tblBorders>
                <w:top w:val="none" w:color="000000" w:sz="4"/>
                <w:left w:val="none" w:color="000000" w:sz="4"/>
                <w:bottom w:val="none" w:color="000000" w:sz="4"/>
                <w:right w:val="none" w:color="000000" w:sz="4"/>
                <w:insideH w:val="none"/>
                <w:insideV w:val="none"/>
              </w:tblBorders>
            </w:tblPr>
            <w:tblGrid>
              <w:gridCol w:w="197"/>
              <w:gridCol w:w="604"/>
              <w:gridCol w:w="1743"/>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交付物名称</w:t>
                  </w:r>
                </w:p>
              </w:tc>
              <w:tc>
                <w:tcPr>
                  <w:tcW w:type="dxa" w:w="1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交付标准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基础服务支撑系统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本系统相关主要核心交付标准包括实现基础数据同步、平台用户管理、用户权限管理、平台日志管理、问卷管理、消息管理。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移动就医服务系统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系统相关主要核心交付标准包括实现就诊人管理、预约挂号、排队叫号、门诊缴费、检验检查预约、报告查询、住院服务、历次就诊、医院信息、投诉评价、基础信息管理、排班管理、规则管理、挂号订单管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互联网诊疗系统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本系统相关主要核心交付标准包括医疗监管、</w:t>
                  </w:r>
                  <w:r>
                    <w:rPr>
                      <w:rFonts w:ascii="仿宋_GB2312" w:hAnsi="仿宋_GB2312" w:cs="仿宋_GB2312" w:eastAsia="仿宋_GB2312"/>
                      <w:sz w:val="24"/>
                    </w:rPr>
                    <w:t>CA签章、快速咨询、在线问诊、模版管理、药品管理、远程会诊、数据统计、互联网医院牌照落地。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县域慢病管理服务系统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本系统相关主要核心交付标准包括工作台、患者管理、医生团队、医院随访、表单管理、基础知识库、互动渠道、随访分析、双向转诊。</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统一支付服务系统</w:t>
                  </w:r>
                </w:p>
              </w:tc>
              <w:tc>
                <w:tcPr>
                  <w:tcW w:type="dxa" w:w="1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本项目相关主要核心交付标准包括商户管理、移动医保支付、微信支付接入、账单管理、对账结果管理、对账任务管理。</w:t>
                  </w:r>
                </w:p>
              </w:tc>
            </w:tr>
          </w:tbl>
          <w:p>
            <w:pPr>
              <w:pStyle w:val="null3"/>
              <w:jc w:val="left"/>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（一）、人员培训要求</w:t>
            </w:r>
          </w:p>
          <w:p>
            <w:pPr>
              <w:pStyle w:val="null3"/>
              <w:ind w:firstLine="480"/>
              <w:jc w:val="left"/>
            </w:pPr>
            <w:r>
              <w:rPr>
                <w:rFonts w:ascii="仿宋_GB2312" w:hAnsi="仿宋_GB2312" w:cs="仿宋_GB2312" w:eastAsia="仿宋_GB2312"/>
                <w:sz w:val="24"/>
              </w:rPr>
              <w:t>1、投标人应在投标文件中提出培训计划，计划包括培训项目、人数、日程、资料、其它等详细内容。</w:t>
            </w:r>
          </w:p>
          <w:p>
            <w:pPr>
              <w:pStyle w:val="null3"/>
              <w:ind w:firstLine="480"/>
              <w:jc w:val="left"/>
            </w:pPr>
            <w:r>
              <w:rPr>
                <w:rFonts w:ascii="仿宋_GB2312" w:hAnsi="仿宋_GB2312" w:cs="仿宋_GB2312" w:eastAsia="仿宋_GB2312"/>
                <w:sz w:val="24"/>
              </w:rPr>
              <w:t>2、技术培训的内容必须包含软件的日常操作和管理维护，以及基本的故障诊断与排错。</w:t>
            </w:r>
          </w:p>
          <w:p>
            <w:pPr>
              <w:pStyle w:val="null3"/>
              <w:ind w:firstLine="480"/>
              <w:jc w:val="left"/>
            </w:pPr>
            <w:r>
              <w:rPr>
                <w:rFonts w:ascii="仿宋_GB2312" w:hAnsi="仿宋_GB2312" w:cs="仿宋_GB2312" w:eastAsia="仿宋_GB2312"/>
                <w:sz w:val="24"/>
              </w:rPr>
              <w:t>3、培训人员必须是公司的资深工程师。</w:t>
            </w:r>
          </w:p>
          <w:p>
            <w:pPr>
              <w:pStyle w:val="null3"/>
              <w:ind w:firstLine="480"/>
              <w:jc w:val="left"/>
            </w:pPr>
            <w:r>
              <w:rPr>
                <w:rFonts w:ascii="仿宋_GB2312" w:hAnsi="仿宋_GB2312" w:cs="仿宋_GB2312" w:eastAsia="仿宋_GB2312"/>
                <w:sz w:val="24"/>
              </w:rPr>
              <w:t>（二）、售后服务要求</w:t>
            </w:r>
          </w:p>
          <w:p>
            <w:pPr>
              <w:pStyle w:val="null3"/>
              <w:ind w:firstLine="480"/>
              <w:jc w:val="left"/>
            </w:pPr>
            <w:r>
              <w:rPr>
                <w:rFonts w:ascii="仿宋_GB2312" w:hAnsi="仿宋_GB2312" w:cs="仿宋_GB2312" w:eastAsia="仿宋_GB2312"/>
                <w:sz w:val="24"/>
              </w:rPr>
              <w:t>1、投标人必须为本项目内所供应和安装的产品提供2年的</w:t>
            </w:r>
            <w:r>
              <w:rPr>
                <w:rFonts w:ascii="仿宋_GB2312" w:hAnsi="仿宋_GB2312" w:cs="仿宋_GB2312" w:eastAsia="仿宋_GB2312"/>
                <w:sz w:val="24"/>
              </w:rPr>
              <w:t>免费运维</w:t>
            </w:r>
            <w:r>
              <w:rPr>
                <w:rFonts w:ascii="仿宋_GB2312" w:hAnsi="仿宋_GB2312" w:cs="仿宋_GB2312" w:eastAsia="仿宋_GB2312"/>
                <w:sz w:val="24"/>
              </w:rPr>
              <w:t>服务。</w:t>
            </w:r>
          </w:p>
          <w:p>
            <w:pPr>
              <w:pStyle w:val="null3"/>
              <w:ind w:firstLine="480"/>
              <w:jc w:val="left"/>
            </w:pPr>
            <w:r>
              <w:rPr>
                <w:rFonts w:ascii="仿宋_GB2312" w:hAnsi="仿宋_GB2312" w:cs="仿宋_GB2312" w:eastAsia="仿宋_GB2312"/>
                <w:sz w:val="24"/>
              </w:rPr>
              <w:t>2、投标人必须配有较强的专业技术队伍，能确保现场实施和售后现场服务响应。</w:t>
            </w:r>
          </w:p>
          <w:p>
            <w:pPr>
              <w:pStyle w:val="null3"/>
              <w:ind w:firstLine="480"/>
              <w:jc w:val="left"/>
            </w:pPr>
            <w:r>
              <w:rPr>
                <w:rFonts w:ascii="仿宋_GB2312" w:hAnsi="仿宋_GB2312" w:cs="仿宋_GB2312" w:eastAsia="仿宋_GB2312"/>
                <w:sz w:val="24"/>
              </w:rPr>
              <w:t>（三）、项目实施要求</w:t>
            </w:r>
          </w:p>
          <w:p>
            <w:pPr>
              <w:pStyle w:val="null3"/>
              <w:ind w:firstLine="480"/>
              <w:jc w:val="left"/>
            </w:pPr>
            <w:r>
              <w:rPr>
                <w:rFonts w:ascii="仿宋_GB2312" w:hAnsi="仿宋_GB2312" w:cs="仿宋_GB2312" w:eastAsia="仿宋_GB2312"/>
                <w:sz w:val="24"/>
              </w:rPr>
              <w:t>1、投标人有责任检查安装现场是否符合产品安装条件。</w:t>
            </w:r>
          </w:p>
          <w:p>
            <w:pPr>
              <w:pStyle w:val="null3"/>
              <w:ind w:firstLine="480"/>
              <w:jc w:val="left"/>
            </w:pPr>
            <w:r>
              <w:rPr>
                <w:rFonts w:ascii="仿宋_GB2312" w:hAnsi="仿宋_GB2312" w:cs="仿宋_GB2312" w:eastAsia="仿宋_GB2312"/>
                <w:sz w:val="24"/>
              </w:rPr>
              <w:t>2、投标人应承担投标软件的安装、测试和有关配置工作，进行实际的测试。</w:t>
            </w:r>
          </w:p>
          <w:p>
            <w:pPr>
              <w:pStyle w:val="null3"/>
              <w:ind w:firstLine="480"/>
              <w:jc w:val="left"/>
            </w:pPr>
            <w:r>
              <w:rPr>
                <w:rFonts w:ascii="仿宋_GB2312" w:hAnsi="仿宋_GB2312" w:cs="仿宋_GB2312" w:eastAsia="仿宋_GB2312"/>
                <w:sz w:val="24"/>
              </w:rPr>
              <w:t>3、投标人应全力与采购人、集成商及其他供应商配合，根据采购人的详细需求，提交实施方案得到采购人及集成商确认后实施，保证系统按时、正常地投入运行。</w:t>
            </w:r>
          </w:p>
          <w:p>
            <w:pPr>
              <w:pStyle w:val="null3"/>
              <w:ind w:firstLine="480"/>
              <w:jc w:val="left"/>
            </w:pPr>
            <w:r>
              <w:rPr>
                <w:rFonts w:ascii="仿宋_GB2312" w:hAnsi="仿宋_GB2312" w:cs="仿宋_GB2312" w:eastAsia="仿宋_GB2312"/>
                <w:sz w:val="24"/>
              </w:rPr>
              <w:t>4、产品实施过程中，如果牵涉到与第三方产品集成工作，投标人应与集成商及其他供应商通力合作，并提供必要的技术支持。</w:t>
            </w:r>
          </w:p>
          <w:p>
            <w:pPr>
              <w:pStyle w:val="null3"/>
              <w:ind w:firstLine="480"/>
              <w:jc w:val="left"/>
            </w:pPr>
            <w:r>
              <w:rPr>
                <w:rFonts w:ascii="仿宋_GB2312" w:hAnsi="仿宋_GB2312" w:cs="仿宋_GB2312" w:eastAsia="仿宋_GB2312"/>
                <w:sz w:val="24"/>
              </w:rPr>
              <w:t>5、投标人应在投标书中提供本次项目实施的实施人员名单，以及整个软件实施工期的具体计划安排表。</w:t>
            </w:r>
          </w:p>
          <w:p>
            <w:pPr>
              <w:pStyle w:val="null3"/>
              <w:ind w:firstLine="480"/>
              <w:jc w:val="left"/>
            </w:pPr>
            <w:r>
              <w:rPr>
                <w:rFonts w:ascii="仿宋_GB2312" w:hAnsi="仿宋_GB2312" w:cs="仿宋_GB2312" w:eastAsia="仿宋_GB2312"/>
                <w:sz w:val="24"/>
              </w:rPr>
              <w:t>（四）付款方式（具体以合同签订为准）</w:t>
            </w:r>
          </w:p>
          <w:p>
            <w:pPr>
              <w:pStyle w:val="null3"/>
              <w:ind w:firstLine="480"/>
              <w:jc w:val="left"/>
            </w:pPr>
            <w:r>
              <w:rPr>
                <w:rFonts w:ascii="仿宋_GB2312" w:hAnsi="仿宋_GB2312" w:cs="仿宋_GB2312" w:eastAsia="仿宋_GB2312"/>
                <w:sz w:val="24"/>
              </w:rPr>
              <w:t>1、合同生效并具备实施条件后7个工作日内，采购人支付合同金额的</w:t>
            </w:r>
            <w:r>
              <w:rPr>
                <w:rFonts w:ascii="仿宋_GB2312" w:hAnsi="仿宋_GB2312" w:cs="仿宋_GB2312" w:eastAsia="仿宋_GB2312"/>
                <w:sz w:val="24"/>
              </w:rPr>
              <w:t>35</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2、项目初验合格后，采购人支付合同金额的</w:t>
            </w:r>
            <w:r>
              <w:rPr>
                <w:rFonts w:ascii="仿宋_GB2312" w:hAnsi="仿宋_GB2312" w:cs="仿宋_GB2312" w:eastAsia="仿宋_GB2312"/>
                <w:sz w:val="24"/>
              </w:rPr>
              <w:t>45</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3、项目终验合格后，采购人支付合同金额的</w:t>
            </w:r>
            <w:r>
              <w:rPr>
                <w:rFonts w:ascii="仿宋_GB2312" w:hAnsi="仿宋_GB2312" w:cs="仿宋_GB2312" w:eastAsia="仿宋_GB2312"/>
                <w:sz w:val="24"/>
              </w:rPr>
              <w:t>2</w:t>
            </w:r>
            <w:r>
              <w:rPr>
                <w:rFonts w:ascii="仿宋_GB2312" w:hAnsi="仿宋_GB2312" w:cs="仿宋_GB2312" w:eastAsia="仿宋_GB2312"/>
                <w:sz w:val="24"/>
              </w:rPr>
              <w:t>0%。</w:t>
            </w:r>
          </w:p>
          <w:p>
            <w:pPr>
              <w:pStyle w:val="null3"/>
              <w:ind w:firstLine="480"/>
              <w:jc w:val="left"/>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1、本章采购需求中标注“★”的要求（含小项）为实质性要求，投标人不得负偏离，否则视为无效响应。</w:t>
      </w:r>
    </w:p>
    <w:p>
      <w:pPr>
        <w:pStyle w:val="null3"/>
        <w:ind w:firstLine="482"/>
        <w:jc w:val="both"/>
      </w:pPr>
      <w:r>
        <w:rPr>
          <w:rFonts w:ascii="仿宋_GB2312" w:hAnsi="仿宋_GB2312" w:cs="仿宋_GB2312" w:eastAsia="仿宋_GB2312"/>
          <w:sz w:val="24"/>
          <w:b/>
        </w:rPr>
        <w:t>2、招标文件在技术规格中指出的工艺、材料和参数等标准以及参照的型号仅起说明作用，并没有任何限制性。投标人在响应时可以选用替代标准或型号，但这些替代要实质上相当（或优）于技术规格的要求。</w:t>
      </w:r>
    </w:p>
    <w:p>
      <w:pPr>
        <w:pStyle w:val="null3"/>
        <w:ind w:firstLine="482"/>
        <w:jc w:val="both"/>
      </w:pPr>
      <w:r>
        <w:rPr>
          <w:rFonts w:ascii="仿宋_GB2312" w:hAnsi="仿宋_GB2312" w:cs="仿宋_GB2312" w:eastAsia="仿宋_GB2312"/>
          <w:sz w:val="24"/>
          <w:b/>
        </w:rPr>
        <w:t>3、投标人需对响应的“技术参数、规格、功能及其他要求”内容真实性负责，如虚假响应谋取中标资格，经核实发现，取消中标资格，并上报财政主管部门。</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其他未尽事宜以合同约定为准。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符合法律、行政法规规定的其他条件。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符合法律、行政法规规定的其他条件。 供应商承诺函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 符合法律、行政法规规定的其他条件。</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技术部分72.00分</w:t>
            </w:r>
          </w:p>
          <w:p>
            <w:pPr>
              <w:pStyle w:val="null3"/>
              <w:jc w:val="left"/>
            </w:pPr>
            <w:r>
              <w:rPr>
                <w:rFonts w:ascii="仿宋_GB2312" w:hAnsi="仿宋_GB2312" w:cs="仿宋_GB2312" w:eastAsia="仿宋_GB2312"/>
              </w:rPr>
              <w:t>商务部分18.00分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需求理解与分析方案</w:t>
            </w:r>
          </w:p>
        </w:tc>
        <w:tc>
          <w:tcPr>
            <w:tcW w:type="dxa" w:w="2492"/>
          </w:tcPr>
          <w:p>
            <w:pPr>
              <w:pStyle w:val="null3"/>
              <w:jc w:val="left"/>
            </w:pPr>
            <w:r>
              <w:rPr>
                <w:rFonts w:ascii="仿宋_GB2312" w:hAnsi="仿宋_GB2312" w:cs="仿宋_GB2312" w:eastAsia="仿宋_GB2312"/>
              </w:rPr>
              <w:t>投标人根据本项目用户需求书提供项目需求理解与分析方案 ，内容包括但不限于①项目背景及目的；②现状的分析；③需求分析；④合理化创新建议。 评审专家根据投标人提供的需求理解与分析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总体设计方案</w:t>
            </w:r>
          </w:p>
        </w:tc>
        <w:tc>
          <w:tcPr>
            <w:tcW w:type="dxa" w:w="2492"/>
          </w:tcPr>
          <w:p>
            <w:pPr>
              <w:pStyle w:val="null3"/>
              <w:jc w:val="left"/>
            </w:pPr>
            <w:r>
              <w:rPr>
                <w:rFonts w:ascii="仿宋_GB2312" w:hAnsi="仿宋_GB2312" w:cs="仿宋_GB2312" w:eastAsia="仿宋_GB2312"/>
              </w:rPr>
              <w:t>投标人根据本项目用户需求书提供总体设计方案，内容包括但不限于：①系统体系平台架构设计；②功能部署情况；③系统连接方案；④系统页面设计及功能操作设计 评审专家根据投标人提供的总体设计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投标人根据本项目用户需求书提供项目实施方案，内容包括但不限于①实施组织计划；②项目进度管理；③信息安全保障安全保障措施；④安装调试方案等方面进行评分。 评审专家根据投标人提供的项目实施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培训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投标人根据本项目用户需求书提供售后服务方案，内容包括但不限于：①售后服务内容；②售后服务团队；③故障响应措施；④售后服务保障措施等方面进行评分。 评审专家根据投标人提供的售后服务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应急预案方案</w:t>
            </w:r>
          </w:p>
        </w:tc>
        <w:tc>
          <w:tcPr>
            <w:tcW w:type="dxa" w:w="2492"/>
          </w:tcPr>
          <w:p>
            <w:pPr>
              <w:pStyle w:val="null3"/>
              <w:jc w:val="left"/>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投标人根据本项目用户需求书编制应急预案方案，包含但不限于：①突发事件响应时间；②突发事件处理措施；③应急支援保障措施；④应急人员安排等方面进行评分。 评审专家根据投标人提供的应急预案方案进行评分：方案中包含以上要求全部内容且上述内容全面、合理、可行性强、完全满足实施需要的得12分，每缺少一项扣3分，一项有缺陷扣1分。本项满分12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供应商具有有效的质量管理体系认证证书、信息技术服务管理体系、信息安全管理体系认证证书。 每提供一个得1分，满分3分，不提供不得分。 （以上内容提供有效期内的证书复印件并加盖投标人公章）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项目负责人或技术负责人具有以下证书： 1、系统架构设计师，得3分； 2、信息系统项目管理师，得3分。 每提供1个证书得3分，全部满足得6分。证明材料：提供相关人员证书复印件及2024年6月至今任意1个月供应商为其缴纳的社保缴纳证明复印件并加盖公章，不提供不得分。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团队成员（除项目负责人、技术负责人）具有以下证书：： 1、系统集成项目管理师、软件设计师、网络工程师、软件评测师，每提供1个证书得1.5分，满分6分； 证明材料：团队成员同一人员的不同证书不重复计分。提供相关人员证书复印件及2024年6月至今任意1个月供应商为其缴纳的社保缴纳证明复印件并加盖公章，不提供不得分。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投标人具有2022年1月1日(以合同签订时间为准)至今承接过的类似业绩，每提供1个业绩得1.5分，本项满分3分。 证明材料：须提供合同复印件加盖公章，不提供不得分。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详见附件：服务采购合同.docx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HNJC2025-039</w:t>
      </w:r>
    </w:p>
    <w:p>
      <w:pPr>
        <w:pStyle w:val="null3"/>
        <w:jc w:val="left"/>
      </w:pPr>
      <w:r>
        <w:rPr>
          <w:rFonts w:ascii="仿宋_GB2312" w:hAnsi="仿宋_GB2312" w:cs="仿宋_GB2312" w:eastAsia="仿宋_GB2312"/>
        </w:rPr>
        <w:t>项目名称：</w:t>
      </w:r>
      <w:r>
        <w:rPr>
          <w:rFonts w:ascii="仿宋_GB2312" w:hAnsi="仿宋_GB2312" w:cs="仿宋_GB2312" w:eastAsia="仿宋_GB2312"/>
        </w:rPr>
        <w:t>澄迈县人民医院医共体总院智慧互联网医院便民服务平台</w:t>
      </w:r>
    </w:p>
    <w:p>
      <w:pPr>
        <w:pStyle w:val="null3"/>
        <w:jc w:val="left"/>
      </w:pPr>
      <w:r>
        <w:rPr>
          <w:rFonts w:ascii="仿宋_GB2312" w:hAnsi="仿宋_GB2312" w:cs="仿宋_GB2312" w:eastAsia="仿宋_GB2312"/>
        </w:rPr>
        <w:t>采购包：</w:t>
      </w:r>
      <w:r>
        <w:rPr>
          <w:rFonts w:ascii="仿宋_GB2312" w:hAnsi="仿宋_GB2312" w:cs="仿宋_GB2312" w:eastAsia="仿宋_GB2312"/>
        </w:rPr>
        <w:t>澄迈县人民医院医共体总院智慧互联网医院便民服务平台</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C16010302-行业应用软件开发服务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2436600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详见附件：响应承诺函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