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正文</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（工程类）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澄迈县加乐镇加桐村委会基础设施建设工程</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[hndcgl]20250300001[CS]</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澄迈县加乐镇人民政府</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海南鼎程项目管理有限公司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ind w:firstLine="480"/>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澄迈县加乐镇人民政府</w:t>
      </w:r>
      <w:r>
        <w:rPr>
          <w:rFonts w:ascii="仿宋_GB2312" w:hAnsi="仿宋_GB2312" w:cs="仿宋_GB2312" w:eastAsia="仿宋_GB2312"/>
        </w:rPr>
        <w:t xml:space="preserve"> 的委托， </w:t>
      </w:r>
      <w:r>
        <w:rPr>
          <w:rFonts w:ascii="仿宋_GB2312" w:hAnsi="仿宋_GB2312" w:cs="仿宋_GB2312" w:eastAsia="仿宋_GB2312"/>
        </w:rPr>
        <w:t>海南鼎程项目管理有限公司</w:t>
      </w:r>
      <w:r>
        <w:rPr>
          <w:rFonts w:ascii="仿宋_GB2312" w:hAnsi="仿宋_GB2312" w:cs="仿宋_GB2312" w:eastAsia="仿宋_GB2312"/>
        </w:rPr>
        <w:t xml:space="preserve"> 对 </w:t>
      </w:r>
      <w:r>
        <w:rPr>
          <w:rFonts w:ascii="仿宋_GB2312" w:hAnsi="仿宋_GB2312" w:cs="仿宋_GB2312" w:eastAsia="仿宋_GB2312"/>
        </w:rPr>
        <w:t>澄迈县加乐镇加桐村委会基础设施建设工程</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[hndcgl]20250300001[CS]</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澄迈县加乐镇加桐村委会基础设施建设工程</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3,221,213.03元</w:t>
      </w:r>
      <w:r>
        <w:rPr>
          <w:rFonts w:ascii="仿宋_GB2312" w:hAnsi="仿宋_GB2312" w:cs="仿宋_GB2312" w:eastAsia="仿宋_GB2312"/>
        </w:rPr>
        <w:t>叁佰贰拾贰万壹仟贰佰壹拾叁元零叁分</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180日历天</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属于专门面向中小企业小微企业采购，预留比例为100%。</w:t>
      </w:r>
    </w:p>
    <w:p>
      <w:pPr>
        <w:pStyle w:val="null3"/>
        <w:ind w:firstLine="480"/>
        <w:jc w:val="left"/>
      </w:pPr>
      <w:r>
        <w:rPr>
          <w:rFonts w:ascii="仿宋_GB2312" w:hAnsi="仿宋_GB2312" w:cs="仿宋_GB2312" w:eastAsia="仿宋_GB2312"/>
        </w:rPr>
        <w:t>3.本项目的特定资格要求：（如项目接受联合体响应，对联合体应提出相关资格要求；如属于特定行业项目，供应商应当具备特定行业法定准入要求。）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1、资格审查：（1）、供应商具有建设行政主管部门核发的市政公用工程施工总承包叁级或以上资质或根据《住房和城乡建设部关于印发建设工程企业资质管理制度改革方案的通知（【建市〔2020〕94 号】）换发新证取得的相应资质，同时具备安全生产许可证，并在人员、设备方面具有相应的施工能力。（提供资质证书复印件加盖公章、有效的安全生产许可证复印件加盖公章）； （2）、供应商拟派的项目经理须具备市政公用工程专业贰级或以上注册建造师执业资格，且未担任其他在施建设工程项目的项目经理。（提供证书复印件加盖公章，提供未担任其他在施建设工程项目的项目经理承诺书原件）。 （3）、供应商应在海南省住房和城乡建设厅海南省房屋建筑工程全过程监管信息平台完成《海南省建筑企业诚信档案手册》项目登记，信息内容含项目名称、项目地址、驻派的项目班子关键岗位人员等投标项目信息；（投标文件中提交手册查询证明复印件加盖公章）； （4）、供应商必须为未被列入中国执行信息公开网（http://zxgk.court.gov.cn/shixin/）的 “失信被执行人”、信用中国网站(https://www.creditchina.gov.cn/)的“重大税收违法失信主体”和“政府采购严重违法失信名单”、中国政府采购网(http://www.ccgp.gov.cn/)的“政府采购严重违法失信行为记录名单”（提供承诺函并加盖公章（格式自拟），将由采购人或采购代理机构于本项目响应截止日在“信用中国”网站、“中国政府采购网”网站等渠道对供应商进行信用记录查询）； （5）、信誉要求：a、磋商资格没有被取消、暂停；b、没有处于被责令停业、财产被接管、冻结、破产状态；c、在最近三年内没有骗取中标行为或严重违约行为或重大工程质量问题的（提供承诺函并加盖公章（格式自拟））； (6)、单位负责人为同一人或者存在直接控股、管理关系的不同供应商，不得参加同一合同项下的政府采购活动；为本项目提供整体设计、规范编制或者项目管理、监理、检测等服务的供应商，不得再参加本项目的采购活动（提供承诺函并加盖公章（格式自拟））。(7)、本次项目接受联合体投标。联合体投标的，应满足下列要求：a.联合体各方应按文件提供的格式签订联合体协议书，明确联合体牵头人和各方权利义务，并承诺就中标项目向招标人承担连带责任；b.由同一专业的单位组成的联合体，按照资质等级较低的单位确定资质等级；c.联合体成员不得超过2（含本数）家。联合体各方不得再以自己名义单独或参加其他联合体在本项目中投标，否则各相关投标均无效。</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1.本项目发布媒体为：海南省政府采购智慧云平台(https://ccgp-hainan.gov.cn/)。 2.有关本项目采购文件的补遗、澄清及变更信息以上述网站公告与下载为准，采购代理机构不再另行通知，采购文件与更正公告的内容相互矛盾时，以最后发出的更正公告内容为准。 3.本项目全程线上开标。如需云平台相关咨询，请拨打以下热线电话： 热线一：0898-66220881 热线二：0898-66220882 4.支持《政府采购促进中小企业发展管理办法》、《节能产品政府采购实施意见》、《关于环境标志产品政府采购实施的意见》、《关于促进残疾人就业政府采购政策的通知》、《财政部、司法部关于政府采购支持监狱企业发展有关问题的通知书》等相关政策。</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澄迈县加乐镇人民政府</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澄迈县加乐镇文明北路77号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陈元安</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0898-67368123</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海南鼎程项目管理有限公司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海口市美兰区蓝天街道大英山西二街2号海航·法苑里2号楼2单元1201A室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王远宏</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0898-38381081</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（特别提示：本表与响应文件对应章节的内容若不一致，以本表为准。）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采购包1：3,221,213.03元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承包人与发包人签订合同书后，承包人应向发包人提交中标价的5%的履约担保，否则终止合同的履行，履约担保的形式为银行保函、商业保函或商业保险保函。承包人应在本协议签订后十五日内提供上述担保，逾期提供的视为违约。</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代理服务费收费标准：参照国家计委关于印发《招标代理服务收费管理暂行办法》 的通知(计价格[2002]1980号)计算招标代理服务费￥19450.00元(大写:壹万玖仟肆佰伍拾元整)</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16.本项目管理机构主要管理人员配备数量要求： 16.1、项目负责人 1 名、技术负责人 1 名、施工员 1 名、（专职安全生产管理人员) 安全员 1 名、质量员 1 名、资料员 1 名（可兼任）、机械管理人员1 名（可兼任）、劳资专管员1名。 16.2、施工项目部关键岗位人员（项目负责人、技术负责人、施工员、（专职安全生 产管理人员)安全员、质量员、资料员、机械管理人员、劳资专管员）要求： （1）项目负责人（项目经理）：在本单位注册的市政公用工程专业贰级或以上注册建造师执业资格，要求未担任其他在施建设工程项目的项目负责人（项目经理）。 证明材料：响应文件中提供建造师执业资格证书、注册证书、身份证、2025年任意一个月本单位缴纳的社保凭证复印件及未担任其他在施建设工程项目的项目负责人（项目经理）的承诺书； （2）技术负责人：具备市政公用工程相关专业中级（含）或以上工程师职称。 证明材料：响应文件中提供职称证、身份证、2025年任意一个月本单位缴纳的社保凭证复印件； （3）施工员：具备施工员岗位资格证书。 证明材料：响应文件中提供岗位证、身份证、2025年任意一个月本单位缴纳的社保凭证复印件； （4）（专职安全生产管理人员)安全员：具备安全员岗位资格证书或安全生产考核合格证书。 证明材料：响应文件中提供岗位证（或安全生产考核合格证）、身份证、2025年任意一个月本单位缴纳的社保凭证复印件； （5）质量员： 证明材料：响应文件中提供岗位证、身份证、2025年任意一个月本单位缴纳的社保凭证复印件； （6）资料员：具备资料员岗位资格证书。 证明材料：响应文件中提供岗位证、身份证、2025年任意一个月本单位缴纳的社保凭证复印件。 （7）机械管理人员：具备机械管理人员岗位资格证书。 证明材料：响应文件中提供岗位证、身份证、2025年任意一个月本单位缴纳的社保凭证复印件。 （8）劳资专管员：提供任命书、身份证、2025年任意一个月本单位缴纳的社保凭证复印件。 注：以上材料均可提供复印件加盖单位公章，退休返聘人员需提供退休证及劳动合同复印件加盖单位公章（退休返聘人员可不提供社保缴纳凭证，以退休证及劳动合同替代）。16.3、本项目为专门面向中小企业采购项目，不在进行投标报价扣除，如不提供则按无效投标处理。16.4、根据关于印发《海南省组织贫困劳动力积极务工专项行动工作方案》琼脱贫指〔2020〕5 号的通知，所有投标单位参与投标时，在投标文件中须提供“若中标本项目，新招劳动力优先考虑贫困劳动力，且贫困劳动力不低于新招录人员数量的 10%”的承诺，承诺函具体格式由供应商自拟。16.5、《海南省房屋建筑和市政工程工程量清单招标投标评标办法》第二十三条规定：“投标报价应由注册在本单位的一级或二级造价工程师使用本单位实名的计价软件编制。委托工程造价咨询企业编制的，应在投标文件中提供加盖双方单位公章的委托书，并在已标价工程量清单上加盖负责编制的工程造价咨询企业公章以及负责审核的一级注册造价师执业印章”。根据上述规定，若供应商的投标报价文件由本企业的造价人员编制，则由造价工程师签字并加盖职业专用章，以及在本单位缴交社保证明。若供应商的投标报价文件委托造价机构编制的，则应提供委托造价合同，且造价文件由两名造价员（即编制人、复核人）签字并加盖执业专用章。 供应商未按前述要求编制造价文件的，导致评审小组无法认定、无法评审或者做将其无效响应处理的，由此产生的一切后果由供应商自行承担。供应商、造价人员、造价机构（如有）应在工程量清单签署页签章，工程量清单中《总价措施项目清单与计价表》和《规费、税金项目计价表》的“编制人(造价人员)”及“复核人(造价工程师)”一栏不做签字或盖章要求。</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“采购单位”指磋商文件中所述所有工程、相关货物、相关服务的甲方。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 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 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供应商应在响应文件中提供证明其所投工程、相关货物、相关服务的合格性和符合磋商文件规定的相关证明文件。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供应商应在响应文件中完整表达履行本采购项目的相关工程量清单、技术方案、方法和措施，及证明其成交后具有良好履约能力的说明材料。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 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8.1.1根据采购人确定的成交结果，采购代理机构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联系人：熊工</w:t>
      </w:r>
    </w:p>
    <w:p>
      <w:pPr>
        <w:pStyle w:val="null3"/>
        <w:jc w:val="left"/>
      </w:pPr>
      <w:r>
        <w:rPr>
          <w:rFonts w:ascii="仿宋_GB2312" w:hAnsi="仿宋_GB2312" w:cs="仿宋_GB2312" w:eastAsia="仿宋_GB2312"/>
        </w:rPr>
        <w:t>联系电话：0898-38381081</w:t>
      </w:r>
    </w:p>
    <w:p>
      <w:pPr>
        <w:pStyle w:val="null3"/>
        <w:jc w:val="left"/>
      </w:pPr>
      <w:r>
        <w:rPr>
          <w:rFonts w:ascii="仿宋_GB2312" w:hAnsi="仿宋_GB2312" w:cs="仿宋_GB2312" w:eastAsia="仿宋_GB2312"/>
        </w:rPr>
        <w:t>地址：海口市美兰区蓝天街道大英山西二街2号海航·法苑里2号楼2单元1201A室</w:t>
      </w:r>
    </w:p>
    <w:p>
      <w:pPr>
        <w:pStyle w:val="null3"/>
        <w:jc w:val="left"/>
      </w:pPr>
      <w:r>
        <w:rPr>
          <w:rFonts w:ascii="仿宋_GB2312" w:hAnsi="仿宋_GB2312" w:cs="仿宋_GB2312" w:eastAsia="仿宋_GB2312"/>
        </w:rPr>
        <w:t>邮编：/</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4"/>
          <w:color w:val="000000"/>
        </w:rPr>
        <w:t xml:space="preserve">澄迈县加乐镇加桐村委会基础设施建设工程，包含：土尾山、加桐村、 </w:t>
      </w:r>
      <w:r>
        <w:rPr>
          <w:rFonts w:ascii="仿宋_GB2312" w:hAnsi="仿宋_GB2312" w:cs="仿宋_GB2312" w:eastAsia="仿宋_GB2312"/>
          <w:sz w:val="24"/>
          <w:color w:val="000000"/>
        </w:rPr>
        <w:t>美龙村、东排湾、五教村、大路坡道路工程、波形护栏、排水沟等。</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3,221,213.03</w:t>
      </w:r>
    </w:p>
    <w:p>
      <w:pPr>
        <w:pStyle w:val="null3"/>
        <w:jc w:val="left"/>
      </w:pPr>
      <w:r>
        <w:rPr>
          <w:rFonts w:ascii="仿宋_GB2312" w:hAnsi="仿宋_GB2312" w:cs="仿宋_GB2312" w:eastAsia="仿宋_GB2312"/>
        </w:rPr>
        <w:t>采购包最高限价（元）: 3,221,213.03</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B99000000-其他建筑工程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3,221,213.03</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建筑业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B99000000-其他建筑工程</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3,221,213.03</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备注：因系统中预算金额必须等于最高限价，特此说明本项目最高限价（招标控制价）为：3220423.66元（超出最高限价按无效投标处理）具体详见工程量清单及图纸。</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标的名称：B99000000-其他建筑工程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自觉抵制政府采购领域商业贿赂行为承诺书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供应商承诺函 残疾人福利性单位声明函 监狱企业的证明文件</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资格审查</w:t>
            </w:r>
          </w:p>
        </w:tc>
        <w:tc>
          <w:tcPr>
            <w:tcW w:type="dxa" w:w="3322"/>
          </w:tcPr>
          <w:p>
            <w:pPr>
              <w:pStyle w:val="null3"/>
              <w:jc w:val="left"/>
            </w:pPr>
            <w:r>
              <w:rPr>
                <w:rFonts w:ascii="仿宋_GB2312" w:hAnsi="仿宋_GB2312" w:cs="仿宋_GB2312" w:eastAsia="仿宋_GB2312"/>
              </w:rPr>
              <w:t>（1）、供应商具有建设行政主管部门核发的市政公用工程施工总承包叁级或以上资质或根据《住房和城乡建设部关于印发建设工程企业资质管理制度改革方案的通知（【建市〔2020〕94 号】）换发新证取得的相应资质，同时具备安全生产许可证，并在人员、设备方面具有相应的施工能力。（提供资质证书复印件加盖公章、有效的安全生产许可证复印件加盖公章）； （2）、供应商拟派的项目经理须具备市政公用工程专业贰级或以上注册建造师执业资格，且未担任其他在施建设工程项目的项目经理。（提供证书复印件加盖公章，提供未担任其他在施建设工程项目的项目经理承诺书原件）。 （3）、供应商应在海南省住房和城乡建设厅海南省房屋建筑工程全过程监管信息平台完成《海南省建筑企业诚信档案手册》项目登记，信息内容含项目名称、项目地址、驻派的项目班子关键岗位人员等投标项目信息；（投标文件中提交手册查询证明复印件加盖公章）； （4）、供应商必须为未被列入中国执行信息公开网（http://zxgk.court.gov.cn/shixin/）的 “失信被执行人”、信用中国网站(https://www.creditchina.gov.cn/)的“重大税收违法失信主体”和“政府采购严重违法失信名单”、中国政府采购网(http://www.ccgp.gov.cn/)的“政府采购严重违法失信行为记录名单”（提供承诺函并加盖公章（格式自拟），将由采购人或采购代理机构于本项目响应截止日在“信用中国”网站、“中国政府采购网”网站等渠道对供应商进行信用记录查询）； （5）、信誉要求：a、磋商资格没有被取消、暂停；b、没有处于被责令停业、财产被接管、冻结、破产状态；c、在最近三年内没有骗取中标行为或严重违约行为或重大工程质量问题的（提供承诺函并加盖公章（格式自拟））； (6)、单位负责人为同一人或者存在直接控股、管理关系的不同供应商，不得参加同一合同项下的政府采购活动；为本项目提供整体设计、规范编制或者项目管理、监理、检测等服务的供应商，不得再参加本项目的采购活动（提供承诺函并加盖公章（格式自拟））。(7)、本次项目接受联合体投标。联合体投标的，应满足下列要求：a.联合体各方应按文件提供的格式签订联合体协议书，明确联合体牵头人和各方权利义务，并承诺就中标项目向招标人承担连带责任；b.由同一专业的单位组成的联合体，按照资质等级较低的单位确定资质等级；c.联合体成员不得超过2（含本数）家。联合体各方不得再以自己名义单独或参加其他联合体在本项目中投标，否则各相关投标均无效。</w:t>
            </w:r>
          </w:p>
        </w:tc>
        <w:tc>
          <w:tcPr>
            <w:tcW w:type="dxa" w:w="1661"/>
          </w:tcPr>
          <w:p>
            <w:pPr>
              <w:pStyle w:val="null3"/>
              <w:jc w:val="left"/>
            </w:pPr>
            <w:r>
              <w:rPr>
                <w:rFonts w:ascii="仿宋_GB2312" w:hAnsi="仿宋_GB2312" w:cs="仿宋_GB2312" w:eastAsia="仿宋_GB2312"/>
              </w:rPr>
              <w:t>项目管理人员情况表 其他材料</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磋商保证金缴纳证明材料 其他材料 供应商应提交的相关证明材料 自觉抵制政府采购领域商业贿赂行为承诺书 封面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其他材料</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技术部分55.00分</w:t>
            </w:r>
          </w:p>
          <w:p>
            <w:pPr>
              <w:pStyle w:val="null3"/>
              <w:jc w:val="left"/>
            </w:pPr>
            <w:r>
              <w:rPr>
                <w:rFonts w:ascii="仿宋_GB2312" w:hAnsi="仿宋_GB2312" w:cs="仿宋_GB2312" w:eastAsia="仿宋_GB2312"/>
              </w:rPr>
              <w:t>商务部分15.00分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施工方案与技术措施</w:t>
            </w:r>
          </w:p>
        </w:tc>
        <w:tc>
          <w:tcPr>
            <w:tcW w:type="dxa" w:w="2492"/>
          </w:tcPr>
          <w:p>
            <w:pPr>
              <w:pStyle w:val="null3"/>
              <w:jc w:val="left"/>
            </w:pPr>
            <w:r>
              <w:rPr>
                <w:rFonts w:ascii="仿宋_GB2312" w:hAnsi="仿宋_GB2312" w:cs="仿宋_GB2312" w:eastAsia="仿宋_GB2312"/>
              </w:rPr>
              <w:t>根据供应商提供的施工方案与技术措施进行比较赋分： 1.施工方案与技术措施科学合理，适用性强，思路清晰，内容全面，能够 根据实际情况制订，满足采购人的需要，考虑问题周全，实施过程务实，各项指标均能完成；15分； 2.施工方案与技术措施基本能够满足采购需要，操作性不强；10分； 3.施工方案与技术措施不合理；5分； 4.不提供者得 0 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质量管理体系与措施</w:t>
            </w:r>
          </w:p>
        </w:tc>
        <w:tc>
          <w:tcPr>
            <w:tcW w:type="dxa" w:w="2492"/>
          </w:tcPr>
          <w:p>
            <w:pPr>
              <w:pStyle w:val="null3"/>
              <w:jc w:val="left"/>
            </w:pPr>
            <w:r>
              <w:rPr>
                <w:rFonts w:ascii="仿宋_GB2312" w:hAnsi="仿宋_GB2312" w:cs="仿宋_GB2312" w:eastAsia="仿宋_GB2312"/>
              </w:rPr>
              <w:t>根据供应商提供的质量管理体系与措施进行比较赋分： 1.质量管理体系与措施科学合理，适用性强，思路清晰，内容全面，能够根据实际情况制订，满足采购人的需要，考虑问题周全，实施过程务实，各项指标均能完成；10分； 2.质量管理体系与措施基本能够满足采购需要，操作性不强；6分； 3.质量管理体系与措施不合理；3分； 4.不提供者得 0 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安全管理体系与措施</w:t>
            </w:r>
          </w:p>
        </w:tc>
        <w:tc>
          <w:tcPr>
            <w:tcW w:type="dxa" w:w="2492"/>
          </w:tcPr>
          <w:p>
            <w:pPr>
              <w:pStyle w:val="null3"/>
              <w:jc w:val="left"/>
            </w:pPr>
            <w:r>
              <w:rPr>
                <w:rFonts w:ascii="仿宋_GB2312" w:hAnsi="仿宋_GB2312" w:cs="仿宋_GB2312" w:eastAsia="仿宋_GB2312"/>
              </w:rPr>
              <w:t>根据供应商提供的安全管理体系与措施进行比较赋分： 1.安全管理体系与措施科学合理，适用性强，思路清晰，内容全面，能够根据实际情况制订，满足采购人的需要，考虑问题周全，实施过程务实，各项指标均能完成；10分； 2.安全管理体系与措施基本能够满足采购需要，操作性不强；6分； 3.安全管理体系与措施不合理；3分； 4.不提供者得 0 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环保管理体系与措施</w:t>
            </w:r>
          </w:p>
        </w:tc>
        <w:tc>
          <w:tcPr>
            <w:tcW w:type="dxa" w:w="2492"/>
          </w:tcPr>
          <w:p>
            <w:pPr>
              <w:pStyle w:val="null3"/>
              <w:jc w:val="left"/>
            </w:pPr>
            <w:r>
              <w:rPr>
                <w:rFonts w:ascii="仿宋_GB2312" w:hAnsi="仿宋_GB2312" w:cs="仿宋_GB2312" w:eastAsia="仿宋_GB2312"/>
              </w:rPr>
              <w:t>根据供应商提供的环保管理体系与措施进行比较赋分： 1.环保管理体系与措施科学合理，适用性强，思路清晰，内容全面，能够根据实际情况制订，满足采购人的需要，考虑问题周全，实施过程务实，各项指标均能完成；10分； 2.环保管理体系与措施基本能够满足采购需要，操作性不强；6分； 3.环保管理体系与措施不合理；3分； 4.不提供者得 0 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工程进度计划与措施</w:t>
            </w:r>
          </w:p>
        </w:tc>
        <w:tc>
          <w:tcPr>
            <w:tcW w:type="dxa" w:w="2492"/>
          </w:tcPr>
          <w:p>
            <w:pPr>
              <w:pStyle w:val="null3"/>
              <w:jc w:val="left"/>
            </w:pPr>
            <w:r>
              <w:rPr>
                <w:rFonts w:ascii="仿宋_GB2312" w:hAnsi="仿宋_GB2312" w:cs="仿宋_GB2312" w:eastAsia="仿宋_GB2312"/>
              </w:rPr>
              <w:t>根据供应商提供的工程进度计划与措施进行比较赋分： 1.工程进度计划与措施科学合理，适用性强，思路清晰，内容全面，能够根据实际情况制订，满足采购人的需要，考虑问题周全，实施过程务实，各项指标均能完成；10分； 2.工程进度计划与措施基本能够满足采购需要，操作性不强；6分； 3.工程进度计划与措施不合理；3分； 4.不提供者得 0 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企业业绩</w:t>
            </w:r>
          </w:p>
        </w:tc>
        <w:tc>
          <w:tcPr>
            <w:tcW w:type="dxa" w:w="2492"/>
          </w:tcPr>
          <w:p>
            <w:pPr>
              <w:pStyle w:val="null3"/>
              <w:jc w:val="left"/>
            </w:pPr>
            <w:r>
              <w:rPr>
                <w:rFonts w:ascii="仿宋_GB2312" w:hAnsi="仿宋_GB2312" w:cs="仿宋_GB2312" w:eastAsia="仿宋_GB2312"/>
              </w:rPr>
              <w:t>供应商至今承接过市政类项目业绩，每个得5分，最高得15分。 证明材料：提供施工合同（以合同签订时间为准）复印件加盖公章。</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详见附件：施工合同-(1).docx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[hndcgl]20250300001[CS]</w:t>
      </w:r>
    </w:p>
    <w:p>
      <w:pPr>
        <w:pStyle w:val="null3"/>
        <w:jc w:val="left"/>
      </w:pPr>
      <w:r>
        <w:rPr>
          <w:rFonts w:ascii="仿宋_GB2312" w:hAnsi="仿宋_GB2312" w:cs="仿宋_GB2312" w:eastAsia="仿宋_GB2312"/>
        </w:rPr>
        <w:t>项目名称：</w:t>
      </w:r>
      <w:r>
        <w:rPr>
          <w:rFonts w:ascii="仿宋_GB2312" w:hAnsi="仿宋_GB2312" w:cs="仿宋_GB2312" w:eastAsia="仿宋_GB2312"/>
        </w:rPr>
        <w:t>澄迈县加乐镇加桐村委会基础设施建设工程</w:t>
      </w:r>
    </w:p>
    <w:p>
      <w:pPr>
        <w:pStyle w:val="null3"/>
        <w:jc w:val="left"/>
      </w:pPr>
      <w:r>
        <w:rPr>
          <w:rFonts w:ascii="仿宋_GB2312" w:hAnsi="仿宋_GB2312" w:cs="仿宋_GB2312" w:eastAsia="仿宋_GB2312"/>
        </w:rPr>
        <w:t>采购包：</w:t>
      </w:r>
      <w:r>
        <w:rPr>
          <w:rFonts w:ascii="仿宋_GB2312" w:hAnsi="仿宋_GB2312" w:cs="仿宋_GB2312" w:eastAsia="仿宋_GB2312"/>
        </w:rPr>
        <w:t>澄迈县加乐镇加桐村委会基础设施建设工程</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施工范围</w:t>
            </w:r>
          </w:p>
        </w:tc>
        <w:tc>
          <w:tcPr>
            <w:tcW w:type="dxa" w:w="1038"/>
          </w:tcPr>
          <w:p>
            <w:pPr>
              <w:pStyle w:val="null3"/>
              <w:jc w:val="left"/>
            </w:pPr>
            <w:r>
              <w:rPr>
                <w:rFonts w:ascii="仿宋_GB2312" w:hAnsi="仿宋_GB2312" w:cs="仿宋_GB2312" w:eastAsia="仿宋_GB2312"/>
              </w:rPr>
              <w:t xml:space="preserve"> 施工工期</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B99000000-其他建筑工程</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3221213.03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详见附件：磋商保证金缴纳证明材料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jc w:val="left"/>
        <w:outlineLvl w:val="0"/>
      </w:pPr>
      <w:r>
        <w:rPr>
          <w:rFonts w:ascii="仿宋_GB2312" w:hAnsi="仿宋_GB2312" w:cs="仿宋_GB2312" w:eastAsia="仿宋_GB2312"/>
          <w:sz w:val="48"/>
          <w:b/>
        </w:rPr>
        <w:t>项目管理机构人员表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vMerge w:val="restart"/>
          </w:tcPr>
          <w:p>
            <w:pPr>
              <w:pStyle w:val="null3"/>
              <w:jc w:val="left"/>
            </w:pPr>
            <w:r>
              <w:rPr>
                <w:rFonts w:ascii="仿宋_GB2312" w:hAnsi="仿宋_GB2312" w:cs="仿宋_GB2312" w:eastAsia="仿宋_GB2312"/>
              </w:rPr>
              <w:t>序号</w:t>
            </w:r>
          </w:p>
        </w:tc>
        <w:tc>
          <w:tcPr>
            <w:tcW w:type="dxa" w:w="1187"/>
            <w:vMerge w:val="restart"/>
          </w:tcPr>
          <w:p>
            <w:pPr>
              <w:pStyle w:val="null3"/>
              <w:jc w:val="left"/>
            </w:pPr>
            <w:r>
              <w:rPr>
                <w:rFonts w:ascii="仿宋_GB2312" w:hAnsi="仿宋_GB2312" w:cs="仿宋_GB2312" w:eastAsia="仿宋_GB2312"/>
              </w:rPr>
              <w:t>职务</w:t>
            </w:r>
          </w:p>
        </w:tc>
        <w:tc>
          <w:tcPr>
            <w:tcW w:type="dxa" w:w="1187"/>
            <w:vMerge w:val="restart"/>
          </w:tcPr>
          <w:p>
            <w:pPr>
              <w:pStyle w:val="null3"/>
              <w:jc w:val="left"/>
            </w:pPr>
            <w:r>
              <w:rPr>
                <w:rFonts w:ascii="仿宋_GB2312" w:hAnsi="仿宋_GB2312" w:cs="仿宋_GB2312" w:eastAsia="仿宋_GB2312"/>
              </w:rPr>
              <w:t>姓名</w:t>
            </w:r>
          </w:p>
        </w:tc>
        <w:tc>
          <w:tcPr>
            <w:tcW w:type="dxa" w:w="4748"/>
            <w:gridSpan w:val="4"/>
          </w:tcPr>
          <w:p>
            <w:pPr>
              <w:pStyle w:val="null3"/>
              <w:jc w:val="left"/>
            </w:pPr>
            <w:r>
              <w:rPr>
                <w:rFonts w:ascii="仿宋_GB2312" w:hAnsi="仿宋_GB2312" w:cs="仿宋_GB2312" w:eastAsia="仿宋_GB2312"/>
              </w:rPr>
              <w:t>执业或职业资格</w:t>
            </w:r>
          </w:p>
        </w:tc>
      </w:tr>
      <w:tr>
        <w:tc>
          <w:tcPr>
            <w:tcW w:type="dxa" w:w="1187"/>
            <w:vMerge/>
          </w:tcPr>
          <w:p/>
        </w:tc>
        <w:tc>
          <w:tcPr>
            <w:tcW w:type="dxa" w:w="1187"/>
            <w:vMerge/>
          </w:tcPr>
          <w:p/>
        </w:tc>
        <w:tc>
          <w:tcPr>
            <w:tcW w:type="dxa" w:w="1187"/>
            <w:vMerge/>
          </w:tcPr>
          <w:p/>
        </w:tc>
        <w:tc>
          <w:tcPr>
            <w:tcW w:type="dxa" w:w="1187"/>
          </w:tcPr>
          <w:p>
            <w:pPr>
              <w:pStyle w:val="null3"/>
              <w:jc w:val="left"/>
            </w:pPr>
            <w:r>
              <w:rPr>
                <w:rFonts w:ascii="仿宋_GB2312" w:hAnsi="仿宋_GB2312" w:cs="仿宋_GB2312" w:eastAsia="仿宋_GB2312"/>
              </w:rPr>
              <w:t>证书名称</w:t>
            </w:r>
          </w:p>
        </w:tc>
        <w:tc>
          <w:tcPr>
            <w:tcW w:type="dxa" w:w="1187"/>
          </w:tcPr>
          <w:p>
            <w:pPr>
              <w:pStyle w:val="null3"/>
              <w:jc w:val="left"/>
            </w:pPr>
            <w:r>
              <w:rPr>
                <w:rFonts w:ascii="仿宋_GB2312" w:hAnsi="仿宋_GB2312" w:cs="仿宋_GB2312" w:eastAsia="仿宋_GB2312"/>
              </w:rPr>
              <w:t>证书编号</w:t>
            </w:r>
          </w:p>
        </w:tc>
        <w:tc>
          <w:tcPr>
            <w:tcW w:type="dxa" w:w="1187"/>
          </w:tcPr>
          <w:p>
            <w:pPr>
              <w:pStyle w:val="null3"/>
              <w:jc w:val="left"/>
            </w:pPr>
            <w:r>
              <w:rPr>
                <w:rFonts w:ascii="仿宋_GB2312" w:hAnsi="仿宋_GB2312" w:cs="仿宋_GB2312" w:eastAsia="仿宋_GB2312"/>
              </w:rPr>
              <w:t>证书专业</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项目经理</w:t>
            </w:r>
          </w:p>
        </w:tc>
        <w:tc>
          <w:tcPr>
            <w:tcW w:type="dxa" w:w="1187"/>
          </w:tcPr>
          <w:p>
            <w:pPr>
              <w:pStyle w:val="null3"/>
              <w:jc w:val="left"/>
            </w:pPr>
            <w:r>
              <w:rPr>
                <w:rFonts w:ascii="仿宋_GB2312" w:hAnsi="仿宋_GB2312" w:cs="仿宋_GB2312" w:eastAsia="仿宋_GB2312"/>
              </w:rPr>
              <w:t>{姓名}</w:t>
            </w:r>
          </w:p>
        </w:tc>
        <w:tc>
          <w:tcPr>
            <w:tcW w:type="dxa" w:w="1187"/>
          </w:tcPr>
          <w:p>
            <w:pPr>
              <w:pStyle w:val="null3"/>
              <w:jc w:val="left"/>
            </w:pPr>
            <w:r>
              <w:rPr>
                <w:rFonts w:ascii="仿宋_GB2312" w:hAnsi="仿宋_GB2312" w:cs="仿宋_GB2312" w:eastAsia="仿宋_GB2312"/>
              </w:rPr>
              <w:t>{证书名称}</w:t>
            </w:r>
          </w:p>
        </w:tc>
        <w:tc>
          <w:tcPr>
            <w:tcW w:type="dxa" w:w="1187"/>
          </w:tcPr>
          <w:p>
            <w:pPr>
              <w:pStyle w:val="null3"/>
              <w:jc w:val="left"/>
            </w:pPr>
            <w:r>
              <w:rPr>
                <w:rFonts w:ascii="仿宋_GB2312" w:hAnsi="仿宋_GB2312" w:cs="仿宋_GB2312" w:eastAsia="仿宋_GB2312"/>
              </w:rPr>
              <w:t>{证书编号}</w:t>
            </w:r>
          </w:p>
        </w:tc>
        <w:tc>
          <w:tcPr>
            <w:tcW w:type="dxa" w:w="1187"/>
          </w:tcPr>
          <w:p>
            <w:pPr>
              <w:pStyle w:val="null3"/>
              <w:jc w:val="left"/>
            </w:pPr>
            <w:r>
              <w:rPr>
                <w:rFonts w:ascii="仿宋_GB2312" w:hAnsi="仿宋_GB2312" w:cs="仿宋_GB2312" w:eastAsia="仿宋_GB2312"/>
              </w:rPr>
              <w:t>{证书专业}</w:t>
            </w:r>
          </w:p>
        </w:tc>
      </w:tr>
      <w:tr>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备注：项目经理(负责人)应当与随机抽取确认或者资格预审申请文件确定的项目经理信息一致。</w:t>
      </w:r>
    </w:p>
    <w:p>
      <w:pPr>
        <w:pStyle w:val="null3"/>
        <w:jc w:val="right"/>
      </w:pPr>
      <w:r>
        <w:rPr>
          <w:rFonts w:ascii="仿宋_GB2312" w:hAnsi="仿宋_GB2312" w:cs="仿宋_GB2312" w:eastAsia="仿宋_GB2312"/>
        </w:rPr>
        <w:t>供应商名称（加盖公章）：</w:t>
      </w:r>
    </w:p>
    <w:p>
      <w:pPr>
        <w:pStyle w:val="null3"/>
        <w:jc w:val="right"/>
      </w:pPr>
      <w:r>
        <w:rPr>
          <w:rFonts w:ascii="仿宋_GB2312" w:hAnsi="仿宋_GB2312" w:cs="仿宋_GB2312" w:eastAsia="仿宋_GB2312"/>
        </w:rPr>
        <w:t>日期：</w:t>
      </w:r>
    </w:p>
    <w:p>
      <w:pPr>
        <w:pStyle w:val="null3"/>
        <w:ind w:firstLine="960"/>
        <w:jc w:val="left"/>
      </w:pPr>
      <w:r>
        <w:rPr>
          <w:rFonts w:ascii="仿宋_GB2312" w:hAnsi="仿宋_GB2312" w:cs="仿宋_GB2312" w:eastAsia="仿宋_GB2312"/>
        </w:rPr>
        <w:t>详见附件：其他材料</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