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E61BA">
      <w:pPr>
        <w:pStyle w:val="14"/>
        <w:shd w:val="clear"/>
        <w:jc w:val="center"/>
        <w:outlineLvl w:val="1"/>
        <w:rPr>
          <w:rFonts w:hint="default"/>
          <w:color w:val="auto"/>
          <w:highlight w:val="none"/>
        </w:rPr>
      </w:pPr>
      <w:r>
        <w:rPr>
          <w:rFonts w:ascii="仿宋_GB2312" w:hAnsi="仿宋_GB2312" w:eastAsia="仿宋_GB2312" w:cs="仿宋_GB2312"/>
          <w:b/>
          <w:color w:val="auto"/>
          <w:sz w:val="36"/>
          <w:highlight w:val="none"/>
        </w:rPr>
        <w:t>第三章 采购需求</w:t>
      </w:r>
    </w:p>
    <w:p w14:paraId="6E4CCAD5">
      <w:pPr>
        <w:pStyle w:val="14"/>
        <w:shd w:val="clear"/>
        <w:outlineLvl w:val="2"/>
        <w:rPr>
          <w:rFonts w:hint="default"/>
          <w:color w:val="auto"/>
          <w:highlight w:val="none"/>
        </w:rPr>
      </w:pPr>
      <w:r>
        <w:rPr>
          <w:rFonts w:ascii="仿宋_GB2312" w:hAnsi="仿宋_GB2312" w:eastAsia="仿宋_GB2312" w:cs="仿宋_GB2312"/>
          <w:b/>
          <w:color w:val="auto"/>
          <w:sz w:val="28"/>
          <w:highlight w:val="none"/>
        </w:rPr>
        <w:t>一、项目概况（采购标的）</w:t>
      </w:r>
    </w:p>
    <w:p w14:paraId="48C97D65">
      <w:pPr>
        <w:pStyle w:val="14"/>
        <w:shd w:val="clear"/>
        <w:ind w:firstLine="480"/>
        <w:rPr>
          <w:rFonts w:hint="default"/>
          <w:color w:val="auto"/>
          <w:highlight w:val="none"/>
        </w:rPr>
      </w:pPr>
      <w:r>
        <w:rPr>
          <w:rFonts w:ascii="仿宋_GB2312" w:hAnsi="仿宋_GB2312" w:eastAsia="仿宋_GB2312" w:cs="仿宋_GB2312"/>
          <w:color w:val="auto"/>
          <w:highlight w:val="none"/>
        </w:rPr>
        <w:t>项目概况</w:t>
      </w:r>
    </w:p>
    <w:p w14:paraId="00448AC9">
      <w:pPr>
        <w:pStyle w:val="14"/>
        <w:shd w:val="clear"/>
        <w:rPr>
          <w:rFonts w:hint="default" w:eastAsia="仿宋_GB2312"/>
          <w:color w:val="auto"/>
          <w:highlight w:val="none"/>
          <w:lang w:eastAsia="zh-CN"/>
        </w:rPr>
      </w:pPr>
      <w:r>
        <w:rPr>
          <w:rFonts w:ascii="仿宋_GB2312" w:hAnsi="仿宋_GB2312" w:eastAsia="仿宋_GB2312" w:cs="仿宋_GB2312"/>
          <w:color w:val="auto"/>
          <w:highlight w:val="none"/>
        </w:rPr>
        <w:t>项目名称：</w:t>
      </w:r>
      <w:r>
        <w:rPr>
          <w:rFonts w:ascii="仿宋_GB2312" w:hAnsi="仿宋_GB2312" w:eastAsia="仿宋_GB2312" w:cs="仿宋_GB2312"/>
          <w:color w:val="auto"/>
          <w:highlight w:val="none"/>
          <w:lang w:eastAsia="zh-CN"/>
        </w:rPr>
        <w:t>海口羊山大道至定安母瑞山公路（定安段）交通安全隐患治理项目</w:t>
      </w:r>
    </w:p>
    <w:p w14:paraId="73FE95F6">
      <w:pPr>
        <w:pStyle w:val="14"/>
        <w:shd w:val="clear"/>
        <w:rPr>
          <w:rFonts w:hint="default"/>
          <w:color w:val="auto"/>
          <w:highlight w:val="none"/>
        </w:rPr>
      </w:pPr>
      <w:r>
        <w:rPr>
          <w:rFonts w:ascii="仿宋_GB2312" w:hAnsi="仿宋_GB2312" w:eastAsia="仿宋_GB2312" w:cs="仿宋_GB2312"/>
          <w:color w:val="auto"/>
          <w:highlight w:val="none"/>
        </w:rPr>
        <w:t>采购包1：</w:t>
      </w:r>
    </w:p>
    <w:p w14:paraId="3273F1F7">
      <w:pPr>
        <w:pStyle w:val="14"/>
        <w:shd w:val="clear"/>
        <w:rPr>
          <w:rFonts w:hint="default" w:ascii="仿宋_GB2312" w:hAnsi="仿宋_GB2312" w:eastAsia="仿宋_GB2312" w:cs="仿宋_GB2312"/>
          <w:color w:val="auto"/>
          <w:highlight w:val="none"/>
          <w:lang w:eastAsia="zh-CN"/>
        </w:rPr>
      </w:pPr>
      <w:r>
        <w:rPr>
          <w:rFonts w:ascii="仿宋_GB2312" w:hAnsi="仿宋_GB2312" w:eastAsia="仿宋_GB2312" w:cs="仿宋_GB2312"/>
          <w:color w:val="auto"/>
          <w:highlight w:val="none"/>
        </w:rPr>
        <w:t xml:space="preserve">采购包预算金额（元）: </w:t>
      </w:r>
      <w:r>
        <w:rPr>
          <w:rFonts w:ascii="仿宋_GB2312" w:hAnsi="仿宋_GB2312" w:eastAsia="仿宋_GB2312" w:cs="仿宋_GB2312"/>
          <w:color w:val="auto"/>
          <w:highlight w:val="none"/>
          <w:lang w:eastAsia="zh-CN"/>
        </w:rPr>
        <w:t>6293077.38</w:t>
      </w:r>
    </w:p>
    <w:p w14:paraId="05D251F4">
      <w:pPr>
        <w:pStyle w:val="14"/>
        <w:shd w:val="clear"/>
        <w:rPr>
          <w:rFonts w:hint="default" w:eastAsia="仿宋_GB2312"/>
          <w:color w:val="auto"/>
          <w:highlight w:val="none"/>
          <w:lang w:eastAsia="zh-CN"/>
        </w:rPr>
      </w:pPr>
      <w:r>
        <w:rPr>
          <w:rFonts w:ascii="仿宋_GB2312" w:hAnsi="仿宋_GB2312" w:eastAsia="仿宋_GB2312" w:cs="仿宋_GB2312"/>
          <w:color w:val="auto"/>
          <w:highlight w:val="none"/>
        </w:rPr>
        <w:t xml:space="preserve">采购包最高限价（元）: </w:t>
      </w:r>
      <w:r>
        <w:rPr>
          <w:rFonts w:ascii="仿宋_GB2312" w:hAnsi="仿宋_GB2312" w:eastAsia="仿宋_GB2312" w:cs="仿宋_GB2312"/>
          <w:color w:val="auto"/>
          <w:highlight w:val="none"/>
          <w:lang w:eastAsia="zh-CN"/>
        </w:rPr>
        <w:t>6293077.38</w:t>
      </w:r>
    </w:p>
    <w:p w14:paraId="35F0DB34">
      <w:pPr>
        <w:pStyle w:val="14"/>
        <w:numPr>
          <w:ilvl w:val="0"/>
          <w:numId w:val="4"/>
        </w:numPr>
        <w:shd w:val="clear"/>
        <w:outlineLvl w:val="2"/>
        <w:rPr>
          <w:rFonts w:ascii="仿宋_GB2312" w:hAnsi="仿宋_GB2312" w:eastAsia="仿宋_GB2312" w:cs="仿宋_GB2312"/>
          <w:b/>
          <w:color w:val="auto"/>
          <w:sz w:val="28"/>
          <w:highlight w:val="none"/>
        </w:rPr>
      </w:pPr>
      <w:r>
        <w:rPr>
          <w:rFonts w:ascii="仿宋_GB2312" w:hAnsi="仿宋_GB2312" w:eastAsia="仿宋_GB2312" w:cs="仿宋_GB2312"/>
          <w:b/>
          <w:color w:val="auto"/>
          <w:sz w:val="28"/>
          <w:highlight w:val="none"/>
        </w:rPr>
        <w:t>技术和服务要求</w:t>
      </w:r>
    </w:p>
    <w:p w14:paraId="77CC3498">
      <w:pPr>
        <w:pStyle w:val="2"/>
        <w:pageBreakBefore w:val="0"/>
        <w:widowControl/>
        <w:numPr>
          <w:ilvl w:val="1"/>
          <w:numId w:val="5"/>
        </w:numPr>
        <w:shd w:val="clear"/>
        <w:kinsoku/>
        <w:wordWrap/>
        <w:overflowPunct/>
        <w:topLinePunct w:val="0"/>
        <w:autoSpaceDE w:val="0"/>
        <w:autoSpaceDN w:val="0"/>
        <w:bidi w:val="0"/>
        <w:adjustRightInd w:val="0"/>
        <w:snapToGrid w:val="0"/>
        <w:spacing w:before="326" w:beforeLines="100" w:after="326" w:afterLines="100" w:line="240" w:lineRule="auto"/>
        <w:jc w:val="left"/>
        <w:textAlignment w:val="baseline"/>
        <w:rPr>
          <w:rFonts w:hint="eastAsia" w:ascii="宋体" w:hAnsi="宋体" w:eastAsia="宋体" w:cs="宋体"/>
          <w:color w:val="auto"/>
          <w:spacing w:val="-4"/>
          <w:sz w:val="28"/>
          <w:szCs w:val="20"/>
          <w:highlight w:val="none"/>
        </w:rPr>
      </w:pPr>
      <w:bookmarkStart w:id="0" w:name="_Toc25511"/>
      <w:r>
        <w:rPr>
          <w:rFonts w:hint="eastAsia" w:ascii="宋体" w:hAnsi="宋体" w:eastAsia="宋体" w:cs="宋体"/>
          <w:color w:val="auto"/>
          <w:highlight w:val="none"/>
        </w:rPr>
        <w:t>采购需求</w:t>
      </w:r>
      <w:bookmarkEnd w:id="0"/>
      <w:r>
        <w:rPr>
          <w:rFonts w:hint="eastAsia" w:ascii="宋体" w:hAnsi="宋体" w:eastAsia="宋体" w:cs="宋体"/>
          <w:color w:val="auto"/>
          <w:spacing w:val="-4"/>
          <w:sz w:val="28"/>
          <w:szCs w:val="20"/>
          <w:highlight w:val="none"/>
        </w:rPr>
        <w:t xml:space="preserve"> 项目概况</w:t>
      </w:r>
    </w:p>
    <w:p w14:paraId="209A04A4">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rPr>
        <w:t>项目名称</w:t>
      </w:r>
    </w:p>
    <w:p w14:paraId="58706126">
      <w:pPr>
        <w:pageBreakBefore w:val="0"/>
        <w:widowControl/>
        <w:shd w:val="clear"/>
        <w:kinsoku/>
        <w:wordWrap/>
        <w:overflowPunct/>
        <w:topLinePunct w:val="0"/>
        <w:autoSpaceDE w:val="0"/>
        <w:autoSpaceDN w:val="0"/>
        <w:bidi w:val="0"/>
        <w:adjustRightInd w:val="0"/>
        <w:snapToGrid w:val="0"/>
        <w:spacing w:line="24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海口羊山大道至定安母瑞山公路（定安段）交通安全隐患治理项目</w:t>
      </w:r>
    </w:p>
    <w:p w14:paraId="5F8B810F">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rPr>
        <w:t>建设目标</w:t>
      </w:r>
    </w:p>
    <w:p w14:paraId="6168C921">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1.海口</w:t>
      </w:r>
      <w:r>
        <w:rPr>
          <w:rFonts w:hint="eastAsia" w:ascii="宋体" w:hAnsi="宋体" w:eastAsia="宋体" w:cs="宋体"/>
          <w:color w:val="auto"/>
          <w:sz w:val="24"/>
          <w:szCs w:val="24"/>
          <w:highlight w:val="none"/>
        </w:rPr>
        <w:t>羊山大道至定安母瑞山公路（定安段）交通安全隐患治理项目通过智能化、信息化手段，全面提升道路的通行效率、安全性和管理效能，打造一条“智慧化、高效化、安全化”的示范性交通干线。具体目标包括以下几个方面：</w:t>
      </w:r>
    </w:p>
    <w:p w14:paraId="377A2126">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提高道路通行效率</w:t>
      </w:r>
    </w:p>
    <w:p w14:paraId="6CE11414">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优化交通流：通过智能信号控制系统动态调整信号灯配时和车辆行驶路线，减少拥堵和延误。</w:t>
      </w:r>
    </w:p>
    <w:p w14:paraId="2CC20F28">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实现绿波通行：在主要路段实施绿波带控制，确保车辆连续通行，减少停车次数。</w:t>
      </w:r>
    </w:p>
    <w:p w14:paraId="64252C40">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降低交通事故率</w:t>
      </w:r>
    </w:p>
    <w:p w14:paraId="063358A1">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遏制机动车违法行为：通过电子卡口测速系统、闯红灯等电子警察系统，实现对车辆超速、闯红灯、逆行等违章行为进行实时监测记录，提高驾驶员守法意识，减少因违章行为导致的交通事故。</w:t>
      </w:r>
    </w:p>
    <w:p w14:paraId="3CAA9978">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减少交通冲突：在村出入口、交叉口等危险路段设置智能信号灯和警示设施，降低车辆交汇冲突。</w:t>
      </w:r>
    </w:p>
    <w:p w14:paraId="2C88B137">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保障行人安全：在行人密集区域设置人行横道和人行横道信号灯，保障行人安全。</w:t>
      </w:r>
    </w:p>
    <w:p w14:paraId="77713C14">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实现交通管理智能化</w:t>
      </w:r>
    </w:p>
    <w:p w14:paraId="501B3164">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实时监控与预警：通过高清摄像头和传感器，实时监控路面交通状况，及时发现和处理突发事件。</w:t>
      </w:r>
    </w:p>
    <w:p w14:paraId="36E659B3">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数据驱动决策：建立交通大数据平台，整合监控、信号灯、违章等数据，通过分析交通流量、事故热点和拥堵原因，优化管理策略。</w:t>
      </w:r>
    </w:p>
    <w:p w14:paraId="04B414C8">
      <w:pPr>
        <w:pageBreakBefore w:val="0"/>
        <w:widowControl/>
        <w:shd w:val="clear"/>
        <w:kinsoku/>
        <w:wordWrap/>
        <w:overflowPunct/>
        <w:topLinePunct w:val="0"/>
        <w:autoSpaceDE w:val="0"/>
        <w:autoSpaceDN w:val="0"/>
        <w:bidi w:val="0"/>
        <w:adjustRightInd w:val="0"/>
        <w:snapToGrid w:val="0"/>
        <w:spacing w:line="24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远程控制与调度：实现信号灯、监控等设备的远程控制和调度，提高管理效率。</w:t>
      </w:r>
    </w:p>
    <w:p w14:paraId="17946E30">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rPr>
        <w:t>主要建设内容</w:t>
      </w:r>
    </w:p>
    <w:p w14:paraId="34264D23">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1.海</w:t>
      </w:r>
      <w:r>
        <w:rPr>
          <w:rFonts w:hint="eastAsia" w:ascii="宋体" w:hAnsi="宋体" w:eastAsia="宋体" w:cs="宋体"/>
          <w:color w:val="auto"/>
          <w:sz w:val="24"/>
          <w:szCs w:val="24"/>
          <w:highlight w:val="none"/>
        </w:rPr>
        <w:t>口羊山大道至定安母瑞山公路（定安段）起点接定海大桥，终点为定安县翰林镇与琼海市交界处，定安段路线全长59.9公里。现阶段海口羊山大道至定安母瑞山公路(定安段)配套交通基础设施建设不完善，缺少信号灯控制、超速抓拍、电子警察等相关信息化管理设备，道路交通安全及管制手段缺乏。同时，随着定安县的发展，定安县的基础建设在不断地扩张，越来越多的城市道路不断扩建或新建，形成定安县与周边市县的交通脉络。在今后和未来相当长的一段时期，定安县机动车保有量、交通流量仍将保持持续增长的速度，快速增长的机动车数量与道路供给之间的矛盾将日益突出，交通问题仍将日益加剧，为此需要对现有智能交通管理平台进行升级扩容，以合满足新建前端系统接入和现有交通管控需要，通过科学、合理、有效的信息化手段对整个交通路网和机动车的监管和调度，具体项目内容如下：</w:t>
      </w:r>
    </w:p>
    <w:p w14:paraId="1FB5980C">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交通信号控制、电子警察及测速卡口系统建设</w:t>
      </w:r>
    </w:p>
    <w:p w14:paraId="627783B0">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拆除工程：海口羊山大道至定安母瑞山公路（定安段）道路改造前，该道路已建交通信号控制及多功能电子警察系统、测速卡口系统，杆件设备的拆除。</w:t>
      </w:r>
    </w:p>
    <w:p w14:paraId="37E23E16">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海口羊山大道至定安母瑞山公路（定安段）6个路口交通信号控制系统建设：在海口羊山大道至定安母瑞山公路(定安段)上交通流量较大、易拥堵及交通事故多发的6个路口，根据国标GB_14886-2016《道路交通信号灯设置与安装规范》设置交通信号灯，保障路口通行效率及减少交通事故的发生。</w:t>
      </w:r>
    </w:p>
    <w:p w14:paraId="1EE78508">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多功能电子警察及测速卡口系统建设</w:t>
      </w:r>
    </w:p>
    <w:p w14:paraId="240999AF">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海口羊山大道至定安母瑞山公路（定安段）6个路口多功能电子警察系统建设：在本项目新建的6个红绿灯路口建设多功能电子警察系统，实现对闯红灯、逆行、不按导向行驶等多种违法行为进行自动抓拍，从而有效遏制因机动车违章造成的恶性交通事故。电子警察系统均采用不少于900万像素的抓拍摄像机及配套设备，系统必须满足《闯红灯自动记录系统通用技术条件》（GA/T496-2014）、《公路车辆智能监测记录系统通用技术条件》（GA/T497-2016）及《道路交通违法行为图像取证技术规范》（GA/T832-2014）、《机动车号牌图像自动识别技术规范》（GA/T833-2016）等国家现行的相关标准和规范要求。</w:t>
      </w:r>
    </w:p>
    <w:p w14:paraId="388BF271">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海口羊山大道至定安母瑞山公路(定安段)7处测速卡口系统建设：在海口羊山大道至定安母瑞山公路(定安段)新建7处测速卡口系统，对所有车辆进行监测记录，并通过定点测速与区间测试相结合对全路段车辆速度进行监测记录。同时可对前排司乘人员的面部抓拍，实现对接听电话、不系安全带等多种违法行为进行自动抓拍，从而有效遏制因机动车违章造成的恶性交通事故。</w:t>
      </w:r>
    </w:p>
    <w:p w14:paraId="3B73E4E7">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交通信号控制及多功能电子警察系统、测速卡口系统配套管道及取电施工。</w:t>
      </w:r>
    </w:p>
    <w:p w14:paraId="57DE5F0E">
      <w:pPr>
        <w:pageBreakBefore w:val="0"/>
        <w:widowControl/>
        <w:shd w:val="clear"/>
        <w:kinsoku/>
        <w:wordWrap/>
        <w:overflowPunct/>
        <w:topLinePunct w:val="0"/>
        <w:autoSpaceDE w:val="0"/>
        <w:autoSpaceDN w:val="0"/>
        <w:bidi w:val="0"/>
        <w:adjustRightInd w:val="0"/>
        <w:snapToGrid w:val="0"/>
        <w:spacing w:line="360" w:lineRule="auto"/>
        <w:ind w:firstLine="437"/>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智能交通管理平台升级扩容</w:t>
      </w:r>
    </w:p>
    <w:p w14:paraId="76AFEB48">
      <w:pPr>
        <w:pageBreakBefore w:val="0"/>
        <w:widowControl/>
        <w:shd w:val="clear"/>
        <w:kinsoku/>
        <w:wordWrap/>
        <w:overflowPunct/>
        <w:topLinePunct w:val="0"/>
        <w:autoSpaceDE w:val="0"/>
        <w:autoSpaceDN w:val="0"/>
        <w:bidi w:val="0"/>
        <w:adjustRightInd w:val="0"/>
        <w:snapToGrid w:val="0"/>
        <w:spacing w:line="240" w:lineRule="auto"/>
        <w:ind w:firstLine="437"/>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现有智能交通管理平台进行升级扩容，以满足新建前端系统接入和现有交通管控需要。增强平台数据汇聚能力、业务功能扩展能力，构建大数据基础，集大数据存储、查询、分析的能力，快速构建海量数据信息处理系统，对外提供大容量的数据存储、分析查询和实时流式数据处理分析能力，从海量数据中挖掘出价值信息，为业务提供统一开发、运行和管理提供基础支撑。</w:t>
      </w:r>
    </w:p>
    <w:p w14:paraId="06393154">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rPr>
        <w:t>标准与规范</w:t>
      </w:r>
    </w:p>
    <w:p w14:paraId="7C2F9F9F">
      <w:pPr>
        <w:pStyle w:val="3"/>
        <w:pageBreakBefore w:val="0"/>
        <w:widowControl/>
        <w:numPr>
          <w:ilvl w:val="2"/>
          <w:numId w:val="0"/>
        </w:numPr>
        <w:shd w:val="clear"/>
        <w:tabs>
          <w:tab w:val="left" w:pos="425"/>
        </w:tabs>
        <w:kinsoku/>
        <w:wordWrap/>
        <w:overflowPunct/>
        <w:topLinePunct w:val="0"/>
        <w:autoSpaceDE w:val="0"/>
        <w:autoSpaceDN w:val="0"/>
        <w:bidi w:val="0"/>
        <w:adjustRightInd w:val="0"/>
        <w:snapToGrid w:val="0"/>
        <w:spacing w:before="20" w:after="326" w:afterLines="100" w:line="240" w:lineRule="auto"/>
        <w:ind w:leftChars="0"/>
        <w:textAlignment w:val="baseline"/>
        <w:rPr>
          <w:rFonts w:hint="eastAsia" w:ascii="宋体" w:hAnsi="宋体" w:eastAsia="宋体" w:cs="宋体"/>
          <w:color w:val="auto"/>
          <w:spacing w:val="-4"/>
          <w:sz w:val="28"/>
          <w:szCs w:val="28"/>
          <w:highlight w:val="none"/>
        </w:rPr>
      </w:pPr>
      <w:r>
        <w:rPr>
          <w:rFonts w:hint="eastAsia" w:ascii="宋体" w:hAnsi="宋体" w:eastAsia="宋体" w:cs="宋体"/>
          <w:bCs w:val="0"/>
          <w:snapToGrid w:val="0"/>
          <w:color w:val="auto"/>
          <w:kern w:val="0"/>
          <w:sz w:val="24"/>
          <w:szCs w:val="24"/>
          <w:highlight w:val="none"/>
          <w:lang w:val="en-US" w:eastAsia="zh-CN"/>
        </w:rPr>
        <w:t>1.</w:t>
      </w:r>
      <w:r>
        <w:rPr>
          <w:rFonts w:hint="eastAsia" w:ascii="宋体" w:hAnsi="宋体" w:eastAsia="宋体" w:cs="宋体"/>
          <w:color w:val="auto"/>
          <w:spacing w:val="-4"/>
          <w:sz w:val="28"/>
          <w:szCs w:val="28"/>
          <w:highlight w:val="none"/>
        </w:rPr>
        <w:t>标准与规范</w:t>
      </w:r>
    </w:p>
    <w:p w14:paraId="144861DA">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《海南省公共安全视频监控系统技术规范》DB 46/ T 258—2013</w:t>
      </w:r>
    </w:p>
    <w:p w14:paraId="4DF3FE77">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《城市道路工程设计规范（2016年版）》  CJJ37-2012（2016年版）</w:t>
      </w:r>
    </w:p>
    <w:p w14:paraId="480B773D">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《城市道路平面交叉口规划与设计规程》 DGJ08-96-2013</w:t>
      </w:r>
    </w:p>
    <w:p w14:paraId="5D3EE535">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《城市道路交通规划设计规范》 GB50220—1995</w:t>
      </w:r>
    </w:p>
    <w:p w14:paraId="56CEC4DE">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《城市道路路线设计规范》 CJJ 193—2012</w:t>
      </w:r>
    </w:p>
    <w:p w14:paraId="62081073">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《城市道路平面交叉口设计规程》 CJJ152-2010</w:t>
      </w:r>
    </w:p>
    <w:p w14:paraId="1D1AFC14">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《城市道路平面交叉口规划与设计规程》 DGJ08-96-2013</w:t>
      </w:r>
    </w:p>
    <w:p w14:paraId="6D1DF0E1">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《城市道路设计规程》DGJ08-2106-2012</w:t>
      </w:r>
    </w:p>
    <w:p w14:paraId="2CA7779C">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《智慧交通系统规划编制指南》（GAT 1403-2017）</w:t>
      </w:r>
    </w:p>
    <w:p w14:paraId="69FCA71D">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《中华人民共和国道路交通安全法》</w:t>
      </w:r>
    </w:p>
    <w:p w14:paraId="57BD762F">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《公安交通集成指挥平台结构和功能》（GA/T1146-2014）</w:t>
      </w:r>
    </w:p>
    <w:p w14:paraId="5678C26E">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《公安交通指挥系统工程建设通用程序和要求》（GA/T651-2014）</w:t>
      </w:r>
    </w:p>
    <w:p w14:paraId="00300425">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《公安交通指挥系统建设技术规范》（GA/T445）</w:t>
      </w:r>
    </w:p>
    <w:p w14:paraId="3FB4D09E">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《安全防范视频监控联网系统信息传输、交换、控制技术要求》 (GB/T28181-2016)</w:t>
      </w:r>
    </w:p>
    <w:p w14:paraId="7518B8E6">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《道路交通安全违法行为图像取证技术规范》（GA/T832-2014）</w:t>
      </w:r>
    </w:p>
    <w:p w14:paraId="44D2CED5">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《机动车号牌图像自动识别技术规范》（GA/T833—2016）</w:t>
      </w:r>
    </w:p>
    <w:p w14:paraId="4EA4EB25">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rPr>
        <w:t>《公安数据元》（GA/T 543（所有部分））</w:t>
      </w:r>
    </w:p>
    <w:p w14:paraId="7DE9598E">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18）</w:t>
      </w:r>
      <w:r>
        <w:rPr>
          <w:rFonts w:hint="eastAsia" w:ascii="宋体" w:hAnsi="宋体" w:eastAsia="宋体" w:cs="宋体"/>
          <w:color w:val="auto"/>
          <w:sz w:val="24"/>
          <w:szCs w:val="24"/>
          <w:highlight w:val="none"/>
        </w:rPr>
        <w:t>《公路交通安全态势评估规范》（GA/T 960—2011）</w:t>
      </w:r>
    </w:p>
    <w:p w14:paraId="0FF28B3A">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《道路通行状态信息发布规范》（GA/T 994—2012）</w:t>
      </w:r>
    </w:p>
    <w:p w14:paraId="40F46C80">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《公安交通集成指挥平台通信协议》（GA/T 1049（所有部分））</w:t>
      </w:r>
    </w:p>
    <w:p w14:paraId="49392470">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21）</w:t>
      </w:r>
      <w:r>
        <w:rPr>
          <w:rFonts w:hint="eastAsia" w:ascii="宋体" w:hAnsi="宋体" w:eastAsia="宋体" w:cs="宋体"/>
          <w:color w:val="auto"/>
          <w:sz w:val="24"/>
          <w:szCs w:val="24"/>
          <w:highlight w:val="none"/>
        </w:rPr>
        <w:t>《全国道路交通管理信息数据库规范》第3部分：交通违法管理信息数据规范（GA 329.3）</w:t>
      </w:r>
    </w:p>
    <w:p w14:paraId="52EF92FA">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rPr>
        <w:t>《安全防范工程技术规范》（GB50348—2018）</w:t>
      </w:r>
    </w:p>
    <w:p w14:paraId="16C5F975">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《机动车登记信息代码第七部分：机动车号牌种类代码》 GA24.7</w:t>
      </w:r>
    </w:p>
    <w:p w14:paraId="30D75E64">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rPr>
        <w:t>《公安部中华人民共和国公共安全行业标准》（GA163－1997）</w:t>
      </w:r>
    </w:p>
    <w:p w14:paraId="33487464">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《闯红灯自动记录系统通用技术条件》（GA/T496-2014）</w:t>
      </w:r>
    </w:p>
    <w:p w14:paraId="3CE98298">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《公路车辆智能监测记录系统通用技术条件》（GA/T497-2009）</w:t>
      </w:r>
    </w:p>
    <w:p w14:paraId="051309F6">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27）</w:t>
      </w:r>
      <w:r>
        <w:rPr>
          <w:rFonts w:hint="eastAsia" w:ascii="宋体" w:hAnsi="宋体" w:eastAsia="宋体" w:cs="宋体"/>
          <w:color w:val="auto"/>
          <w:sz w:val="24"/>
          <w:szCs w:val="24"/>
          <w:highlight w:val="none"/>
        </w:rPr>
        <w:t>《道路交通安全违法行为视频取证设备技术规范》（GA/T 995-2012）</w:t>
      </w:r>
    </w:p>
    <w:p w14:paraId="3E6AFE1C">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28）</w:t>
      </w:r>
      <w:r>
        <w:rPr>
          <w:rFonts w:hint="eastAsia" w:ascii="宋体" w:hAnsi="宋体" w:eastAsia="宋体" w:cs="宋体"/>
          <w:color w:val="auto"/>
          <w:sz w:val="24"/>
          <w:szCs w:val="24"/>
          <w:highlight w:val="none"/>
        </w:rPr>
        <w:t>《公安交通电视监视系统验收规范》 GA/T509</w:t>
      </w:r>
    </w:p>
    <w:p w14:paraId="5F189992">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29）</w:t>
      </w:r>
      <w:r>
        <w:rPr>
          <w:rFonts w:hint="eastAsia" w:ascii="宋体" w:hAnsi="宋体" w:eastAsia="宋体" w:cs="宋体"/>
          <w:color w:val="auto"/>
          <w:sz w:val="24"/>
          <w:szCs w:val="24"/>
          <w:highlight w:val="none"/>
        </w:rPr>
        <w:t>《信息技术开放系统互连网络层安全协议》（GB/T 17963）</w:t>
      </w:r>
    </w:p>
    <w:p w14:paraId="77D42F6A">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《道路交通信号控制机与车辆检测器间的通信协议》（GA/T 920-2010）</w:t>
      </w:r>
    </w:p>
    <w:p w14:paraId="2A8B868C">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《道路交通信号控制机安装规范》（GA/T489-2016）</w:t>
      </w:r>
    </w:p>
    <w:p w14:paraId="71DD6F4D">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32）</w:t>
      </w:r>
      <w:r>
        <w:rPr>
          <w:rFonts w:hint="eastAsia" w:ascii="宋体" w:hAnsi="宋体" w:eastAsia="宋体" w:cs="宋体"/>
          <w:color w:val="auto"/>
          <w:sz w:val="24"/>
          <w:szCs w:val="24"/>
          <w:highlight w:val="none"/>
        </w:rPr>
        <w:t>《公安机关图像信息联网总体技术方案》</w:t>
      </w:r>
    </w:p>
    <w:p w14:paraId="0CFE0D47">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33）</w:t>
      </w:r>
      <w:r>
        <w:rPr>
          <w:rFonts w:hint="eastAsia" w:ascii="宋体" w:hAnsi="宋体" w:eastAsia="宋体" w:cs="宋体"/>
          <w:color w:val="auto"/>
          <w:sz w:val="24"/>
          <w:szCs w:val="24"/>
          <w:highlight w:val="none"/>
        </w:rPr>
        <w:t>《公安信息通信网边界接入平台安全规范（试行—视频接入部分》</w:t>
      </w:r>
    </w:p>
    <w:p w14:paraId="3510E51F">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34）</w:t>
      </w:r>
      <w:r>
        <w:rPr>
          <w:rFonts w:hint="eastAsia" w:ascii="宋体" w:hAnsi="宋体" w:eastAsia="宋体" w:cs="宋体"/>
          <w:color w:val="auto"/>
          <w:sz w:val="24"/>
          <w:szCs w:val="24"/>
          <w:highlight w:val="none"/>
        </w:rPr>
        <w:t>《公安交通管理外场设备基础施工通用要求》（GA/T652-2017）</w:t>
      </w:r>
    </w:p>
    <w:p w14:paraId="1EFA9EBB">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35)</w:t>
      </w:r>
      <w:r>
        <w:rPr>
          <w:rFonts w:hint="eastAsia" w:ascii="宋体" w:hAnsi="宋体" w:eastAsia="宋体" w:cs="宋体"/>
          <w:color w:val="auto"/>
          <w:sz w:val="24"/>
          <w:szCs w:val="24"/>
          <w:highlight w:val="none"/>
        </w:rPr>
        <w:t>《道路交通安全违法行为视频取证设备技术规范》（GA/T995-2012）</w:t>
      </w:r>
    </w:p>
    <w:p w14:paraId="56AF096B">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36)</w:t>
      </w:r>
      <w:r>
        <w:rPr>
          <w:rFonts w:hint="eastAsia" w:ascii="宋体" w:hAnsi="宋体" w:eastAsia="宋体" w:cs="宋体"/>
          <w:color w:val="auto"/>
          <w:sz w:val="24"/>
          <w:szCs w:val="24"/>
          <w:highlight w:val="none"/>
        </w:rPr>
        <w:t>《建筑物电子信息系统防雷技术规范》（B50343-2012）</w:t>
      </w:r>
    </w:p>
    <w:p w14:paraId="6CB634A5">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rPr>
        <w:t>《道路交通信号灯》（GB14887-2016）</w:t>
      </w:r>
    </w:p>
    <w:p w14:paraId="14D7D1F7">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38)</w:t>
      </w:r>
      <w:r>
        <w:rPr>
          <w:rFonts w:hint="eastAsia" w:ascii="宋体" w:hAnsi="宋体" w:eastAsia="宋体" w:cs="宋体"/>
          <w:color w:val="auto"/>
          <w:sz w:val="24"/>
          <w:szCs w:val="24"/>
          <w:highlight w:val="none"/>
        </w:rPr>
        <w:t>《道路交通信号灯设置与安装规范》（GB14886-2016）</w:t>
      </w:r>
    </w:p>
    <w:p w14:paraId="5EEA8233">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39)</w:t>
      </w:r>
      <w:r>
        <w:rPr>
          <w:rFonts w:hint="eastAsia" w:ascii="宋体" w:hAnsi="宋体" w:eastAsia="宋体" w:cs="宋体"/>
          <w:color w:val="auto"/>
          <w:sz w:val="24"/>
          <w:szCs w:val="24"/>
          <w:highlight w:val="none"/>
        </w:rPr>
        <w:t>《关于开展规范道路交通监控设备补光装置设置专项整治工作有关事项的通知》琼公交警(2023)138号 2023年3月23日</w:t>
      </w:r>
    </w:p>
    <w:p w14:paraId="16B587D6">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《公共区域视频图像采集设备布建指南》</w:t>
      </w:r>
      <w:bookmarkStart w:id="1" w:name="_Toc341960621"/>
      <w:bookmarkEnd w:id="1"/>
      <w:bookmarkStart w:id="2" w:name="_Toc342070820"/>
      <w:bookmarkEnd w:id="2"/>
      <w:bookmarkStart w:id="3" w:name="_Toc341960627"/>
      <w:bookmarkEnd w:id="3"/>
      <w:bookmarkStart w:id="4" w:name="_Toc341960620"/>
      <w:bookmarkEnd w:id="4"/>
      <w:bookmarkStart w:id="5" w:name="_Toc341960625"/>
      <w:bookmarkEnd w:id="5"/>
      <w:bookmarkStart w:id="6" w:name="_Toc341960624"/>
      <w:bookmarkEnd w:id="6"/>
      <w:bookmarkStart w:id="7" w:name="_Toc342070822"/>
      <w:bookmarkEnd w:id="7"/>
      <w:bookmarkStart w:id="8" w:name="_Toc342070821"/>
      <w:bookmarkEnd w:id="8"/>
      <w:bookmarkStart w:id="9" w:name="_Toc342070816"/>
      <w:bookmarkEnd w:id="9"/>
      <w:bookmarkStart w:id="10" w:name="_Toc341960623"/>
      <w:bookmarkEnd w:id="10"/>
      <w:bookmarkStart w:id="11" w:name="_Toc341960626"/>
      <w:bookmarkEnd w:id="11"/>
      <w:bookmarkStart w:id="12" w:name="_Toc342070818"/>
      <w:bookmarkEnd w:id="12"/>
      <w:bookmarkStart w:id="13" w:name="_Toc342070815"/>
      <w:bookmarkEnd w:id="13"/>
      <w:bookmarkStart w:id="14" w:name="_Toc341960622"/>
      <w:bookmarkEnd w:id="14"/>
      <w:bookmarkStart w:id="15" w:name="_Toc341960628"/>
      <w:bookmarkEnd w:id="15"/>
      <w:bookmarkStart w:id="16" w:name="_Toc342070823"/>
      <w:bookmarkEnd w:id="16"/>
      <w:bookmarkStart w:id="17" w:name="_Toc342070817"/>
      <w:bookmarkEnd w:id="17"/>
      <w:bookmarkStart w:id="18" w:name="_Toc341960629"/>
      <w:bookmarkEnd w:id="18"/>
      <w:bookmarkStart w:id="19" w:name="_Toc342070814"/>
      <w:bookmarkEnd w:id="19"/>
      <w:bookmarkStart w:id="20" w:name="_Toc342070819"/>
      <w:bookmarkEnd w:id="20"/>
    </w:p>
    <w:p w14:paraId="5702BE8B">
      <w:pPr>
        <w:pStyle w:val="2"/>
        <w:pageBreakBefore w:val="0"/>
        <w:widowControl/>
        <w:numPr>
          <w:ilvl w:val="1"/>
          <w:numId w:val="5"/>
        </w:numPr>
        <w:shd w:val="clear"/>
        <w:kinsoku/>
        <w:wordWrap/>
        <w:overflowPunct/>
        <w:topLinePunct w:val="0"/>
        <w:autoSpaceDE w:val="0"/>
        <w:autoSpaceDN w:val="0"/>
        <w:bidi w:val="0"/>
        <w:adjustRightInd w:val="0"/>
        <w:snapToGrid w:val="0"/>
        <w:spacing w:before="326" w:beforeLines="100" w:after="326" w:afterLines="100" w:line="240" w:lineRule="auto"/>
        <w:jc w:val="left"/>
        <w:textAlignment w:val="baseline"/>
        <w:rPr>
          <w:rFonts w:hint="eastAsia" w:ascii="宋体" w:hAnsi="宋体" w:eastAsia="宋体" w:cs="宋体"/>
          <w:color w:val="auto"/>
          <w:spacing w:val="-4"/>
          <w:sz w:val="28"/>
          <w:szCs w:val="28"/>
          <w:highlight w:val="none"/>
        </w:rPr>
      </w:pPr>
      <w:bookmarkStart w:id="21" w:name="_Ref2368"/>
      <w:r>
        <w:rPr>
          <w:rFonts w:hint="eastAsia" w:ascii="宋体" w:hAnsi="宋体" w:eastAsia="宋体" w:cs="宋体"/>
          <w:color w:val="auto"/>
          <w:spacing w:val="-4"/>
          <w:sz w:val="28"/>
          <w:szCs w:val="28"/>
          <w:highlight w:val="none"/>
        </w:rPr>
        <w:t xml:space="preserve"> 技术要求</w:t>
      </w:r>
      <w:bookmarkEnd w:id="21"/>
    </w:p>
    <w:p w14:paraId="3C5B0FA4">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rPr>
        <w:t>交通信号控制系统</w:t>
      </w:r>
    </w:p>
    <w:p w14:paraId="702494A7">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326" w:beforeLines="100" w:after="326" w:afterLines="100" w:line="240" w:lineRule="auto"/>
        <w:textAlignment w:val="baseline"/>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系统功能要求</w:t>
      </w:r>
    </w:p>
    <w:p w14:paraId="32015DEC">
      <w:pPr>
        <w:pStyle w:val="4"/>
        <w:pageBreakBefore w:val="0"/>
        <w:widowControl/>
        <w:numPr>
          <w:ilvl w:val="3"/>
          <w:numId w:val="0"/>
        </w:numPr>
        <w:shd w:val="clear"/>
        <w:tabs>
          <w:tab w:val="left" w:pos="425"/>
        </w:tabs>
        <w:kinsoku/>
        <w:wordWrap/>
        <w:overflowPunct/>
        <w:topLinePunct w:val="0"/>
        <w:autoSpaceDE w:val="0"/>
        <w:autoSpaceDN w:val="0"/>
        <w:bidi w:val="0"/>
        <w:adjustRightInd w:val="0"/>
        <w:snapToGrid w:val="0"/>
        <w:spacing w:before="326" w:beforeLines="100" w:after="326" w:afterLines="100" w:line="240" w:lineRule="auto"/>
        <w:ind w:leftChars="0"/>
        <w:textAlignment w:val="baseline"/>
        <w:rPr>
          <w:rFonts w:hint="eastAsia" w:ascii="宋体" w:hAnsi="宋体" w:eastAsia="宋体" w:cs="宋体"/>
          <w:b/>
          <w:bCs/>
          <w:color w:val="auto"/>
          <w:spacing w:val="-4"/>
          <w:sz w:val="28"/>
          <w:szCs w:val="28"/>
          <w:highlight w:val="none"/>
        </w:rPr>
      </w:pPr>
      <w:r>
        <w:rPr>
          <w:rFonts w:hint="eastAsia" w:ascii="宋体" w:hAnsi="宋体" w:eastAsia="宋体" w:cs="宋体"/>
          <w:bCs w:val="0"/>
          <w:snapToGrid w:val="0"/>
          <w:color w:val="auto"/>
          <w:kern w:val="0"/>
          <w:sz w:val="24"/>
          <w:szCs w:val="24"/>
          <w:highlight w:val="none"/>
          <w:lang w:val="en-US" w:eastAsia="zh-CN"/>
        </w:rPr>
        <w:t>1.</w:t>
      </w:r>
      <w:r>
        <w:rPr>
          <w:rFonts w:hint="eastAsia" w:ascii="宋体" w:hAnsi="宋体" w:eastAsia="宋体" w:cs="宋体"/>
          <w:b/>
          <w:bCs/>
          <w:color w:val="auto"/>
          <w:spacing w:val="-4"/>
          <w:sz w:val="28"/>
          <w:szCs w:val="28"/>
          <w:highlight w:val="none"/>
        </w:rPr>
        <w:t>系统功能要求</w:t>
      </w:r>
    </w:p>
    <w:p w14:paraId="6C3BA0F6">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号机是交通信号控制的核心单元，是城市交通系统中非常重要的组成部分。信号机应具备基础功能，包括但不限于具备联网、车检数据接入、交通参数采集和统计、校时、升级等功能，以满足常规的信号控制需求。</w:t>
      </w:r>
    </w:p>
    <w:p w14:paraId="166FF856">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联网功能</w:t>
      </w:r>
    </w:p>
    <w:p w14:paraId="52856848">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信号机均可具备联网功能，通过网络与后台中心端实现远程控制和管理。</w:t>
      </w:r>
    </w:p>
    <w:p w14:paraId="3739D758">
      <w:pPr>
        <w:pStyle w:val="15"/>
        <w:pageBreakBefore w:val="0"/>
        <w:widowControl/>
        <w:numPr>
          <w:ilvl w:val="0"/>
          <w:numId w:val="6"/>
        </w:numPr>
        <w:shd w:val="clear"/>
        <w:tabs>
          <w:tab w:val="left" w:pos="921"/>
        </w:tabs>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bookmarkStart w:id="22" w:name="_Hlk195734355"/>
      <w:r>
        <w:rPr>
          <w:rFonts w:hint="eastAsia" w:ascii="宋体" w:hAnsi="宋体" w:eastAsia="宋体" w:cs="宋体"/>
          <w:color w:val="auto"/>
          <w:sz w:val="24"/>
          <w:szCs w:val="24"/>
          <w:highlight w:val="none"/>
        </w:rPr>
        <w:t>校时功能</w:t>
      </w:r>
    </w:p>
    <w:bookmarkEnd w:id="22"/>
    <w:p w14:paraId="53DBD5B0">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信号机支持接收来自控制中心的校时和主动获取北斗信息来对系统进行校时。</w:t>
      </w:r>
    </w:p>
    <w:p w14:paraId="016549E6">
      <w:pPr>
        <w:pStyle w:val="15"/>
        <w:pageBreakBefore w:val="0"/>
        <w:widowControl/>
        <w:numPr>
          <w:ilvl w:val="0"/>
          <w:numId w:val="6"/>
        </w:numPr>
        <w:shd w:val="clear"/>
        <w:tabs>
          <w:tab w:val="left" w:pos="921"/>
        </w:tabs>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无缝升级功能</w:t>
      </w:r>
    </w:p>
    <w:p w14:paraId="1A374704">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号机升级时能够保证信号机程序升级之后状态无缝衔接，即信号机升级之后的第一个周期不再是启动黄闪和全红，而是无缝衔接升级之前的状态，包括控制类型、控制模式以及控制方案，若是定周期控制还能保证倒计时的无缝衔接。</w:t>
      </w:r>
    </w:p>
    <w:p w14:paraId="6E53CB3A">
      <w:pPr>
        <w:pStyle w:val="15"/>
        <w:pageBreakBefore w:val="0"/>
        <w:widowControl/>
        <w:numPr>
          <w:ilvl w:val="0"/>
          <w:numId w:val="6"/>
        </w:numPr>
        <w:shd w:val="clear"/>
        <w:tabs>
          <w:tab w:val="left" w:pos="921"/>
        </w:tabs>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基础信号控制</w:t>
      </w:r>
    </w:p>
    <w:p w14:paraId="239649F5">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础信号控制功能包括关灯、黄闪、全红、锁定、步进等控制方式，满足在特殊道路交通环境或特定交通控制需求下，通过远程或现场人员，直接干预交通信号控制系统或信号。通过手动面板、信号机配置客户端或无线遥控器等方式可进行手动控制，执行相位转换、应急的黄闪、全红和步进等控制指令。</w:t>
      </w:r>
    </w:p>
    <w:p w14:paraId="2D00F26C">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步进控制是按照相位进行控制的一种控制方式，可精确控制到每种信号灯的显示状态。步进时，信号灯按照相序执行下一个绿灯相位，按下步进后，信号灯会进入切换状态，当前绿灯相位进入绿闪，再跳转红灯。即原先设定的相位过渡机制保留不变的前提下，提前执行下一个相序动作。“步进控制”包括单独步进、跳转步进两种，也可选择步进持续时间，当持续时间达到后，将继续进行本地时段控制。</w:t>
      </w:r>
    </w:p>
    <w:p w14:paraId="027BB9D4">
      <w:pPr>
        <w:pStyle w:val="15"/>
        <w:pageBreakBefore w:val="0"/>
        <w:widowControl/>
        <w:numPr>
          <w:ilvl w:val="0"/>
          <w:numId w:val="6"/>
        </w:numPr>
        <w:shd w:val="clear"/>
        <w:tabs>
          <w:tab w:val="left" w:pos="921"/>
        </w:tabs>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单点定时控制</w:t>
      </w:r>
    </w:p>
    <w:p w14:paraId="4ECC510A">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点定时控制的控制原理是根据单个交叉口通行条件及交通运行特征，预先设定好交叉口信号控制相位相序、信号配时等，形成固定的信号控制方案，由系统在特定时段调用并运行。单点定时控制可分为两种形式：</w:t>
      </w:r>
    </w:p>
    <w:p w14:paraId="6EA9CBCA">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（1）单点固定定时控制</w:t>
      </w:r>
    </w:p>
    <w:p w14:paraId="6745EA77">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针对单个交叉路口采用的是单一的固定配时方式，一天只运行一个信号配时方案。</w:t>
      </w:r>
    </w:p>
    <w:p w14:paraId="7AC69E58">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（2）单点多时段定时控制</w:t>
      </w:r>
    </w:p>
    <w:p w14:paraId="77A74D8E">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根据交通流大小将一天分成若干时段，在高峰时段执行高峰配时方案，低、平峰时又分别执行低峰、平峰信号配时方案，这样有效地提高了交通信号的控制效率。</w:t>
      </w:r>
    </w:p>
    <w:p w14:paraId="5A4839BB">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点定时控制主要基于英国Webster算法优化确定，基于交叉口各进口道各流向的交通流量确定信号相位方案基于交叉口的几何线性等确定相序方案，再根据一个周期内各相位的流量比与绿灯间隔时间确定最佳周期时长与周期内各相位的绿灯时长。</w:t>
      </w:r>
    </w:p>
    <w:p w14:paraId="1B3F261C">
      <w:pPr>
        <w:pStyle w:val="15"/>
        <w:pageBreakBefore w:val="0"/>
        <w:widowControl/>
        <w:numPr>
          <w:ilvl w:val="0"/>
          <w:numId w:val="6"/>
        </w:numPr>
        <w:shd w:val="clear"/>
        <w:tabs>
          <w:tab w:val="left" w:pos="921"/>
        </w:tabs>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bookmarkStart w:id="23" w:name="_Toc187415933"/>
      <w:r>
        <w:rPr>
          <w:rFonts w:hint="eastAsia" w:ascii="宋体" w:hAnsi="宋体" w:eastAsia="宋体" w:cs="宋体"/>
          <w:color w:val="auto"/>
          <w:sz w:val="24"/>
          <w:szCs w:val="24"/>
          <w:highlight w:val="none"/>
        </w:rPr>
        <w:t>单点感应控制</w:t>
      </w:r>
      <w:bookmarkEnd w:id="23"/>
    </w:p>
    <w:p w14:paraId="0C4C6F1E">
      <w:pPr>
        <w:pageBreakBefore w:val="0"/>
        <w:widowControl/>
        <w:shd w:val="clear"/>
        <w:kinsoku/>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实现单点感应控制需要架设雷视等感知设备，雷视等感知设备采用信号灯杆式架设。</w:t>
      </w:r>
    </w:p>
    <w:p w14:paraId="37EFEB7E">
      <w:pPr>
        <w:pStyle w:val="15"/>
        <w:pageBreakBefore w:val="0"/>
        <w:widowControl/>
        <w:numPr>
          <w:ilvl w:val="0"/>
          <w:numId w:val="6"/>
        </w:numPr>
        <w:shd w:val="clear"/>
        <w:tabs>
          <w:tab w:val="left" w:pos="921"/>
        </w:tabs>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bookmarkStart w:id="24" w:name="_Toc187415934"/>
      <w:r>
        <w:rPr>
          <w:rFonts w:hint="eastAsia" w:ascii="宋体" w:hAnsi="宋体" w:eastAsia="宋体" w:cs="宋体"/>
          <w:color w:val="auto"/>
          <w:sz w:val="24"/>
          <w:szCs w:val="24"/>
          <w:highlight w:val="none"/>
        </w:rPr>
        <w:t>单点自适应控制</w:t>
      </w:r>
      <w:bookmarkEnd w:id="24"/>
    </w:p>
    <w:p w14:paraId="40F3D4FE">
      <w:pPr>
        <w:pageBreakBefore w:val="0"/>
        <w:widowControl/>
        <w:shd w:val="clear"/>
        <w:kinsoku/>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实现单点自适应控制需要架设</w:t>
      </w:r>
      <w:r>
        <w:rPr>
          <w:rFonts w:hint="eastAsia" w:ascii="宋体" w:hAnsi="宋体" w:eastAsia="宋体" w:cs="宋体"/>
          <w:color w:val="auto"/>
          <w:sz w:val="24"/>
          <w:szCs w:val="24"/>
          <w:highlight w:val="none"/>
        </w:rPr>
        <w:t>雷视等感知设备</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雷视等感知设备</w:t>
      </w:r>
      <w:r>
        <w:rPr>
          <w:rFonts w:hint="eastAsia" w:ascii="宋体" w:hAnsi="宋体" w:eastAsia="宋体" w:cs="宋体"/>
          <w:color w:val="auto"/>
          <w:sz w:val="24"/>
          <w:szCs w:val="24"/>
          <w:highlight w:val="none"/>
          <w:lang w:val="zh-CN"/>
        </w:rPr>
        <w:t>采用信号灯杆式架设</w:t>
      </w:r>
    </w:p>
    <w:p w14:paraId="721D9EEE">
      <w:pPr>
        <w:pStyle w:val="15"/>
        <w:pageBreakBefore w:val="0"/>
        <w:widowControl/>
        <w:numPr>
          <w:ilvl w:val="0"/>
          <w:numId w:val="6"/>
        </w:numPr>
        <w:shd w:val="clear"/>
        <w:tabs>
          <w:tab w:val="left" w:pos="921"/>
        </w:tabs>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bookmarkStart w:id="25" w:name="_Toc187415935"/>
      <w:r>
        <w:rPr>
          <w:rFonts w:hint="eastAsia" w:ascii="宋体" w:hAnsi="宋体" w:eastAsia="宋体" w:cs="宋体"/>
          <w:color w:val="auto"/>
          <w:sz w:val="24"/>
          <w:szCs w:val="24"/>
          <w:highlight w:val="none"/>
        </w:rPr>
        <w:t>单点实时优化控制</w:t>
      </w:r>
      <w:bookmarkEnd w:id="25"/>
    </w:p>
    <w:p w14:paraId="6C59BC5A">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实现单点实时优化控制需要架设</w:t>
      </w:r>
      <w:r>
        <w:rPr>
          <w:rFonts w:hint="eastAsia" w:ascii="宋体" w:hAnsi="宋体" w:eastAsia="宋体" w:cs="宋体"/>
          <w:color w:val="auto"/>
          <w:sz w:val="24"/>
          <w:szCs w:val="24"/>
          <w:highlight w:val="none"/>
        </w:rPr>
        <w:t>雷视等感知设备</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雷视等感知设备</w:t>
      </w:r>
      <w:r>
        <w:rPr>
          <w:rFonts w:hint="eastAsia" w:ascii="宋体" w:hAnsi="宋体" w:eastAsia="宋体" w:cs="宋体"/>
          <w:color w:val="auto"/>
          <w:sz w:val="24"/>
          <w:szCs w:val="24"/>
          <w:highlight w:val="none"/>
          <w:lang w:val="zh-CN"/>
        </w:rPr>
        <w:t>采用信号灯杆式架设</w:t>
      </w:r>
    </w:p>
    <w:p w14:paraId="148512A4">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326" w:beforeLines="100" w:after="326" w:afterLines="100" w:line="24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系统性能指标要求</w:t>
      </w:r>
    </w:p>
    <w:p w14:paraId="32B228BC">
      <w:pPr>
        <w:pStyle w:val="4"/>
        <w:pageBreakBefore w:val="0"/>
        <w:widowControl/>
        <w:numPr>
          <w:ilvl w:val="3"/>
          <w:numId w:val="0"/>
        </w:numPr>
        <w:shd w:val="clear"/>
        <w:tabs>
          <w:tab w:val="left" w:pos="425"/>
        </w:tabs>
        <w:kinsoku/>
        <w:wordWrap/>
        <w:overflowPunct/>
        <w:topLinePunct w:val="0"/>
        <w:autoSpaceDE w:val="0"/>
        <w:autoSpaceDN w:val="0"/>
        <w:bidi w:val="0"/>
        <w:adjustRightInd w:val="0"/>
        <w:snapToGrid w:val="0"/>
        <w:spacing w:before="326" w:beforeLines="100" w:after="326" w:afterLines="100" w:line="240" w:lineRule="auto"/>
        <w:ind w:leftChars="0"/>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lang w:val="en-US" w:eastAsia="zh-CN"/>
        </w:rPr>
        <w:t>1.</w:t>
      </w:r>
      <w:r>
        <w:rPr>
          <w:rFonts w:hint="eastAsia" w:ascii="宋体" w:hAnsi="宋体" w:eastAsia="宋体" w:cs="宋体"/>
          <w:b/>
          <w:bCs/>
          <w:color w:val="auto"/>
          <w:spacing w:val="-4"/>
          <w:sz w:val="28"/>
          <w:szCs w:val="24"/>
          <w:highlight w:val="none"/>
        </w:rPr>
        <w:t>系统性能指标要求</w:t>
      </w:r>
    </w:p>
    <w:p w14:paraId="26FCFA69">
      <w:pPr>
        <w:pageBreakBefore w:val="0"/>
        <w:widowControl/>
        <w:shd w:val="clear"/>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zh-CN"/>
        </w:rPr>
        <w:t>相位：支持不小于64个相位</w:t>
      </w:r>
    </w:p>
    <w:p w14:paraId="471301D7">
      <w:pPr>
        <w:pageBreakBefore w:val="0"/>
        <w:widowControl/>
        <w:shd w:val="clear"/>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rPr>
        <w:t>灯控输出路数：不小于44路，最大可扩展至不小于55路</w:t>
      </w:r>
    </w:p>
    <w:p w14:paraId="076B5EC2">
      <w:pPr>
        <w:pageBreakBefore w:val="0"/>
        <w:widowControl/>
        <w:numPr>
          <w:ilvl w:val="0"/>
          <w:numId w:val="0"/>
        </w:numPr>
        <w:shd w:val="clear"/>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支持接入视频车检器并接收数据，可按固定间隔或信控周期获取每个车道的流量、平均车速、平均车头时距、时间占有率、排队长度数据；</w:t>
      </w:r>
    </w:p>
    <w:p w14:paraId="7CBA6F6C">
      <w:pPr>
        <w:pageBreakBefore w:val="0"/>
        <w:widowControl/>
        <w:numPr>
          <w:ilvl w:val="0"/>
          <w:numId w:val="0"/>
        </w:numPr>
        <w:shd w:val="clear"/>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支持无缆线绿波协调控制功能，支持公交车辆优先功能，可接入RFID设备并检测相应的公交车辆，支持自适应感应控制，支持同一时段表中环模式方案和相位阶段模式方案的切换，该功能下控制模式支持定周期控制、协调控制和感应控制。</w:t>
      </w:r>
    </w:p>
    <w:p w14:paraId="6B9B851C">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b/>
          <w:bCs w:val="0"/>
          <w:color w:val="auto"/>
          <w:spacing w:val="-4"/>
          <w:sz w:val="28"/>
          <w:szCs w:val="28"/>
          <w:highlight w:val="none"/>
        </w:rPr>
      </w:pPr>
      <w:r>
        <w:rPr>
          <w:rFonts w:hint="eastAsia" w:ascii="宋体" w:hAnsi="宋体" w:eastAsia="宋体" w:cs="宋体"/>
          <w:b/>
          <w:bCs w:val="0"/>
          <w:color w:val="auto"/>
          <w:spacing w:val="-4"/>
          <w:sz w:val="28"/>
          <w:szCs w:val="28"/>
          <w:highlight w:val="none"/>
        </w:rPr>
        <w:t>电子警察系统</w:t>
      </w:r>
    </w:p>
    <w:p w14:paraId="1857E38E">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b/>
          <w:bCs/>
          <w:color w:val="auto"/>
          <w:spacing w:val="-4"/>
          <w:highlight w:val="none"/>
        </w:rPr>
      </w:pPr>
      <w:bookmarkStart w:id="26" w:name="_Toc506113083"/>
      <w:bookmarkStart w:id="27" w:name="_Toc243821463"/>
      <w:r>
        <w:rPr>
          <w:rFonts w:hint="eastAsia" w:ascii="宋体" w:hAnsi="宋体" w:eastAsia="宋体" w:cs="宋体"/>
          <w:b/>
          <w:bCs/>
          <w:color w:val="auto"/>
          <w:spacing w:val="-4"/>
          <w:sz w:val="28"/>
          <w:szCs w:val="28"/>
          <w:highlight w:val="none"/>
        </w:rPr>
        <w:t>系统功能</w:t>
      </w:r>
      <w:bookmarkEnd w:id="26"/>
      <w:bookmarkEnd w:id="27"/>
      <w:r>
        <w:rPr>
          <w:rFonts w:hint="eastAsia" w:ascii="宋体" w:hAnsi="宋体" w:eastAsia="宋体" w:cs="宋体"/>
          <w:b/>
          <w:bCs/>
          <w:color w:val="auto"/>
          <w:spacing w:val="-4"/>
          <w:sz w:val="28"/>
          <w:szCs w:val="28"/>
          <w:highlight w:val="none"/>
        </w:rPr>
        <w:t>要</w:t>
      </w:r>
      <w:r>
        <w:rPr>
          <w:rFonts w:hint="eastAsia" w:ascii="宋体" w:hAnsi="宋体" w:eastAsia="宋体" w:cs="宋体"/>
          <w:b/>
          <w:bCs/>
          <w:color w:val="auto"/>
          <w:spacing w:val="-4"/>
          <w:highlight w:val="none"/>
        </w:rPr>
        <w:t>求</w:t>
      </w:r>
    </w:p>
    <w:p w14:paraId="2A748767">
      <w:pPr>
        <w:pStyle w:val="4"/>
        <w:pageBreakBefore w:val="0"/>
        <w:widowControl/>
        <w:numPr>
          <w:ilvl w:val="3"/>
          <w:numId w:val="0"/>
        </w:numPr>
        <w:shd w:val="clear"/>
        <w:tabs>
          <w:tab w:val="left" w:pos="425"/>
        </w:tabs>
        <w:kinsoku/>
        <w:wordWrap/>
        <w:overflowPunct/>
        <w:topLinePunct w:val="0"/>
        <w:autoSpaceDE w:val="0"/>
        <w:autoSpaceDN w:val="0"/>
        <w:bidi w:val="0"/>
        <w:adjustRightInd w:val="0"/>
        <w:snapToGrid w:val="0"/>
        <w:spacing w:before="20" w:after="326" w:afterLines="100" w:line="240" w:lineRule="auto"/>
        <w:ind w:leftChars="0"/>
        <w:textAlignment w:val="baseline"/>
        <w:rPr>
          <w:rFonts w:hint="eastAsia" w:ascii="宋体" w:hAnsi="宋体" w:eastAsia="宋体" w:cs="宋体"/>
          <w:b/>
          <w:bCs/>
          <w:color w:val="auto"/>
          <w:spacing w:val="-4"/>
          <w:highlight w:val="none"/>
        </w:rPr>
      </w:pPr>
      <w:r>
        <w:rPr>
          <w:rFonts w:hint="eastAsia" w:ascii="宋体" w:hAnsi="宋体" w:eastAsia="宋体" w:cs="宋体"/>
          <w:b/>
          <w:bCs/>
          <w:color w:val="auto"/>
          <w:spacing w:val="-4"/>
          <w:sz w:val="28"/>
          <w:szCs w:val="24"/>
          <w:highlight w:val="none"/>
          <w:lang w:val="en-US" w:eastAsia="zh-CN"/>
        </w:rPr>
        <w:t>1.</w:t>
      </w:r>
      <w:r>
        <w:rPr>
          <w:rFonts w:hint="eastAsia" w:ascii="宋体" w:hAnsi="宋体" w:eastAsia="宋体" w:cs="宋体"/>
          <w:b/>
          <w:bCs/>
          <w:color w:val="auto"/>
          <w:spacing w:val="-4"/>
          <w:highlight w:val="none"/>
        </w:rPr>
        <w:t>系统功能要求</w:t>
      </w:r>
    </w:p>
    <w:p w14:paraId="243A5ECE">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28" w:name="_Toc43415878"/>
      <w:bookmarkStart w:id="29" w:name="_Toc303185581"/>
      <w:bookmarkStart w:id="30" w:name="_Toc438629083"/>
      <w:bookmarkStart w:id="31" w:name="_Toc187415948"/>
      <w:bookmarkStart w:id="32" w:name="_Toc161750932"/>
      <w:bookmarkStart w:id="33" w:name="_Toc413676221"/>
      <w:r>
        <w:rPr>
          <w:rFonts w:hint="eastAsia" w:ascii="宋体" w:hAnsi="宋体" w:eastAsia="宋体" w:cs="宋体"/>
          <w:b/>
          <w:bCs/>
          <w:color w:val="auto"/>
          <w:sz w:val="24"/>
          <w:szCs w:val="24"/>
          <w:highlight w:val="none"/>
        </w:rPr>
        <w:t>闯红灯违法抓拍功能</w:t>
      </w:r>
      <w:bookmarkEnd w:id="28"/>
      <w:bookmarkEnd w:id="29"/>
      <w:bookmarkEnd w:id="30"/>
      <w:bookmarkEnd w:id="31"/>
      <w:bookmarkEnd w:id="32"/>
      <w:bookmarkEnd w:id="33"/>
    </w:p>
    <w:p w14:paraId="563C04F9">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可以实现对单方向各车道闯红灯车辆的监测、图像抓拍等功能。每一违法记录拍摄连续3张反映闯红灯过程的图片，其中第一个位置的图片反映机动车未到达停止线的情况，并能清晰辨别车辆类型、交通信号灯红灯、停止线；第二个位置的图片反映机动车已越过停止线的情况，并能清晰辨别车辆类型、号牌号码、交通信号灯红灯、停止线；第三个位置的图片反映机动车越过停止线继续前行的情况，并能清晰辨别车辆类型、交通信号灯红灯、停止线。</w:t>
      </w:r>
    </w:p>
    <w:p w14:paraId="073B1ED2">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34" w:name="_Toc302462022"/>
      <w:bookmarkEnd w:id="34"/>
      <w:bookmarkStart w:id="35" w:name="_Toc302649233"/>
      <w:bookmarkEnd w:id="35"/>
      <w:bookmarkStart w:id="36" w:name="_Toc302462023"/>
      <w:bookmarkEnd w:id="36"/>
      <w:bookmarkStart w:id="37" w:name="_Toc302649232"/>
      <w:bookmarkEnd w:id="37"/>
      <w:bookmarkStart w:id="38" w:name="_Toc43415879"/>
      <w:bookmarkStart w:id="39" w:name="_Toc187415949"/>
      <w:bookmarkStart w:id="40" w:name="_Toc303185582"/>
      <w:bookmarkStart w:id="41" w:name="_Toc413676222"/>
      <w:bookmarkStart w:id="42" w:name="_Toc303027247"/>
      <w:bookmarkStart w:id="43" w:name="_Toc161750933"/>
      <w:bookmarkStart w:id="44" w:name="_Toc438629084"/>
      <w:r>
        <w:rPr>
          <w:rFonts w:hint="eastAsia" w:ascii="宋体" w:hAnsi="宋体" w:eastAsia="宋体" w:cs="宋体"/>
          <w:b/>
          <w:bCs/>
          <w:color w:val="auto"/>
          <w:sz w:val="24"/>
          <w:szCs w:val="24"/>
          <w:highlight w:val="none"/>
        </w:rPr>
        <w:t>卡口监测记录功能</w:t>
      </w:r>
      <w:bookmarkEnd w:id="38"/>
      <w:bookmarkEnd w:id="39"/>
      <w:bookmarkEnd w:id="40"/>
      <w:bookmarkEnd w:id="41"/>
      <w:bookmarkEnd w:id="42"/>
      <w:bookmarkEnd w:id="43"/>
      <w:bookmarkEnd w:id="44"/>
    </w:p>
    <w:p w14:paraId="34A6EB0F">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能够准确捕获、记录车辆通行信息（车辆尾部的图片），对通过车辆的捕获率不小于99%。记录的车辆信息除包含图像信息外，还包括文本信息，如日期、时间（精确到秒）、地点、方向、号牌号码等。车辆信息写入关联数据库，并将相关文本信息叠加到图片上。</w:t>
      </w:r>
    </w:p>
    <w:p w14:paraId="10A22649">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45" w:name="_Toc413676223"/>
      <w:bookmarkStart w:id="46" w:name="_Toc43415880"/>
      <w:bookmarkStart w:id="47" w:name="_Toc187415950"/>
      <w:bookmarkStart w:id="48" w:name="_Toc161750934"/>
      <w:bookmarkStart w:id="49" w:name="_Toc303185583"/>
      <w:bookmarkStart w:id="50" w:name="_Toc438629085"/>
      <w:r>
        <w:rPr>
          <w:rFonts w:hint="eastAsia" w:ascii="宋体" w:hAnsi="宋体" w:eastAsia="宋体" w:cs="宋体"/>
          <w:b/>
          <w:bCs/>
          <w:color w:val="auto"/>
          <w:sz w:val="24"/>
          <w:szCs w:val="24"/>
          <w:highlight w:val="none"/>
        </w:rPr>
        <w:t>其他交通违法行为记录功能</w:t>
      </w:r>
      <w:bookmarkEnd w:id="45"/>
      <w:bookmarkEnd w:id="46"/>
      <w:bookmarkEnd w:id="47"/>
      <w:bookmarkEnd w:id="48"/>
      <w:bookmarkEnd w:id="49"/>
      <w:bookmarkEnd w:id="50"/>
    </w:p>
    <w:p w14:paraId="3EB06A97">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系统在路口电子警察设备可检测的范围条件允许的情况内，还具有以下其它违法行为记录功能：</w:t>
      </w:r>
    </w:p>
    <w:p w14:paraId="0E17C81F">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不按所需行进方向驶入导向车道记录</w:t>
      </w:r>
    </w:p>
    <w:p w14:paraId="504809AE">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逆行记录</w:t>
      </w:r>
    </w:p>
    <w:p w14:paraId="3B54EAF8">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不按规定车道行驶记录</w:t>
      </w:r>
    </w:p>
    <w:p w14:paraId="0B08FD82">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压线/变道记录</w:t>
      </w:r>
    </w:p>
    <w:p w14:paraId="44A0BD0C">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路口停车记录</w:t>
      </w:r>
    </w:p>
    <w:p w14:paraId="5BED6E5D">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机占非记录</w:t>
      </w:r>
    </w:p>
    <w:p w14:paraId="62C88BDC">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bookmarkStart w:id="51" w:name="_Toc414006390"/>
      <w:bookmarkEnd w:id="51"/>
      <w:bookmarkStart w:id="52" w:name="_Toc303027248"/>
      <w:bookmarkStart w:id="53" w:name="_Toc161750935"/>
      <w:bookmarkStart w:id="54" w:name="_Toc43415881"/>
      <w:bookmarkStart w:id="55" w:name="_Toc187415951"/>
      <w:bookmarkStart w:id="56" w:name="_Toc438629088"/>
      <w:bookmarkStart w:id="57" w:name="_Toc303185584"/>
      <w:bookmarkStart w:id="58" w:name="_Toc413676225"/>
      <w:r>
        <w:rPr>
          <w:rFonts w:hint="eastAsia" w:ascii="宋体" w:hAnsi="宋体" w:eastAsia="宋体" w:cs="宋体"/>
          <w:color w:val="auto"/>
          <w:sz w:val="24"/>
          <w:highlight w:val="none"/>
        </w:rPr>
        <w:t>车辆牌照自动识别功能</w:t>
      </w:r>
      <w:bookmarkEnd w:id="52"/>
      <w:bookmarkEnd w:id="53"/>
      <w:bookmarkEnd w:id="54"/>
      <w:bookmarkEnd w:id="55"/>
      <w:bookmarkEnd w:id="56"/>
      <w:bookmarkEnd w:id="57"/>
      <w:bookmarkEnd w:id="58"/>
    </w:p>
    <w:p w14:paraId="17D904AC">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系统可自动对车辆牌照进行识别，包括车牌号码、车牌颜色的识别。</w:t>
      </w:r>
    </w:p>
    <w:p w14:paraId="18C5690D">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1）车牌号码自动识别</w:t>
      </w:r>
    </w:p>
    <w:p w14:paraId="646D5B68">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系统具备对符合“GA36-2014”标准的民用车牌、警用车牌、使领馆车牌的号牌自动识别能力，并且具备对2012式军车号牌、2012式武警部队号牌、新能源车牌的自动识别能力，所能识别的字符包括：</w:t>
      </w:r>
    </w:p>
    <w:tbl>
      <w:tblPr>
        <w:tblStyle w:val="11"/>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6146"/>
      </w:tblGrid>
      <w:tr w14:paraId="14C60F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94" w:type="pct"/>
            <w:noWrap w:val="0"/>
            <w:vAlign w:val="center"/>
          </w:tcPr>
          <w:p w14:paraId="5ACA553D">
            <w:pPr>
              <w:pStyle w:val="16"/>
              <w:pageBreakBefore w:val="0"/>
              <w:widowControl/>
              <w:shd w:val="clear"/>
              <w:kinsoku/>
              <w:wordWrap/>
              <w:overflowPunct/>
              <w:topLinePunct w:val="0"/>
              <w:autoSpaceDE w:val="0"/>
              <w:autoSpaceDN w:val="0"/>
              <w:bidi w:val="0"/>
              <w:adjustRightInd w:val="0"/>
              <w:snapToGrid w:val="0"/>
              <w:spacing w:before="163" w:after="163" w:line="360" w:lineRule="auto"/>
              <w:ind w:firstLine="440"/>
              <w:rPr>
                <w:rFonts w:hint="eastAsia" w:ascii="宋体" w:hAnsi="宋体" w:eastAsia="宋体" w:cs="宋体"/>
                <w:color w:val="auto"/>
                <w:highlight w:val="none"/>
              </w:rPr>
            </w:pPr>
            <w:r>
              <w:rPr>
                <w:rFonts w:hint="eastAsia" w:ascii="宋体" w:hAnsi="宋体" w:eastAsia="宋体" w:cs="宋体"/>
                <w:color w:val="auto"/>
                <w:highlight w:val="none"/>
              </w:rPr>
              <w:t>阿拉伯数字</w:t>
            </w:r>
          </w:p>
        </w:tc>
        <w:tc>
          <w:tcPr>
            <w:tcW w:w="3606" w:type="pct"/>
            <w:noWrap w:val="0"/>
            <w:vAlign w:val="center"/>
          </w:tcPr>
          <w:p w14:paraId="112691D9">
            <w:pPr>
              <w:pStyle w:val="16"/>
              <w:pageBreakBefore w:val="0"/>
              <w:widowControl/>
              <w:shd w:val="clear"/>
              <w:kinsoku/>
              <w:wordWrap/>
              <w:overflowPunct/>
              <w:topLinePunct w:val="0"/>
              <w:autoSpaceDE w:val="0"/>
              <w:autoSpaceDN w:val="0"/>
              <w:bidi w:val="0"/>
              <w:adjustRightInd w:val="0"/>
              <w:snapToGrid w:val="0"/>
              <w:spacing w:before="163" w:after="163" w:line="360" w:lineRule="auto"/>
              <w:ind w:firstLine="440"/>
              <w:rPr>
                <w:rFonts w:hint="eastAsia" w:ascii="宋体" w:hAnsi="宋体" w:eastAsia="宋体" w:cs="宋体"/>
                <w:color w:val="auto"/>
                <w:highlight w:val="none"/>
              </w:rPr>
            </w:pPr>
            <w:r>
              <w:rPr>
                <w:rFonts w:hint="eastAsia" w:ascii="宋体" w:hAnsi="宋体" w:eastAsia="宋体" w:cs="宋体"/>
                <w:color w:val="auto"/>
                <w:highlight w:val="none"/>
              </w:rPr>
              <w:t>“0～9”十个</w:t>
            </w:r>
          </w:p>
        </w:tc>
      </w:tr>
      <w:tr w14:paraId="341C92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94" w:type="pct"/>
            <w:noWrap w:val="0"/>
            <w:vAlign w:val="center"/>
          </w:tcPr>
          <w:p w14:paraId="41730CBC">
            <w:pPr>
              <w:pStyle w:val="16"/>
              <w:pageBreakBefore w:val="0"/>
              <w:widowControl/>
              <w:shd w:val="clear"/>
              <w:kinsoku/>
              <w:wordWrap/>
              <w:overflowPunct/>
              <w:topLinePunct w:val="0"/>
              <w:autoSpaceDE w:val="0"/>
              <w:autoSpaceDN w:val="0"/>
              <w:bidi w:val="0"/>
              <w:adjustRightInd w:val="0"/>
              <w:snapToGrid w:val="0"/>
              <w:spacing w:before="163" w:after="163" w:line="360" w:lineRule="auto"/>
              <w:ind w:firstLine="440"/>
              <w:rPr>
                <w:rFonts w:hint="eastAsia" w:ascii="宋体" w:hAnsi="宋体" w:eastAsia="宋体" w:cs="宋体"/>
                <w:color w:val="auto"/>
                <w:highlight w:val="none"/>
              </w:rPr>
            </w:pPr>
            <w:r>
              <w:rPr>
                <w:rFonts w:hint="eastAsia" w:ascii="宋体" w:hAnsi="宋体" w:eastAsia="宋体" w:cs="宋体"/>
                <w:color w:val="auto"/>
                <w:highlight w:val="none"/>
              </w:rPr>
              <w:t>英文字母</w:t>
            </w:r>
          </w:p>
        </w:tc>
        <w:tc>
          <w:tcPr>
            <w:tcW w:w="3606" w:type="pct"/>
            <w:noWrap w:val="0"/>
            <w:vAlign w:val="center"/>
          </w:tcPr>
          <w:p w14:paraId="3ACFB790">
            <w:pPr>
              <w:pStyle w:val="16"/>
              <w:pageBreakBefore w:val="0"/>
              <w:widowControl/>
              <w:shd w:val="clear"/>
              <w:kinsoku/>
              <w:wordWrap/>
              <w:overflowPunct/>
              <w:topLinePunct w:val="0"/>
              <w:autoSpaceDE w:val="0"/>
              <w:autoSpaceDN w:val="0"/>
              <w:bidi w:val="0"/>
              <w:adjustRightInd w:val="0"/>
              <w:snapToGrid w:val="0"/>
              <w:spacing w:before="163" w:after="163" w:line="360" w:lineRule="auto"/>
              <w:ind w:firstLine="440"/>
              <w:rPr>
                <w:rFonts w:hint="eastAsia" w:ascii="宋体" w:hAnsi="宋体" w:eastAsia="宋体" w:cs="宋体"/>
                <w:color w:val="auto"/>
                <w:highlight w:val="none"/>
              </w:rPr>
            </w:pPr>
            <w:r>
              <w:rPr>
                <w:rFonts w:hint="eastAsia" w:ascii="宋体" w:hAnsi="宋体" w:eastAsia="宋体" w:cs="宋体"/>
                <w:color w:val="auto"/>
                <w:highlight w:val="none"/>
              </w:rPr>
              <w:t>“A～Z”二十六个</w:t>
            </w:r>
          </w:p>
        </w:tc>
      </w:tr>
      <w:tr w14:paraId="2B5D6F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94" w:type="pct"/>
            <w:noWrap w:val="0"/>
            <w:vAlign w:val="center"/>
          </w:tcPr>
          <w:p w14:paraId="1FF7CD64">
            <w:pPr>
              <w:pStyle w:val="16"/>
              <w:pageBreakBefore w:val="0"/>
              <w:widowControl/>
              <w:shd w:val="clear"/>
              <w:kinsoku/>
              <w:wordWrap/>
              <w:overflowPunct/>
              <w:topLinePunct w:val="0"/>
              <w:autoSpaceDE w:val="0"/>
              <w:autoSpaceDN w:val="0"/>
              <w:bidi w:val="0"/>
              <w:adjustRightInd w:val="0"/>
              <w:snapToGrid w:val="0"/>
              <w:spacing w:before="163" w:after="163" w:line="360" w:lineRule="auto"/>
              <w:ind w:firstLine="440"/>
              <w:rPr>
                <w:rFonts w:hint="eastAsia" w:ascii="宋体" w:hAnsi="宋体" w:eastAsia="宋体" w:cs="宋体"/>
                <w:color w:val="auto"/>
                <w:highlight w:val="none"/>
              </w:rPr>
            </w:pPr>
            <w:r>
              <w:rPr>
                <w:rFonts w:hint="eastAsia" w:ascii="宋体" w:hAnsi="宋体" w:eastAsia="宋体" w:cs="宋体"/>
                <w:color w:val="auto"/>
                <w:highlight w:val="none"/>
              </w:rPr>
              <w:t>省、自治区、直辖市简称用汉字</w:t>
            </w:r>
          </w:p>
        </w:tc>
        <w:tc>
          <w:tcPr>
            <w:tcW w:w="3606" w:type="pct"/>
            <w:noWrap w:val="0"/>
            <w:vAlign w:val="center"/>
          </w:tcPr>
          <w:p w14:paraId="2A9F703E">
            <w:pPr>
              <w:pStyle w:val="16"/>
              <w:pageBreakBefore w:val="0"/>
              <w:widowControl/>
              <w:shd w:val="clear"/>
              <w:kinsoku/>
              <w:wordWrap/>
              <w:overflowPunct/>
              <w:topLinePunct w:val="0"/>
              <w:autoSpaceDE w:val="0"/>
              <w:autoSpaceDN w:val="0"/>
              <w:bidi w:val="0"/>
              <w:adjustRightInd w:val="0"/>
              <w:snapToGrid w:val="0"/>
              <w:spacing w:before="163" w:after="163" w:line="360" w:lineRule="auto"/>
              <w:ind w:firstLine="440"/>
              <w:rPr>
                <w:rFonts w:hint="eastAsia" w:ascii="宋体" w:hAnsi="宋体" w:eastAsia="宋体" w:cs="宋体"/>
                <w:color w:val="auto"/>
                <w:highlight w:val="none"/>
              </w:rPr>
            </w:pPr>
            <w:r>
              <w:rPr>
                <w:rFonts w:hint="eastAsia" w:ascii="宋体" w:hAnsi="宋体" w:eastAsia="宋体" w:cs="宋体"/>
                <w:color w:val="auto"/>
                <w:highlight w:val="none"/>
              </w:rPr>
              <w:t>京、津、晋、冀、蒙、辽、吉、黑、沪、苏、浙、皖、闽、赣、鲁、豫、鄂、湘、粤、桂、琼、川、贵、云、藏、陕、甘、青、宁、新、渝</w:t>
            </w:r>
          </w:p>
        </w:tc>
      </w:tr>
      <w:tr w14:paraId="2B7000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94" w:type="pct"/>
            <w:noWrap w:val="0"/>
            <w:vAlign w:val="center"/>
          </w:tcPr>
          <w:p w14:paraId="6583B8C1">
            <w:pPr>
              <w:pStyle w:val="16"/>
              <w:pageBreakBefore w:val="0"/>
              <w:widowControl/>
              <w:shd w:val="clear"/>
              <w:kinsoku/>
              <w:wordWrap/>
              <w:overflowPunct/>
              <w:topLinePunct w:val="0"/>
              <w:autoSpaceDE w:val="0"/>
              <w:autoSpaceDN w:val="0"/>
              <w:bidi w:val="0"/>
              <w:adjustRightInd w:val="0"/>
              <w:snapToGrid w:val="0"/>
              <w:spacing w:before="163" w:after="163" w:line="360" w:lineRule="auto"/>
              <w:ind w:firstLine="440"/>
              <w:rPr>
                <w:rFonts w:hint="eastAsia" w:ascii="宋体" w:hAnsi="宋体" w:eastAsia="宋体" w:cs="宋体"/>
                <w:color w:val="auto"/>
                <w:highlight w:val="none"/>
              </w:rPr>
            </w:pPr>
            <w:r>
              <w:rPr>
                <w:rFonts w:hint="eastAsia" w:ascii="宋体" w:hAnsi="宋体" w:eastAsia="宋体" w:cs="宋体"/>
                <w:color w:val="auto"/>
                <w:highlight w:val="none"/>
              </w:rPr>
              <w:t>专用号牌简称用汉字</w:t>
            </w:r>
          </w:p>
        </w:tc>
        <w:tc>
          <w:tcPr>
            <w:tcW w:w="3606" w:type="pct"/>
            <w:noWrap w:val="0"/>
            <w:vAlign w:val="center"/>
          </w:tcPr>
          <w:p w14:paraId="33A8BC90">
            <w:pPr>
              <w:pStyle w:val="16"/>
              <w:pageBreakBefore w:val="0"/>
              <w:widowControl/>
              <w:shd w:val="clear"/>
              <w:kinsoku/>
              <w:wordWrap/>
              <w:overflowPunct/>
              <w:topLinePunct w:val="0"/>
              <w:autoSpaceDE w:val="0"/>
              <w:autoSpaceDN w:val="0"/>
              <w:bidi w:val="0"/>
              <w:adjustRightInd w:val="0"/>
              <w:snapToGrid w:val="0"/>
              <w:spacing w:before="163" w:after="163" w:line="360" w:lineRule="auto"/>
              <w:ind w:firstLine="440"/>
              <w:rPr>
                <w:rFonts w:hint="eastAsia" w:ascii="宋体" w:hAnsi="宋体" w:eastAsia="宋体" w:cs="宋体"/>
                <w:color w:val="auto"/>
                <w:highlight w:val="none"/>
              </w:rPr>
            </w:pPr>
            <w:r>
              <w:rPr>
                <w:rFonts w:hint="eastAsia" w:ascii="宋体" w:hAnsi="宋体" w:eastAsia="宋体" w:cs="宋体"/>
                <w:color w:val="auto"/>
                <w:highlight w:val="none"/>
              </w:rPr>
              <w:t>领、使、警、学、挂、港、澳、试、超</w:t>
            </w:r>
          </w:p>
        </w:tc>
      </w:tr>
      <w:tr w14:paraId="1781B6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94" w:type="pct"/>
            <w:noWrap w:val="0"/>
            <w:vAlign w:val="center"/>
          </w:tcPr>
          <w:p w14:paraId="45B8164F">
            <w:pPr>
              <w:pStyle w:val="16"/>
              <w:pageBreakBefore w:val="0"/>
              <w:widowControl/>
              <w:shd w:val="clear"/>
              <w:kinsoku/>
              <w:wordWrap/>
              <w:overflowPunct/>
              <w:topLinePunct w:val="0"/>
              <w:autoSpaceDE w:val="0"/>
              <w:autoSpaceDN w:val="0"/>
              <w:bidi w:val="0"/>
              <w:adjustRightInd w:val="0"/>
              <w:snapToGrid w:val="0"/>
              <w:spacing w:before="163" w:after="163" w:line="360" w:lineRule="auto"/>
              <w:ind w:firstLine="440"/>
              <w:rPr>
                <w:rFonts w:hint="eastAsia" w:ascii="宋体" w:hAnsi="宋体" w:eastAsia="宋体" w:cs="宋体"/>
                <w:color w:val="auto"/>
                <w:highlight w:val="none"/>
              </w:rPr>
            </w:pPr>
            <w:r>
              <w:rPr>
                <w:rFonts w:hint="eastAsia" w:ascii="宋体" w:hAnsi="宋体" w:eastAsia="宋体" w:cs="宋体"/>
                <w:color w:val="auto"/>
                <w:highlight w:val="none"/>
              </w:rPr>
              <w:t>12式武警号牌字符</w:t>
            </w:r>
          </w:p>
        </w:tc>
        <w:tc>
          <w:tcPr>
            <w:tcW w:w="3606" w:type="pct"/>
            <w:noWrap w:val="0"/>
            <w:vAlign w:val="center"/>
          </w:tcPr>
          <w:p w14:paraId="69FB54B9">
            <w:pPr>
              <w:pStyle w:val="16"/>
              <w:pageBreakBefore w:val="0"/>
              <w:widowControl/>
              <w:shd w:val="clear"/>
              <w:kinsoku/>
              <w:wordWrap/>
              <w:overflowPunct/>
              <w:topLinePunct w:val="0"/>
              <w:autoSpaceDE w:val="0"/>
              <w:autoSpaceDN w:val="0"/>
              <w:bidi w:val="0"/>
              <w:adjustRightInd w:val="0"/>
              <w:snapToGrid w:val="0"/>
              <w:spacing w:before="163" w:after="163" w:line="360" w:lineRule="auto"/>
              <w:ind w:firstLine="440"/>
              <w:rPr>
                <w:rFonts w:hint="eastAsia" w:ascii="宋体" w:hAnsi="宋体" w:eastAsia="宋体" w:cs="宋体"/>
                <w:color w:val="auto"/>
                <w:highlight w:val="none"/>
              </w:rPr>
            </w:pPr>
            <w:r>
              <w:rPr>
                <w:rFonts w:hint="eastAsia" w:ascii="宋体" w:hAnsi="宋体" w:eastAsia="宋体" w:cs="宋体"/>
                <w:color w:val="auto"/>
                <w:highlight w:val="none"/>
              </w:rPr>
              <w:t>WJ样式的字母、省份简称汉字、警种字母（X、B、T、S、H、J、D）、数字</w:t>
            </w:r>
          </w:p>
        </w:tc>
      </w:tr>
      <w:tr w14:paraId="60D3B1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94" w:type="pct"/>
            <w:noWrap w:val="0"/>
            <w:vAlign w:val="center"/>
          </w:tcPr>
          <w:p w14:paraId="208581DE">
            <w:pPr>
              <w:pStyle w:val="16"/>
              <w:pageBreakBefore w:val="0"/>
              <w:widowControl/>
              <w:shd w:val="clear"/>
              <w:kinsoku/>
              <w:wordWrap/>
              <w:overflowPunct/>
              <w:topLinePunct w:val="0"/>
              <w:autoSpaceDE w:val="0"/>
              <w:autoSpaceDN w:val="0"/>
              <w:bidi w:val="0"/>
              <w:adjustRightInd w:val="0"/>
              <w:snapToGrid w:val="0"/>
              <w:spacing w:before="163" w:after="163" w:line="360" w:lineRule="auto"/>
              <w:ind w:firstLine="440"/>
              <w:rPr>
                <w:rFonts w:hint="eastAsia" w:ascii="宋体" w:hAnsi="宋体" w:eastAsia="宋体" w:cs="宋体"/>
                <w:color w:val="auto"/>
                <w:highlight w:val="none"/>
              </w:rPr>
            </w:pPr>
            <w:r>
              <w:rPr>
                <w:rFonts w:hint="eastAsia" w:ascii="宋体" w:hAnsi="宋体" w:eastAsia="宋体" w:cs="宋体"/>
                <w:color w:val="auto"/>
                <w:highlight w:val="none"/>
              </w:rPr>
              <w:t>12式军车号牌字符</w:t>
            </w:r>
          </w:p>
        </w:tc>
        <w:tc>
          <w:tcPr>
            <w:tcW w:w="3606" w:type="pct"/>
            <w:noWrap w:val="0"/>
            <w:vAlign w:val="center"/>
          </w:tcPr>
          <w:p w14:paraId="3479776D">
            <w:pPr>
              <w:pStyle w:val="16"/>
              <w:pageBreakBefore w:val="0"/>
              <w:widowControl/>
              <w:shd w:val="clear"/>
              <w:kinsoku/>
              <w:wordWrap/>
              <w:overflowPunct/>
              <w:topLinePunct w:val="0"/>
              <w:autoSpaceDE w:val="0"/>
              <w:autoSpaceDN w:val="0"/>
              <w:bidi w:val="0"/>
              <w:adjustRightInd w:val="0"/>
              <w:snapToGrid w:val="0"/>
              <w:spacing w:before="163" w:after="163" w:line="360" w:lineRule="auto"/>
              <w:ind w:firstLine="440"/>
              <w:rPr>
                <w:rFonts w:hint="eastAsia" w:ascii="宋体" w:hAnsi="宋体" w:eastAsia="宋体" w:cs="宋体"/>
                <w:color w:val="auto"/>
                <w:highlight w:val="none"/>
              </w:rPr>
            </w:pPr>
            <w:r>
              <w:rPr>
                <w:rFonts w:hint="eastAsia" w:ascii="宋体" w:hAnsi="宋体" w:eastAsia="宋体" w:cs="宋体"/>
                <w:color w:val="auto"/>
                <w:highlight w:val="none"/>
              </w:rPr>
              <w:t>各军区/各军兵种部拼音缩写字母、各军区/各军兵种部下辖各部属机构拼音缩写字母、数字</w:t>
            </w:r>
          </w:p>
        </w:tc>
      </w:tr>
      <w:tr w14:paraId="74E23A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94" w:type="pct"/>
            <w:noWrap w:val="0"/>
            <w:vAlign w:val="center"/>
          </w:tcPr>
          <w:p w14:paraId="2B072D62">
            <w:pPr>
              <w:pStyle w:val="16"/>
              <w:pageBreakBefore w:val="0"/>
              <w:widowControl/>
              <w:shd w:val="clear"/>
              <w:kinsoku/>
              <w:wordWrap/>
              <w:overflowPunct/>
              <w:topLinePunct w:val="0"/>
              <w:autoSpaceDE w:val="0"/>
              <w:autoSpaceDN w:val="0"/>
              <w:bidi w:val="0"/>
              <w:adjustRightInd w:val="0"/>
              <w:snapToGrid w:val="0"/>
              <w:spacing w:before="163" w:after="163" w:line="360" w:lineRule="auto"/>
              <w:ind w:firstLine="440"/>
              <w:rPr>
                <w:rFonts w:hint="eastAsia" w:ascii="宋体" w:hAnsi="宋体" w:eastAsia="宋体" w:cs="宋体"/>
                <w:color w:val="auto"/>
                <w:highlight w:val="none"/>
              </w:rPr>
            </w:pPr>
            <w:r>
              <w:rPr>
                <w:rFonts w:hint="eastAsia" w:ascii="宋体" w:hAnsi="宋体" w:eastAsia="宋体" w:cs="宋体"/>
                <w:color w:val="auto"/>
                <w:highlight w:val="none"/>
              </w:rPr>
              <w:t>新能原车牌</w:t>
            </w:r>
          </w:p>
        </w:tc>
        <w:tc>
          <w:tcPr>
            <w:tcW w:w="3606" w:type="pct"/>
            <w:noWrap w:val="0"/>
            <w:vAlign w:val="center"/>
          </w:tcPr>
          <w:p w14:paraId="2FA810D9">
            <w:pPr>
              <w:pStyle w:val="16"/>
              <w:pageBreakBefore w:val="0"/>
              <w:widowControl/>
              <w:shd w:val="clear"/>
              <w:kinsoku/>
              <w:wordWrap/>
              <w:overflowPunct/>
              <w:topLinePunct w:val="0"/>
              <w:autoSpaceDE w:val="0"/>
              <w:autoSpaceDN w:val="0"/>
              <w:bidi w:val="0"/>
              <w:adjustRightInd w:val="0"/>
              <w:snapToGrid w:val="0"/>
              <w:spacing w:before="163" w:after="163" w:line="360" w:lineRule="auto"/>
              <w:ind w:firstLine="440"/>
              <w:rPr>
                <w:rFonts w:hint="eastAsia" w:ascii="宋体" w:hAnsi="宋体" w:eastAsia="宋体" w:cs="宋体"/>
                <w:color w:val="auto"/>
                <w:highlight w:val="none"/>
              </w:rPr>
            </w:pPr>
            <w:r>
              <w:rPr>
                <w:rFonts w:hint="eastAsia" w:ascii="宋体" w:hAnsi="宋体" w:eastAsia="宋体" w:cs="宋体"/>
                <w:color w:val="auto"/>
                <w:highlight w:val="none"/>
              </w:rPr>
              <w:t>绿底色的新能源车牌</w:t>
            </w:r>
          </w:p>
        </w:tc>
      </w:tr>
    </w:tbl>
    <w:p w14:paraId="60DFC2A3">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2）车牌颜色自动识别</w:t>
      </w:r>
    </w:p>
    <w:p w14:paraId="15383302">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snapToGrid w:val="0"/>
          <w:color w:val="auto"/>
          <w:sz w:val="24"/>
          <w:szCs w:val="24"/>
          <w:highlight w:val="none"/>
        </w:rPr>
        <w:t>系统能识别黑、白、蓝、黄、绿五种车牌颜色</w:t>
      </w:r>
      <w:r>
        <w:rPr>
          <w:rFonts w:hint="eastAsia" w:ascii="宋体" w:hAnsi="宋体" w:eastAsia="宋体" w:cs="宋体"/>
          <w:b/>
          <w:bCs/>
          <w:color w:val="auto"/>
          <w:sz w:val="24"/>
          <w:szCs w:val="24"/>
          <w:highlight w:val="none"/>
        </w:rPr>
        <w:t>。</w:t>
      </w:r>
    </w:p>
    <w:p w14:paraId="38990B2A">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59" w:name="_Toc187415952"/>
      <w:bookmarkStart w:id="60" w:name="_Toc43415882"/>
      <w:bookmarkStart w:id="61" w:name="_Toc161750936"/>
      <w:bookmarkStart w:id="62" w:name="_Toc438629089"/>
      <w:bookmarkStart w:id="63" w:name="_Toc413676226"/>
      <w:bookmarkStart w:id="64" w:name="_Toc303185585"/>
      <w:bookmarkStart w:id="65" w:name="_Toc303027249"/>
      <w:r>
        <w:rPr>
          <w:rFonts w:hint="eastAsia" w:ascii="宋体" w:hAnsi="宋体" w:eastAsia="宋体" w:cs="宋体"/>
          <w:b/>
          <w:bCs/>
          <w:color w:val="auto"/>
          <w:sz w:val="24"/>
          <w:szCs w:val="24"/>
          <w:highlight w:val="none"/>
        </w:rPr>
        <w:t>背向车型识别功能</w:t>
      </w:r>
      <w:bookmarkEnd w:id="59"/>
      <w:bookmarkEnd w:id="60"/>
      <w:bookmarkEnd w:id="61"/>
      <w:bookmarkEnd w:id="62"/>
    </w:p>
    <w:p w14:paraId="33834C20">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系统采用车牌颜色和视频检测技术结合的方法对车辆类型进行判别，可对12种车型进行识别（SUV、MVP、轿车(包括A级及以上车型)、小型轿车、微型轿车、面包车、皮卡车、小型货车(包括微卡、轻卡及中卡)、大型货车、小型客车、大型客车、油罐车）。</w:t>
      </w:r>
    </w:p>
    <w:p w14:paraId="24203D0C">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66" w:name="_Toc43415883"/>
      <w:bookmarkStart w:id="67" w:name="_Toc187415953"/>
      <w:bookmarkStart w:id="68" w:name="_Toc438629090"/>
      <w:bookmarkStart w:id="69" w:name="_Toc161750937"/>
      <w:r>
        <w:rPr>
          <w:rFonts w:hint="eastAsia" w:ascii="宋体" w:hAnsi="宋体" w:eastAsia="宋体" w:cs="宋体"/>
          <w:b/>
          <w:bCs/>
          <w:color w:val="auto"/>
          <w:sz w:val="24"/>
          <w:szCs w:val="24"/>
          <w:highlight w:val="none"/>
        </w:rPr>
        <w:t>智能补光功能</w:t>
      </w:r>
      <w:bookmarkEnd w:id="63"/>
      <w:bookmarkEnd w:id="64"/>
      <w:bookmarkEnd w:id="66"/>
      <w:bookmarkEnd w:id="67"/>
      <w:bookmarkEnd w:id="68"/>
      <w:bookmarkEnd w:id="69"/>
    </w:p>
    <w:p w14:paraId="0435ED01">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系统前端设备能根据光线的变化或时间的控制自动改变摄像设备的工作参数，自动打开或关闭补光设备，确保记录图片的清晰。</w:t>
      </w:r>
    </w:p>
    <w:p w14:paraId="639C6B05">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电警补光灯采用频闪技术，与摄像机采集频率完全匹配，在达到最大补光效果的同时降低灯光对周围环境的影响，不会对驾驶人造成直接强光刺激。</w:t>
      </w:r>
    </w:p>
    <w:bookmarkEnd w:id="65"/>
    <w:p w14:paraId="5AA55D91">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70" w:name="_Toc43415884"/>
      <w:bookmarkStart w:id="71" w:name="_Toc303185586"/>
      <w:bookmarkStart w:id="72" w:name="_Toc438629091"/>
      <w:bookmarkStart w:id="73" w:name="_Toc187415954"/>
      <w:bookmarkStart w:id="74" w:name="_Toc161750938"/>
      <w:bookmarkStart w:id="75" w:name="_Toc413676227"/>
      <w:r>
        <w:rPr>
          <w:rFonts w:hint="eastAsia" w:ascii="宋体" w:hAnsi="宋体" w:eastAsia="宋体" w:cs="宋体"/>
          <w:b/>
          <w:bCs/>
          <w:color w:val="auto"/>
          <w:sz w:val="24"/>
          <w:szCs w:val="24"/>
          <w:highlight w:val="none"/>
        </w:rPr>
        <w:t>前端备份存储功能</w:t>
      </w:r>
      <w:bookmarkEnd w:id="70"/>
      <w:bookmarkEnd w:id="71"/>
      <w:bookmarkEnd w:id="72"/>
      <w:bookmarkEnd w:id="73"/>
      <w:bookmarkEnd w:id="74"/>
      <w:bookmarkEnd w:id="75"/>
    </w:p>
    <w:p w14:paraId="4CC90E7D">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系统采集的图片、视频可在设备前端做备份存储，按照数据存储时长的要求配置不同容量的硬盘。系统可根据预先的空间分配，优先保证足够的图片存储空间，保证核心数据不丢失。</w:t>
      </w:r>
    </w:p>
    <w:p w14:paraId="45E4588A">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76" w:name="_Toc438629092"/>
      <w:bookmarkStart w:id="77" w:name="_Toc161750939"/>
      <w:bookmarkStart w:id="78" w:name="_Toc303027251"/>
      <w:bookmarkStart w:id="79" w:name="_Toc303185587"/>
      <w:bookmarkStart w:id="80" w:name="_Toc43415885"/>
      <w:bookmarkStart w:id="81" w:name="_Toc413676228"/>
      <w:bookmarkStart w:id="82" w:name="_Toc187415955"/>
      <w:r>
        <w:rPr>
          <w:rFonts w:hint="eastAsia" w:ascii="宋体" w:hAnsi="宋体" w:eastAsia="宋体" w:cs="宋体"/>
          <w:b/>
          <w:bCs/>
          <w:color w:val="auto"/>
          <w:sz w:val="24"/>
          <w:szCs w:val="24"/>
          <w:highlight w:val="none"/>
        </w:rPr>
        <w:t>车辆稽查布控功能</w:t>
      </w:r>
      <w:bookmarkEnd w:id="76"/>
      <w:bookmarkEnd w:id="77"/>
      <w:bookmarkEnd w:id="78"/>
      <w:bookmarkEnd w:id="79"/>
      <w:bookmarkEnd w:id="80"/>
      <w:bookmarkEnd w:id="81"/>
      <w:bookmarkEnd w:id="82"/>
    </w:p>
    <w:p w14:paraId="008E2608">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系统具备车辆交通安全违法行为监测报警和布控车辆自动比对报警功能，比对方式包括精确比对和模糊比对。</w:t>
      </w:r>
    </w:p>
    <w:p w14:paraId="10EFD7AB">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83" w:name="_Toc413676229"/>
      <w:bookmarkStart w:id="84" w:name="_Toc161750940"/>
      <w:bookmarkStart w:id="85" w:name="_Toc43415886"/>
      <w:bookmarkStart w:id="86" w:name="_Toc303185588"/>
      <w:bookmarkStart w:id="87" w:name="_Toc438629093"/>
      <w:bookmarkStart w:id="88" w:name="_Toc187415956"/>
      <w:r>
        <w:rPr>
          <w:rFonts w:hint="eastAsia" w:ascii="宋体" w:hAnsi="宋体" w:eastAsia="宋体" w:cs="宋体"/>
          <w:b/>
          <w:bCs/>
          <w:color w:val="auto"/>
          <w:sz w:val="24"/>
          <w:szCs w:val="24"/>
          <w:highlight w:val="none"/>
        </w:rPr>
        <w:t>高清录像功能</w:t>
      </w:r>
      <w:bookmarkEnd w:id="83"/>
      <w:bookmarkEnd w:id="84"/>
      <w:bookmarkEnd w:id="85"/>
      <w:bookmarkEnd w:id="86"/>
      <w:bookmarkEnd w:id="87"/>
      <w:bookmarkEnd w:id="88"/>
    </w:p>
    <w:p w14:paraId="324AFE13">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系统支持道路交通情况的实时视频录像存储，视频质量能清晰反映覆盖区域内行驶机动车的车牌号码。视频采用预分配存储机制，前端支持进行滚动存储7天以上。</w:t>
      </w:r>
    </w:p>
    <w:p w14:paraId="57690405">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89" w:name="_Toc413676231"/>
      <w:bookmarkStart w:id="90" w:name="_Toc187415957"/>
      <w:bookmarkStart w:id="91" w:name="_Toc303185590"/>
      <w:bookmarkStart w:id="92" w:name="_Toc43415887"/>
      <w:bookmarkStart w:id="93" w:name="_Toc161750941"/>
      <w:bookmarkStart w:id="94" w:name="_Toc438629095"/>
      <w:r>
        <w:rPr>
          <w:rFonts w:hint="eastAsia" w:ascii="宋体" w:hAnsi="宋体" w:eastAsia="宋体" w:cs="宋体"/>
          <w:b/>
          <w:bCs/>
          <w:color w:val="auto"/>
          <w:sz w:val="24"/>
          <w:szCs w:val="24"/>
          <w:highlight w:val="none"/>
        </w:rPr>
        <w:t>数据断点续传功能</w:t>
      </w:r>
      <w:bookmarkEnd w:id="89"/>
      <w:bookmarkEnd w:id="90"/>
      <w:bookmarkEnd w:id="91"/>
      <w:bookmarkEnd w:id="92"/>
      <w:bookmarkEnd w:id="93"/>
      <w:bookmarkEnd w:id="94"/>
    </w:p>
    <w:p w14:paraId="705B6AA5">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系统支持断点续传功能。当遇到网络中断或其他故障时，车辆信息存储在前端设备中，待故障排除后自动续传。</w:t>
      </w:r>
    </w:p>
    <w:p w14:paraId="0364EF99">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95" w:name="_Toc43415888"/>
      <w:bookmarkStart w:id="96" w:name="_Toc413676232"/>
      <w:bookmarkStart w:id="97" w:name="_Toc187415958"/>
      <w:bookmarkStart w:id="98" w:name="_Toc303185591"/>
      <w:bookmarkStart w:id="99" w:name="_Toc161750942"/>
      <w:bookmarkStart w:id="100" w:name="_Toc438629096"/>
      <w:bookmarkStart w:id="101" w:name="_Toc303027255"/>
      <w:r>
        <w:rPr>
          <w:rFonts w:hint="eastAsia" w:ascii="宋体" w:hAnsi="宋体" w:eastAsia="宋体" w:cs="宋体"/>
          <w:b/>
          <w:bCs/>
          <w:color w:val="auto"/>
          <w:sz w:val="24"/>
          <w:szCs w:val="24"/>
          <w:highlight w:val="none"/>
        </w:rPr>
        <w:t>时间校准功能</w:t>
      </w:r>
      <w:bookmarkEnd w:id="95"/>
      <w:bookmarkEnd w:id="96"/>
      <w:bookmarkEnd w:id="97"/>
      <w:bookmarkEnd w:id="98"/>
      <w:bookmarkEnd w:id="99"/>
      <w:bookmarkEnd w:id="100"/>
    </w:p>
    <w:p w14:paraId="4E27A3DA">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按照《GA/T832-2014道路交通安全违法行为图像取证技术规范》的要求，24h内计时误差不超过1.0s，确保所有前端设备点位每日至少与电子警察中心系统时钟同步一次。</w:t>
      </w:r>
    </w:p>
    <w:p w14:paraId="57C1F621">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102" w:name="_Toc438629097"/>
      <w:bookmarkStart w:id="103" w:name="_Toc161750943"/>
      <w:bookmarkStart w:id="104" w:name="_Toc413676233"/>
      <w:bookmarkStart w:id="105" w:name="_Toc43415889"/>
      <w:bookmarkStart w:id="106" w:name="_Toc187415959"/>
      <w:bookmarkStart w:id="107" w:name="_Toc303185592"/>
      <w:r>
        <w:rPr>
          <w:rFonts w:hint="eastAsia" w:ascii="宋体" w:hAnsi="宋体" w:eastAsia="宋体" w:cs="宋体"/>
          <w:b/>
          <w:bCs/>
          <w:color w:val="auto"/>
          <w:sz w:val="24"/>
          <w:szCs w:val="24"/>
          <w:highlight w:val="none"/>
        </w:rPr>
        <w:t>图像防篡改功能</w:t>
      </w:r>
      <w:bookmarkEnd w:id="102"/>
      <w:bookmarkEnd w:id="103"/>
      <w:bookmarkEnd w:id="104"/>
      <w:bookmarkEnd w:id="105"/>
      <w:bookmarkEnd w:id="106"/>
      <w:bookmarkEnd w:id="107"/>
    </w:p>
    <w:p w14:paraId="16C13D13">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系统记录的原始图像信息具备防篡</w:t>
      </w:r>
      <w:bookmarkEnd w:id="101"/>
      <w:r>
        <w:rPr>
          <w:rFonts w:hint="eastAsia" w:ascii="宋体" w:hAnsi="宋体" w:eastAsia="宋体" w:cs="宋体"/>
          <w:color w:val="auto"/>
          <w:sz w:val="24"/>
          <w:highlight w:val="none"/>
        </w:rPr>
        <w:t>改功能，防止在传输、存储、处理等过程中被人为篡改。</w:t>
      </w:r>
    </w:p>
    <w:p w14:paraId="6A1F6691">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108" w:name="_Toc161750944"/>
      <w:bookmarkStart w:id="109" w:name="_Toc43415890"/>
      <w:bookmarkStart w:id="110" w:name="_Toc303185593"/>
      <w:bookmarkStart w:id="111" w:name="_Toc438629098"/>
      <w:bookmarkStart w:id="112" w:name="_Toc187415960"/>
      <w:bookmarkStart w:id="113" w:name="_Toc413676234"/>
      <w:r>
        <w:rPr>
          <w:rFonts w:hint="eastAsia" w:ascii="宋体" w:hAnsi="宋体" w:eastAsia="宋体" w:cs="宋体"/>
          <w:b/>
          <w:bCs/>
          <w:color w:val="auto"/>
          <w:sz w:val="24"/>
          <w:szCs w:val="24"/>
          <w:highlight w:val="none"/>
        </w:rPr>
        <w:t>网络远程维护功能</w:t>
      </w:r>
      <w:bookmarkEnd w:id="108"/>
      <w:bookmarkEnd w:id="109"/>
      <w:bookmarkEnd w:id="110"/>
      <w:bookmarkEnd w:id="111"/>
      <w:bookmarkEnd w:id="112"/>
      <w:bookmarkEnd w:id="113"/>
    </w:p>
    <w:p w14:paraId="2A80E839">
      <w:pPr>
        <w:pStyle w:val="16"/>
        <w:pageBreakBefore w:val="0"/>
        <w:widowControl/>
        <w:shd w:val="clear"/>
        <w:kinsoku/>
        <w:wordWrap/>
        <w:overflowPunct/>
        <w:topLinePunct w:val="0"/>
        <w:autoSpaceDE w:val="0"/>
        <w:autoSpaceDN w:val="0"/>
        <w:bidi w:val="0"/>
        <w:adjustRightInd w:val="0"/>
        <w:snapToGrid w:val="0"/>
        <w:spacing w:beforeLines="0" w:afterLines="0"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系统可以实时查看前端设备的运行状态。</w:t>
      </w:r>
      <w:bookmarkStart w:id="114" w:name="_Toc303027256"/>
      <w:r>
        <w:rPr>
          <w:rFonts w:hint="eastAsia" w:ascii="宋体" w:hAnsi="宋体" w:eastAsia="宋体" w:cs="宋体"/>
          <w:color w:val="auto"/>
          <w:sz w:val="24"/>
          <w:highlight w:val="none"/>
        </w:rPr>
        <w:t>能通过网络实现远程维护</w:t>
      </w:r>
      <w:bookmarkEnd w:id="114"/>
      <w:r>
        <w:rPr>
          <w:rFonts w:hint="eastAsia" w:ascii="宋体" w:hAnsi="宋体" w:eastAsia="宋体" w:cs="宋体"/>
          <w:color w:val="auto"/>
          <w:sz w:val="24"/>
          <w:highlight w:val="none"/>
        </w:rPr>
        <w:t>、远程设置和远程升级等功能。</w:t>
      </w:r>
    </w:p>
    <w:p w14:paraId="13A56C15">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系统性能指标要求</w:t>
      </w:r>
    </w:p>
    <w:p w14:paraId="47924A90">
      <w:pPr>
        <w:pStyle w:val="4"/>
        <w:pageBreakBefore w:val="0"/>
        <w:widowControl/>
        <w:numPr>
          <w:ilvl w:val="3"/>
          <w:numId w:val="0"/>
        </w:numPr>
        <w:shd w:val="clear"/>
        <w:tabs>
          <w:tab w:val="left" w:pos="425"/>
        </w:tabs>
        <w:kinsoku/>
        <w:wordWrap/>
        <w:overflowPunct/>
        <w:topLinePunct w:val="0"/>
        <w:autoSpaceDE w:val="0"/>
        <w:autoSpaceDN w:val="0"/>
        <w:bidi w:val="0"/>
        <w:adjustRightInd w:val="0"/>
        <w:snapToGrid w:val="0"/>
        <w:spacing w:before="20" w:after="326" w:afterLines="100" w:line="240" w:lineRule="auto"/>
        <w:ind w:leftChars="0"/>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lang w:val="en-US" w:eastAsia="zh-CN"/>
        </w:rPr>
        <w:t>1.系</w:t>
      </w:r>
      <w:r>
        <w:rPr>
          <w:rFonts w:hint="eastAsia" w:ascii="宋体" w:hAnsi="宋体" w:eastAsia="宋体" w:cs="宋体"/>
          <w:b/>
          <w:bCs/>
          <w:color w:val="auto"/>
          <w:spacing w:val="-4"/>
          <w:sz w:val="28"/>
          <w:szCs w:val="24"/>
          <w:highlight w:val="none"/>
        </w:rPr>
        <w:t>统性能指标要求</w:t>
      </w:r>
    </w:p>
    <w:tbl>
      <w:tblPr>
        <w:tblStyle w:val="11"/>
        <w:tblW w:w="493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8"/>
        <w:gridCol w:w="6086"/>
      </w:tblGrid>
      <w:tr w14:paraId="5153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4B16F410">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jc w:val="center"/>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项目</w:t>
            </w:r>
          </w:p>
        </w:tc>
        <w:tc>
          <w:tcPr>
            <w:tcW w:w="3621" w:type="pct"/>
            <w:shd w:val="clear" w:color="auto" w:fill="auto"/>
            <w:noWrap w:val="0"/>
            <w:vAlign w:val="top"/>
          </w:tcPr>
          <w:p w14:paraId="04ADF36A">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jc w:val="center"/>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指标</w:t>
            </w:r>
          </w:p>
        </w:tc>
      </w:tr>
      <w:tr w14:paraId="55F19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1A4B8AC7">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违法记录组成</w:t>
            </w:r>
          </w:p>
        </w:tc>
        <w:tc>
          <w:tcPr>
            <w:tcW w:w="3621" w:type="pct"/>
            <w:shd w:val="clear" w:color="auto" w:fill="auto"/>
            <w:noWrap w:val="0"/>
            <w:vAlign w:val="top"/>
          </w:tcPr>
          <w:p w14:paraId="5DDA26AB">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闯红灯为3张图片；其他违法一般为2或3张；</w:t>
            </w:r>
          </w:p>
        </w:tc>
      </w:tr>
      <w:tr w14:paraId="5DBE6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5C523AB9">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通行车辆抓拍</w:t>
            </w:r>
          </w:p>
        </w:tc>
        <w:tc>
          <w:tcPr>
            <w:tcW w:w="3621" w:type="pct"/>
            <w:shd w:val="clear" w:color="auto" w:fill="auto"/>
            <w:noWrap w:val="0"/>
            <w:vAlign w:val="top"/>
          </w:tcPr>
          <w:p w14:paraId="6773F596">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1张；</w:t>
            </w:r>
          </w:p>
        </w:tc>
      </w:tr>
      <w:tr w14:paraId="2BC9D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5AC4F46C">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通行车辆捕获率</w:t>
            </w:r>
          </w:p>
        </w:tc>
        <w:tc>
          <w:tcPr>
            <w:tcW w:w="3621" w:type="pct"/>
            <w:shd w:val="clear" w:color="auto" w:fill="auto"/>
            <w:noWrap w:val="0"/>
            <w:vAlign w:val="top"/>
          </w:tcPr>
          <w:p w14:paraId="2EBF5F37">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白天98.5%，晚上95.8%</w:t>
            </w:r>
          </w:p>
        </w:tc>
      </w:tr>
      <w:tr w14:paraId="6A3DA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7CDBDF75">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闯红灯车辆捕获率</w:t>
            </w:r>
          </w:p>
        </w:tc>
        <w:tc>
          <w:tcPr>
            <w:tcW w:w="3621" w:type="pct"/>
            <w:shd w:val="clear" w:color="auto" w:fill="auto"/>
            <w:noWrap w:val="0"/>
            <w:vAlign w:val="top"/>
          </w:tcPr>
          <w:p w14:paraId="473460CA">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白天98.5%，晚上95.8%；</w:t>
            </w:r>
          </w:p>
        </w:tc>
      </w:tr>
      <w:tr w14:paraId="17A89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357DEB15">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闯红灯检测系统附带的违法检测功能</w:t>
            </w:r>
          </w:p>
        </w:tc>
        <w:tc>
          <w:tcPr>
            <w:tcW w:w="3621" w:type="pct"/>
            <w:shd w:val="clear" w:color="auto" w:fill="auto"/>
            <w:noWrap w:val="0"/>
            <w:vAlign w:val="top"/>
          </w:tcPr>
          <w:p w14:paraId="1C1AEAB3">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具有不按规定车道行驶、逆行、压线/变道、不按所需行进方向驶入导向车道检测功能；</w:t>
            </w:r>
          </w:p>
        </w:tc>
      </w:tr>
      <w:tr w14:paraId="2128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42866384">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其它违法检测功能捕获有效率</w:t>
            </w:r>
          </w:p>
        </w:tc>
        <w:tc>
          <w:tcPr>
            <w:tcW w:w="3621" w:type="pct"/>
            <w:shd w:val="clear" w:color="auto" w:fill="auto"/>
            <w:noWrap w:val="0"/>
            <w:vAlign w:val="top"/>
          </w:tcPr>
          <w:p w14:paraId="488B434B">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不按规定车道行驶≥90%；逆行≥90%；压线≥90%；不按所需行进方向驶入导向车道≥90%；</w:t>
            </w:r>
          </w:p>
        </w:tc>
      </w:tr>
      <w:tr w14:paraId="3758B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0FE80370">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最小抓拍间隔</w:t>
            </w:r>
          </w:p>
        </w:tc>
        <w:tc>
          <w:tcPr>
            <w:tcW w:w="3621" w:type="pct"/>
            <w:shd w:val="clear" w:color="auto" w:fill="auto"/>
            <w:noWrap w:val="0"/>
            <w:vAlign w:val="top"/>
          </w:tcPr>
          <w:p w14:paraId="4D0EA402">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&lt;40ms；</w:t>
            </w:r>
          </w:p>
        </w:tc>
      </w:tr>
      <w:tr w14:paraId="1EC25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3789FCA6">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图片压缩方式及分辨率</w:t>
            </w:r>
          </w:p>
        </w:tc>
        <w:tc>
          <w:tcPr>
            <w:tcW w:w="3621" w:type="pct"/>
            <w:shd w:val="clear" w:color="auto" w:fill="auto"/>
            <w:noWrap w:val="0"/>
            <w:vAlign w:val="top"/>
          </w:tcPr>
          <w:p w14:paraId="01A8F8C4">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JPEG格式；</w:t>
            </w:r>
          </w:p>
          <w:p w14:paraId="68326490">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分辨率（像素）900万：4096*2160； </w:t>
            </w:r>
          </w:p>
        </w:tc>
      </w:tr>
      <w:tr w14:paraId="4DE82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2A5F9BFC">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图片大小</w:t>
            </w:r>
          </w:p>
        </w:tc>
        <w:tc>
          <w:tcPr>
            <w:tcW w:w="3621" w:type="pct"/>
            <w:shd w:val="clear" w:color="auto" w:fill="auto"/>
            <w:noWrap w:val="0"/>
            <w:vAlign w:val="top"/>
          </w:tcPr>
          <w:p w14:paraId="33013EED">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900万：单张约1MB；合成图片2张约2MB；</w:t>
            </w:r>
          </w:p>
        </w:tc>
      </w:tr>
      <w:tr w14:paraId="1AFB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3AE64297">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录像功能</w:t>
            </w:r>
          </w:p>
        </w:tc>
        <w:tc>
          <w:tcPr>
            <w:tcW w:w="3621" w:type="pct"/>
            <w:shd w:val="clear" w:color="auto" w:fill="auto"/>
            <w:noWrap w:val="0"/>
            <w:vAlign w:val="top"/>
          </w:tcPr>
          <w:p w14:paraId="54CA0431">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支持全天录像和违法片段录像；</w:t>
            </w:r>
          </w:p>
          <w:p w14:paraId="6A909A12">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采用H.264或MJPEG编码，25fps@300万像素，25fps@700万像素；录像支持OSD信息叠加，叠加的信息至少包括日期、时间（精确到秒）、监控点名称、设备编号等信息；</w:t>
            </w:r>
          </w:p>
        </w:tc>
      </w:tr>
      <w:tr w14:paraId="02E50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0FAE47C0">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车牌识别准确率</w:t>
            </w:r>
          </w:p>
        </w:tc>
        <w:tc>
          <w:tcPr>
            <w:tcW w:w="3621" w:type="pct"/>
            <w:shd w:val="clear" w:color="auto" w:fill="auto"/>
            <w:noWrap w:val="0"/>
            <w:vAlign w:val="top"/>
          </w:tcPr>
          <w:p w14:paraId="6D660848">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白天98%，晚上95%</w:t>
            </w:r>
          </w:p>
        </w:tc>
      </w:tr>
      <w:tr w14:paraId="2E154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364A3425">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识别牌照种类</w:t>
            </w:r>
          </w:p>
        </w:tc>
        <w:tc>
          <w:tcPr>
            <w:tcW w:w="3621" w:type="pct"/>
            <w:shd w:val="clear" w:color="auto" w:fill="auto"/>
            <w:noWrap w:val="0"/>
            <w:vAlign w:val="top"/>
          </w:tcPr>
          <w:p w14:paraId="1F04C749">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车牌类别：民用车牌（除5小车辆），警用车牌，军用车牌，武警车牌、新能源车牌。车牌颜色：黑、白、蓝、黄、绿；</w:t>
            </w:r>
          </w:p>
        </w:tc>
      </w:tr>
      <w:tr w14:paraId="76109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67A43AEF">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车身颜色识别</w:t>
            </w:r>
          </w:p>
        </w:tc>
        <w:tc>
          <w:tcPr>
            <w:tcW w:w="3621" w:type="pct"/>
            <w:shd w:val="clear" w:color="auto" w:fill="auto"/>
            <w:noWrap w:val="0"/>
            <w:vAlign w:val="top"/>
          </w:tcPr>
          <w:p w14:paraId="40531DF6">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正向卡口可自动区分出车辆为深色车辆还是浅色车辆；并识别出11种常见车身颜色，11种颜色包括：白，银（灰），青、黄、粉、红、绿、蓝、棕、黑、紫；</w:t>
            </w:r>
          </w:p>
        </w:tc>
      </w:tr>
      <w:tr w14:paraId="2F6D5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132C0E3A">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车型识别</w:t>
            </w:r>
          </w:p>
        </w:tc>
        <w:tc>
          <w:tcPr>
            <w:tcW w:w="3621" w:type="pct"/>
            <w:shd w:val="clear" w:color="auto" w:fill="auto"/>
            <w:noWrap w:val="0"/>
            <w:vAlign w:val="top"/>
          </w:tcPr>
          <w:p w14:paraId="6330ECD4">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背向电警可对12种车型进行识别（SUV、MVP、轿车(包括A级及以上车型)、小型轿车、微型轿车、面包车、皮卡车、小型货车(包括微卡、轻卡及中卡)、大型货车、小型客车、大型客车、油罐车），识别准确率白天≥90%、晚上≥88%；</w:t>
            </w:r>
          </w:p>
        </w:tc>
      </w:tr>
      <w:tr w14:paraId="22DD1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07F9E55F">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摄像机覆盖车道数</w:t>
            </w:r>
          </w:p>
        </w:tc>
        <w:tc>
          <w:tcPr>
            <w:tcW w:w="3621" w:type="pct"/>
            <w:shd w:val="clear" w:color="auto" w:fill="auto"/>
            <w:noWrap w:val="0"/>
            <w:vAlign w:val="top"/>
          </w:tcPr>
          <w:p w14:paraId="05327ABF">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1台900万摄像机覆盖3车道；</w:t>
            </w:r>
          </w:p>
        </w:tc>
      </w:tr>
      <w:tr w14:paraId="34C93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1FEA83D8">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车辆信息存储容量</w:t>
            </w:r>
          </w:p>
        </w:tc>
        <w:tc>
          <w:tcPr>
            <w:tcW w:w="3621" w:type="pct"/>
            <w:shd w:val="clear" w:color="auto" w:fill="auto"/>
            <w:noWrap w:val="0"/>
            <w:vAlign w:val="top"/>
          </w:tcPr>
          <w:p w14:paraId="16B617BA">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图片存储时间≥30万张；录像存储时间≥7天；</w:t>
            </w:r>
          </w:p>
        </w:tc>
      </w:tr>
      <w:tr w14:paraId="4538E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5E62E538">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补光灯寿命</w:t>
            </w:r>
          </w:p>
        </w:tc>
        <w:tc>
          <w:tcPr>
            <w:tcW w:w="3621" w:type="pct"/>
            <w:shd w:val="clear" w:color="auto" w:fill="auto"/>
            <w:noWrap w:val="0"/>
            <w:vAlign w:val="top"/>
          </w:tcPr>
          <w:p w14:paraId="675C7844">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≥50000h；</w:t>
            </w:r>
          </w:p>
        </w:tc>
      </w:tr>
      <w:tr w14:paraId="6DB60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436FAFC4">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接口</w:t>
            </w:r>
          </w:p>
        </w:tc>
        <w:tc>
          <w:tcPr>
            <w:tcW w:w="3621" w:type="pct"/>
            <w:shd w:val="clear" w:color="auto" w:fill="auto"/>
            <w:noWrap w:val="0"/>
            <w:vAlign w:val="top"/>
          </w:tcPr>
          <w:p w14:paraId="05E47054">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RJ45，100Mbps以太网，TCP/IP协议；</w:t>
            </w:r>
          </w:p>
        </w:tc>
      </w:tr>
      <w:tr w14:paraId="22E2E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0D2B5B28">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接入方式</w:t>
            </w:r>
          </w:p>
        </w:tc>
        <w:tc>
          <w:tcPr>
            <w:tcW w:w="3621" w:type="pct"/>
            <w:shd w:val="clear" w:color="auto" w:fill="auto"/>
            <w:noWrap w:val="0"/>
            <w:vAlign w:val="top"/>
          </w:tcPr>
          <w:p w14:paraId="6C7C1487">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采用终端服务器按照既定协议接入后端平台；</w:t>
            </w:r>
          </w:p>
        </w:tc>
      </w:tr>
      <w:tr w14:paraId="0F656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09ACB2D0">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平均无故障连续运行时间MTBF</w:t>
            </w:r>
          </w:p>
        </w:tc>
        <w:tc>
          <w:tcPr>
            <w:tcW w:w="3621" w:type="pct"/>
            <w:shd w:val="clear" w:color="auto" w:fill="auto"/>
            <w:noWrap w:val="0"/>
            <w:vAlign w:val="top"/>
          </w:tcPr>
          <w:p w14:paraId="3E56E97D">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≥5000h；</w:t>
            </w:r>
          </w:p>
        </w:tc>
      </w:tr>
      <w:tr w14:paraId="4109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0C738771">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供电电源</w:t>
            </w:r>
          </w:p>
        </w:tc>
        <w:tc>
          <w:tcPr>
            <w:tcW w:w="3621" w:type="pct"/>
            <w:shd w:val="clear" w:color="auto" w:fill="auto"/>
            <w:noWrap w:val="0"/>
            <w:vAlign w:val="top"/>
          </w:tcPr>
          <w:p w14:paraId="3B79B018">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100VAC～240VAC，48Hz～52Hz；</w:t>
            </w:r>
          </w:p>
        </w:tc>
      </w:tr>
      <w:tr w14:paraId="010F3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2D5D5E78">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工作环境温度</w:t>
            </w:r>
          </w:p>
        </w:tc>
        <w:tc>
          <w:tcPr>
            <w:tcW w:w="3621" w:type="pct"/>
            <w:shd w:val="clear" w:color="auto" w:fill="auto"/>
            <w:noWrap w:val="0"/>
            <w:vAlign w:val="top"/>
          </w:tcPr>
          <w:p w14:paraId="0C1A9F41">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标配：-10℃～+70℃；低温型：-30℃～+70℃；</w:t>
            </w:r>
          </w:p>
        </w:tc>
      </w:tr>
      <w:tr w14:paraId="30A89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79" w:type="pct"/>
            <w:shd w:val="clear" w:color="auto" w:fill="auto"/>
            <w:noWrap w:val="0"/>
            <w:vAlign w:val="top"/>
          </w:tcPr>
          <w:p w14:paraId="40F8F099">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工作环境湿度</w:t>
            </w:r>
          </w:p>
        </w:tc>
        <w:tc>
          <w:tcPr>
            <w:tcW w:w="3621" w:type="pct"/>
            <w:shd w:val="clear" w:color="auto" w:fill="auto"/>
            <w:noWrap w:val="0"/>
            <w:vAlign w:val="top"/>
          </w:tcPr>
          <w:p w14:paraId="55275F92">
            <w:pPr>
              <w:pageBreakBefore w:val="0"/>
              <w:widowControl/>
              <w:shd w:val="clear"/>
              <w:kinsoku/>
              <w:wordWrap/>
              <w:overflowPunct/>
              <w:topLinePunct w:val="0"/>
              <w:autoSpaceDE w:val="0"/>
              <w:autoSpaceDN w:val="0"/>
              <w:bidi w:val="0"/>
              <w:adjustRightInd w:val="0"/>
              <w:snapToGrid w:val="0"/>
              <w:spacing w:before="163" w:beforeLines="50" w:after="163"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＜95％@+40℃，无凝结。</w:t>
            </w:r>
          </w:p>
        </w:tc>
      </w:tr>
    </w:tbl>
    <w:p w14:paraId="45DB9D16">
      <w:pPr>
        <w:pStyle w:val="17"/>
        <w:pageBreakBefore w:val="0"/>
        <w:widowControl/>
        <w:shd w:val="clear"/>
        <w:kinsoku/>
        <w:wordWrap/>
        <w:overflowPunct/>
        <w:topLinePunct w:val="0"/>
        <w:autoSpaceDE w:val="0"/>
        <w:autoSpaceDN w:val="0"/>
        <w:bidi w:val="0"/>
        <w:adjustRightInd w:val="0"/>
        <w:snapToGrid w:val="0"/>
        <w:spacing w:before="163" w:after="163" w:line="360" w:lineRule="auto"/>
        <w:ind w:firstLine="480"/>
        <w:rPr>
          <w:rFonts w:hint="eastAsia" w:ascii="宋体" w:hAnsi="宋体" w:eastAsia="宋体" w:cs="宋体"/>
          <w:color w:val="auto"/>
          <w:highlight w:val="none"/>
        </w:rPr>
      </w:pPr>
    </w:p>
    <w:p w14:paraId="08DF9AA7">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color w:val="auto"/>
          <w:spacing w:val="-4"/>
          <w:sz w:val="28"/>
          <w:szCs w:val="28"/>
          <w:highlight w:val="none"/>
        </w:rPr>
      </w:pPr>
      <w:r>
        <w:rPr>
          <w:rFonts w:hint="eastAsia" w:ascii="宋体" w:hAnsi="宋体" w:eastAsia="宋体" w:cs="宋体"/>
          <w:color w:val="auto"/>
          <w:spacing w:val="-4"/>
          <w:highlight w:val="none"/>
        </w:rPr>
        <w:t>卡口</w:t>
      </w:r>
      <w:r>
        <w:rPr>
          <w:rFonts w:hint="eastAsia" w:ascii="宋体" w:hAnsi="宋体" w:eastAsia="宋体" w:cs="宋体"/>
          <w:color w:val="auto"/>
          <w:spacing w:val="-4"/>
          <w:sz w:val="28"/>
          <w:szCs w:val="28"/>
          <w:highlight w:val="none"/>
        </w:rPr>
        <w:t>测速系统</w:t>
      </w:r>
    </w:p>
    <w:p w14:paraId="4D551712">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系统功能要求</w:t>
      </w:r>
    </w:p>
    <w:p w14:paraId="013800D8">
      <w:pPr>
        <w:pageBreakBefore w:val="0"/>
        <w:widowControl/>
        <w:shd w:val="clear"/>
        <w:kinsoku/>
        <w:wordWrap/>
        <w:overflowPunct/>
        <w:topLinePunct w:val="0"/>
        <w:autoSpaceDE w:val="0"/>
        <w:autoSpaceDN w:val="0"/>
        <w:bidi w:val="0"/>
        <w:adjustRightInd w:val="0"/>
        <w:snapToGrid w:val="0"/>
        <w:spacing w:line="360" w:lineRule="auto"/>
        <w:ind w:firstLine="546"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b/>
          <w:bCs/>
          <w:snapToGrid w:val="0"/>
          <w:color w:val="auto"/>
          <w:spacing w:val="-4"/>
          <w:kern w:val="0"/>
          <w:sz w:val="28"/>
          <w:szCs w:val="24"/>
          <w:highlight w:val="none"/>
          <w:lang w:val="en-US" w:eastAsia="zh-CN"/>
        </w:rPr>
        <w:t>1.</w:t>
      </w:r>
      <w:r>
        <w:rPr>
          <w:rFonts w:hint="eastAsia" w:ascii="宋体" w:hAnsi="宋体" w:eastAsia="宋体" w:cs="宋体"/>
          <w:color w:val="auto"/>
          <w:sz w:val="24"/>
          <w:szCs w:val="24"/>
          <w:highlight w:val="none"/>
        </w:rPr>
        <w:t>系统功能及性能规划严格按照公安部颁标准《公路车辆智能监测记录系统通用技术条件》（GA/T 497-2016）、《机动车测速仪》（GBT 21255-2019）中的有关规定执行，并合理应用科技进步成果提升整体系统性能，同时根据公安交警部门的具体业务应用需求，对数据进行深度挖掘，实现具有行业针对性的业务功能扩展。具体功能设计如下：</w:t>
      </w:r>
    </w:p>
    <w:p w14:paraId="79266B1C">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115" w:name="_Toc438559827"/>
      <w:bookmarkStart w:id="116" w:name="_Toc187415973"/>
      <w:bookmarkStart w:id="117" w:name="_Toc396307319"/>
      <w:bookmarkStart w:id="118" w:name="_Toc57224632"/>
      <w:bookmarkStart w:id="119" w:name="_Toc493255779"/>
      <w:bookmarkStart w:id="120" w:name="_Toc438559826"/>
      <w:bookmarkStart w:id="121" w:name="_Toc493255778"/>
      <w:bookmarkStart w:id="122" w:name="_Toc396307318"/>
      <w:bookmarkStart w:id="123" w:name="_Toc314572261"/>
      <w:r>
        <w:rPr>
          <w:rFonts w:hint="eastAsia" w:ascii="宋体" w:hAnsi="宋体" w:eastAsia="宋体" w:cs="宋体"/>
          <w:b/>
          <w:bCs/>
          <w:color w:val="auto"/>
          <w:sz w:val="24"/>
          <w:szCs w:val="24"/>
          <w:highlight w:val="none"/>
        </w:rPr>
        <w:t>车辆速度检测功能</w:t>
      </w:r>
      <w:bookmarkEnd w:id="115"/>
      <w:bookmarkEnd w:id="116"/>
      <w:bookmarkEnd w:id="117"/>
      <w:bookmarkEnd w:id="118"/>
      <w:bookmarkEnd w:id="119"/>
    </w:p>
    <w:p w14:paraId="404B8E2B">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在结合各种提高测速精度辅助手段的基础上采用雷达测速方式，最大程度的解决了系统测速不准和出现异常速度的问题。</w:t>
      </w:r>
    </w:p>
    <w:p w14:paraId="24F022EE">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测速范围满足20km/h~200km/h。当机动车速度小于100km/h时，道路实测误差不超过-6km/h～0km/h；当机动车速度大于或等于100km/h时，道路实测误差不超过机动车速度的-6%～0%。</w:t>
      </w:r>
    </w:p>
    <w:p w14:paraId="45E62EE3">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124" w:name="_Toc493255781"/>
      <w:bookmarkStart w:id="125" w:name="_Toc396307321"/>
      <w:bookmarkStart w:id="126" w:name="_Toc438559829"/>
      <w:bookmarkStart w:id="127" w:name="_Toc57224633"/>
      <w:bookmarkStart w:id="128" w:name="_Toc187415974"/>
      <w:r>
        <w:rPr>
          <w:rFonts w:hint="eastAsia" w:ascii="宋体" w:hAnsi="宋体" w:eastAsia="宋体" w:cs="宋体"/>
          <w:b/>
          <w:bCs/>
          <w:color w:val="auto"/>
          <w:sz w:val="24"/>
          <w:szCs w:val="24"/>
          <w:highlight w:val="none"/>
        </w:rPr>
        <w:t>超速抓拍功能</w:t>
      </w:r>
      <w:bookmarkEnd w:id="124"/>
      <w:bookmarkEnd w:id="125"/>
      <w:bookmarkEnd w:id="126"/>
      <w:bookmarkEnd w:id="127"/>
      <w:bookmarkEnd w:id="128"/>
    </w:p>
    <w:p w14:paraId="61E50368">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系统能够准确捕获机动车超速行驶违法行为，每辆超速车辆采集2幅不同时间或者不同位置的特征图片，记录超速违法行为的完整过程，所记录的图片能清晰辨别机动车车型、车身颜色、号牌号码等基本特征。</w:t>
      </w:r>
    </w:p>
    <w:p w14:paraId="0E353553">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每幅图片上叠加有交通违法日期、时间、地点、方向、图像取证设备编号、限速值、行驶速度值和超速比例、号牌号码、号牌颜色、车身颜色等信息。</w:t>
      </w:r>
    </w:p>
    <w:p w14:paraId="51D94A43">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取证数据满足《道路交通安全违法行为图像取证技术规范》(GA/T832-2014）的相关要求。</w:t>
      </w:r>
    </w:p>
    <w:p w14:paraId="73C22C0C">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129" w:name="_Toc57224634"/>
      <w:bookmarkStart w:id="130" w:name="_Toc187415975"/>
      <w:r>
        <w:rPr>
          <w:rFonts w:hint="eastAsia" w:ascii="宋体" w:hAnsi="宋体" w:eastAsia="宋体" w:cs="宋体"/>
          <w:b/>
          <w:bCs/>
          <w:color w:val="auto"/>
          <w:sz w:val="24"/>
          <w:szCs w:val="24"/>
          <w:highlight w:val="none"/>
        </w:rPr>
        <w:t>分车道限速</w:t>
      </w:r>
      <w:bookmarkEnd w:id="129"/>
      <w:bookmarkEnd w:id="130"/>
    </w:p>
    <w:p w14:paraId="7D654E95">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系统支持根据不同车道设定不同限速值。</w:t>
      </w:r>
    </w:p>
    <w:p w14:paraId="5378B15C">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131" w:name="_Toc57224635"/>
      <w:bookmarkStart w:id="132" w:name="_Toc187415976"/>
      <w:r>
        <w:rPr>
          <w:rFonts w:hint="eastAsia" w:ascii="宋体" w:hAnsi="宋体" w:eastAsia="宋体" w:cs="宋体"/>
          <w:b/>
          <w:bCs/>
          <w:color w:val="auto"/>
          <w:sz w:val="24"/>
          <w:szCs w:val="24"/>
          <w:highlight w:val="none"/>
        </w:rPr>
        <w:t>分车型限速</w:t>
      </w:r>
      <w:bookmarkEnd w:id="131"/>
      <w:bookmarkEnd w:id="132"/>
    </w:p>
    <w:p w14:paraId="5C413AD8">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系统支持根据不同车辆类型（大车/小车）设定不同限速值。</w:t>
      </w:r>
    </w:p>
    <w:p w14:paraId="48DA52EA">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133" w:name="_Toc187415977"/>
      <w:bookmarkStart w:id="134" w:name="_Toc57224636"/>
      <w:r>
        <w:rPr>
          <w:rFonts w:hint="eastAsia" w:ascii="宋体" w:hAnsi="宋体" w:eastAsia="宋体" w:cs="宋体"/>
          <w:b/>
          <w:bCs/>
          <w:color w:val="auto"/>
          <w:sz w:val="24"/>
          <w:szCs w:val="24"/>
          <w:highlight w:val="none"/>
        </w:rPr>
        <w:t>车辆捕获功能</w:t>
      </w:r>
      <w:bookmarkEnd w:id="120"/>
      <w:bookmarkEnd w:id="121"/>
      <w:bookmarkEnd w:id="122"/>
      <w:bookmarkEnd w:id="123"/>
      <w:bookmarkEnd w:id="133"/>
      <w:bookmarkEnd w:id="134"/>
    </w:p>
    <w:p w14:paraId="09810CDB">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系统通过视频检测方式实现车辆捕获功能，能对所有经过车辆进行捕获，除了能够捕获在车道上正常行驶的车辆外，还具备捕获跨线行驶及逆向行驶车辆的功能。</w:t>
      </w:r>
    </w:p>
    <w:p w14:paraId="790B57E2">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135" w:name="_Toc396307320"/>
      <w:bookmarkStart w:id="136" w:name="_Toc438559828"/>
      <w:bookmarkStart w:id="137" w:name="_Toc57224637"/>
      <w:bookmarkStart w:id="138" w:name="_Toc493255780"/>
      <w:bookmarkStart w:id="139" w:name="_Toc187415978"/>
      <w:bookmarkStart w:id="140" w:name="_Toc314572262"/>
      <w:r>
        <w:rPr>
          <w:rFonts w:hint="eastAsia" w:ascii="宋体" w:hAnsi="宋体" w:eastAsia="宋体" w:cs="宋体"/>
          <w:b/>
          <w:bCs/>
          <w:color w:val="auto"/>
          <w:sz w:val="24"/>
          <w:szCs w:val="24"/>
          <w:highlight w:val="none"/>
        </w:rPr>
        <w:t>车辆图像记录功能</w:t>
      </w:r>
      <w:bookmarkEnd w:id="135"/>
      <w:bookmarkEnd w:id="136"/>
      <w:bookmarkEnd w:id="137"/>
      <w:bookmarkEnd w:id="138"/>
      <w:bookmarkEnd w:id="139"/>
      <w:bookmarkEnd w:id="140"/>
    </w:p>
    <w:p w14:paraId="1B320F73">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能够准确捕获、记录通行车辆信息。记录的车辆信息除包含图像信息外，还包括文本信息，如日期、时间（精确到毫秒）、地点、方向、号牌号码、号牌颜色、车身颜色、车速等。车辆信息写入关联数据库，并将相关文本信息叠加到图片上。</w:t>
      </w:r>
    </w:p>
    <w:p w14:paraId="72993E77">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141" w:name="_Toc57224638"/>
      <w:bookmarkStart w:id="142" w:name="_Toc187415979"/>
      <w:bookmarkStart w:id="143" w:name="_Toc314572264"/>
      <w:bookmarkStart w:id="144" w:name="_Toc396307322"/>
      <w:bookmarkStart w:id="145" w:name="_Toc438559830"/>
      <w:bookmarkStart w:id="146" w:name="_Toc493255782"/>
      <w:r>
        <w:rPr>
          <w:rFonts w:hint="eastAsia" w:ascii="宋体" w:hAnsi="宋体" w:eastAsia="宋体" w:cs="宋体"/>
          <w:b/>
          <w:bCs/>
          <w:color w:val="auto"/>
          <w:sz w:val="24"/>
          <w:szCs w:val="24"/>
          <w:highlight w:val="none"/>
        </w:rPr>
        <w:t>智能补光功能</w:t>
      </w:r>
      <w:bookmarkEnd w:id="141"/>
      <w:bookmarkEnd w:id="142"/>
      <w:bookmarkEnd w:id="143"/>
      <w:bookmarkEnd w:id="144"/>
      <w:bookmarkEnd w:id="145"/>
      <w:bookmarkEnd w:id="146"/>
    </w:p>
    <w:p w14:paraId="2F0ED6F7">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综合考虑了车辆前挡风玻璃对光线的反射特性、贴膜情况、环境光线照射情况，采用了特殊的滤光镜头、专门的成像控制策略和补光方式，同时安排了合理的设备布设方式，使得系统全天候对各类车型都能有效解决前挡风玻璃反光和强光直射等问题，确保车身、车牌都清晰可辨。</w:t>
      </w:r>
    </w:p>
    <w:p w14:paraId="514A2626">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采用补光灯和摄像机成像控制模块之间的反馈控制技术，满足夜间拍摄要求。采用强光抑制技术，避免强逆光、强顺光环境下对拍摄造成的影响。</w:t>
      </w:r>
    </w:p>
    <w:p w14:paraId="129711C5">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147" w:name="_Toc57224639"/>
      <w:bookmarkStart w:id="148" w:name="_Toc493255783"/>
      <w:bookmarkStart w:id="149" w:name="_Toc396307323"/>
      <w:bookmarkStart w:id="150" w:name="_Toc438559831"/>
      <w:bookmarkStart w:id="151" w:name="_Toc314572265"/>
      <w:bookmarkStart w:id="152" w:name="_Toc187415980"/>
      <w:r>
        <w:rPr>
          <w:rFonts w:hint="eastAsia" w:ascii="宋体" w:hAnsi="宋体" w:eastAsia="宋体" w:cs="宋体"/>
          <w:b/>
          <w:bCs/>
          <w:color w:val="auto"/>
          <w:sz w:val="24"/>
          <w:szCs w:val="24"/>
          <w:highlight w:val="none"/>
        </w:rPr>
        <w:t>车辆牌照自动识别功能</w:t>
      </w:r>
      <w:bookmarkEnd w:id="147"/>
      <w:bookmarkEnd w:id="148"/>
      <w:bookmarkEnd w:id="149"/>
      <w:bookmarkEnd w:id="150"/>
      <w:bookmarkEnd w:id="151"/>
      <w:bookmarkEnd w:id="152"/>
    </w:p>
    <w:p w14:paraId="2477D8EE">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系统可自动对车辆牌照进行识别，包括车牌号码、车牌颜色的识别。</w:t>
      </w:r>
    </w:p>
    <w:p w14:paraId="09E66032">
      <w:pPr>
        <w:pageBreakBefore w:val="0"/>
        <w:widowControl/>
        <w:numPr>
          <w:ilvl w:val="0"/>
          <w:numId w:val="7"/>
        </w:numPr>
        <w:shd w:val="clear"/>
        <w:kinsoku/>
        <w:wordWrap/>
        <w:overflowPunct/>
        <w:topLinePunct w:val="0"/>
        <w:autoSpaceDE w:val="0"/>
        <w:autoSpaceDN w:val="0"/>
        <w:bidi w:val="0"/>
        <w:adjustRightInd w:val="0"/>
        <w:snapToGrid w:val="0"/>
        <w:spacing w:line="360" w:lineRule="auto"/>
        <w:ind w:lef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车牌号码自动识别</w:t>
      </w:r>
    </w:p>
    <w:p w14:paraId="5B6028EC">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系统具备对符合“GA36-2014”标准的民用车牌、警用车牌、使领馆车牌的号牌自动识别能力，并且具备对2012式军车号牌、2012式武警部队号牌的自动识别能力，所能识别的字符包括：</w:t>
      </w:r>
    </w:p>
    <w:p w14:paraId="635D2373">
      <w:pPr>
        <w:pageBreakBefore w:val="0"/>
        <w:widowControl/>
        <w:shd w:val="clear"/>
        <w:kinsoku/>
        <w:wordWrap/>
        <w:overflowPunct/>
        <w:topLinePunct w:val="0"/>
        <w:autoSpaceDE w:val="0"/>
        <w:autoSpaceDN w:val="0"/>
        <w:bidi w:val="0"/>
        <w:adjustRightInd w:val="0"/>
        <w:snapToGrid w:val="0"/>
        <w:spacing w:line="360" w:lineRule="auto"/>
        <w:ind w:firstLine="480" w:firstLineChars="200"/>
        <w:jc w:val="center"/>
        <w:textAlignment w:val="baseline"/>
        <w:rPr>
          <w:rFonts w:hint="eastAsia" w:ascii="宋体" w:hAnsi="宋体" w:eastAsia="宋体" w:cs="宋体"/>
          <w:color w:val="auto"/>
          <w:sz w:val="24"/>
          <w:szCs w:val="24"/>
          <w:highlight w:val="none"/>
        </w:rPr>
      </w:pPr>
      <w:bookmarkStart w:id="153" w:name="_Toc57224747"/>
      <w:bookmarkStart w:id="154" w:name="_Toc493255845"/>
      <w:r>
        <w:rPr>
          <w:rFonts w:hint="eastAsia" w:ascii="宋体" w:hAnsi="宋体" w:eastAsia="宋体" w:cs="宋体"/>
          <w:color w:val="auto"/>
          <w:sz w:val="24"/>
          <w:szCs w:val="24"/>
          <w:highlight w:val="none"/>
        </w:rPr>
        <w:t>车辆号牌识别字符</w:t>
      </w:r>
      <w:bookmarkEnd w:id="153"/>
      <w:bookmarkEnd w:id="154"/>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1"/>
        <w:gridCol w:w="6451"/>
      </w:tblGrid>
      <w:tr w14:paraId="4A39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trPr>
        <w:tc>
          <w:tcPr>
            <w:tcW w:w="1215" w:type="pct"/>
            <w:shd w:val="clear" w:color="auto" w:fill="D0CECE"/>
            <w:noWrap/>
            <w:vAlign w:val="bottom"/>
          </w:tcPr>
          <w:p w14:paraId="6239D7CB">
            <w:pPr>
              <w:pageBreakBefore w:val="0"/>
              <w:widowControl/>
              <w:shd w:val="clear"/>
              <w:kinsoku/>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字符种类</w:t>
            </w:r>
          </w:p>
        </w:tc>
        <w:tc>
          <w:tcPr>
            <w:tcW w:w="3785" w:type="pct"/>
            <w:shd w:val="clear" w:color="auto" w:fill="D0CECE"/>
            <w:noWrap/>
            <w:vAlign w:val="bottom"/>
          </w:tcPr>
          <w:p w14:paraId="7C6C3B46">
            <w:pPr>
              <w:pageBreakBefore w:val="0"/>
              <w:widowControl/>
              <w:shd w:val="clear"/>
              <w:kinsoku/>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55905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15" w:type="pct"/>
            <w:noWrap w:val="0"/>
            <w:vAlign w:val="center"/>
          </w:tcPr>
          <w:p w14:paraId="2A4D4DDB">
            <w:pPr>
              <w:pageBreakBefore w:val="0"/>
              <w:widowControl/>
              <w:shd w:val="clear"/>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阿拉伯数字</w:t>
            </w:r>
          </w:p>
        </w:tc>
        <w:tc>
          <w:tcPr>
            <w:tcW w:w="3785" w:type="pct"/>
            <w:noWrap w:val="0"/>
            <w:vAlign w:val="center"/>
          </w:tcPr>
          <w:p w14:paraId="5CEC982F">
            <w:pPr>
              <w:pageBreakBefore w:val="0"/>
              <w:widowControl/>
              <w:shd w:val="clear"/>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“0～9”十个</w:t>
            </w:r>
          </w:p>
        </w:tc>
      </w:tr>
      <w:tr w14:paraId="5CA34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15" w:type="pct"/>
            <w:noWrap w:val="0"/>
            <w:vAlign w:val="center"/>
          </w:tcPr>
          <w:p w14:paraId="1BA976AB">
            <w:pPr>
              <w:pageBreakBefore w:val="0"/>
              <w:widowControl/>
              <w:shd w:val="clear"/>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英文字母</w:t>
            </w:r>
          </w:p>
        </w:tc>
        <w:tc>
          <w:tcPr>
            <w:tcW w:w="3785" w:type="pct"/>
            <w:noWrap w:val="0"/>
            <w:vAlign w:val="center"/>
          </w:tcPr>
          <w:p w14:paraId="09213629">
            <w:pPr>
              <w:pageBreakBefore w:val="0"/>
              <w:widowControl/>
              <w:shd w:val="clear"/>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“A～Z”二十六个</w:t>
            </w:r>
          </w:p>
        </w:tc>
      </w:tr>
      <w:tr w14:paraId="08544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215" w:type="pct"/>
            <w:noWrap w:val="0"/>
            <w:vAlign w:val="center"/>
          </w:tcPr>
          <w:p w14:paraId="3E069B04">
            <w:pPr>
              <w:pageBreakBefore w:val="0"/>
              <w:widowControl/>
              <w:shd w:val="clear"/>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省、自治区、直辖市简称用汉字</w:t>
            </w:r>
          </w:p>
        </w:tc>
        <w:tc>
          <w:tcPr>
            <w:tcW w:w="3785" w:type="pct"/>
            <w:noWrap w:val="0"/>
            <w:vAlign w:val="center"/>
          </w:tcPr>
          <w:p w14:paraId="35407FDC">
            <w:pPr>
              <w:pageBreakBefore w:val="0"/>
              <w:widowControl/>
              <w:shd w:val="clear"/>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京、津、晋、冀、蒙、辽、吉、黑、沪、苏、浙、皖、闽、赣、鲁、豫、鄂、湘、粤、桂、琼、川、贵、云、藏、陕、甘、青、宁、新、渝</w:t>
            </w:r>
          </w:p>
        </w:tc>
      </w:tr>
      <w:tr w14:paraId="5586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15" w:type="pct"/>
            <w:noWrap w:val="0"/>
            <w:vAlign w:val="center"/>
          </w:tcPr>
          <w:p w14:paraId="737BC84D">
            <w:pPr>
              <w:pageBreakBefore w:val="0"/>
              <w:widowControl/>
              <w:shd w:val="clear"/>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专用号牌简称用汉字</w:t>
            </w:r>
          </w:p>
        </w:tc>
        <w:tc>
          <w:tcPr>
            <w:tcW w:w="3785" w:type="pct"/>
            <w:noWrap w:val="0"/>
            <w:vAlign w:val="center"/>
          </w:tcPr>
          <w:p w14:paraId="75ACDCFD">
            <w:pPr>
              <w:pageBreakBefore w:val="0"/>
              <w:widowControl/>
              <w:shd w:val="clear"/>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领、使、警、学、挂、港、澳、试、超</w:t>
            </w:r>
          </w:p>
        </w:tc>
      </w:tr>
      <w:tr w14:paraId="128F1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215" w:type="pct"/>
            <w:noWrap w:val="0"/>
            <w:vAlign w:val="center"/>
          </w:tcPr>
          <w:p w14:paraId="4B5A02A8">
            <w:pPr>
              <w:pageBreakBefore w:val="0"/>
              <w:widowControl/>
              <w:shd w:val="clear"/>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12式武警号牌字符</w:t>
            </w:r>
          </w:p>
        </w:tc>
        <w:tc>
          <w:tcPr>
            <w:tcW w:w="3785" w:type="pct"/>
            <w:noWrap w:val="0"/>
            <w:vAlign w:val="center"/>
          </w:tcPr>
          <w:p w14:paraId="58D16D94">
            <w:pPr>
              <w:pageBreakBefore w:val="0"/>
              <w:widowControl/>
              <w:shd w:val="clear"/>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WJ样式的字母、省份简称汉字、警种字母（X、B、T、S、H、J、D）、数字</w:t>
            </w:r>
          </w:p>
        </w:tc>
      </w:tr>
      <w:tr w14:paraId="36EB9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215" w:type="pct"/>
            <w:noWrap w:val="0"/>
            <w:vAlign w:val="center"/>
          </w:tcPr>
          <w:p w14:paraId="37508F87">
            <w:pPr>
              <w:pageBreakBefore w:val="0"/>
              <w:widowControl/>
              <w:shd w:val="clear"/>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12式军车号牌字符</w:t>
            </w:r>
          </w:p>
        </w:tc>
        <w:tc>
          <w:tcPr>
            <w:tcW w:w="3785" w:type="pct"/>
            <w:noWrap w:val="0"/>
            <w:vAlign w:val="center"/>
          </w:tcPr>
          <w:p w14:paraId="74DFC261">
            <w:pPr>
              <w:pageBreakBefore w:val="0"/>
              <w:widowControl/>
              <w:shd w:val="clear"/>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各军区/各军兵种部拼音缩写字母、各军区/各军兵种部下辖各部属机构拼音缩写字母、数字</w:t>
            </w:r>
          </w:p>
        </w:tc>
      </w:tr>
    </w:tbl>
    <w:p w14:paraId="576990AD">
      <w:pPr>
        <w:pageBreakBefore w:val="0"/>
        <w:widowControl/>
        <w:numPr>
          <w:ilvl w:val="0"/>
          <w:numId w:val="7"/>
        </w:numPr>
        <w:shd w:val="clear"/>
        <w:kinsoku/>
        <w:wordWrap/>
        <w:overflowPunct/>
        <w:topLinePunct w:val="0"/>
        <w:autoSpaceDE w:val="0"/>
        <w:autoSpaceDN w:val="0"/>
        <w:bidi w:val="0"/>
        <w:adjustRightInd w:val="0"/>
        <w:snapToGrid w:val="0"/>
        <w:spacing w:line="360" w:lineRule="auto"/>
        <w:ind w:lef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车牌颜色自动识别</w:t>
      </w:r>
    </w:p>
    <w:p w14:paraId="0DA55E86">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系统能识别黑、白、蓝、黄、绿五种车牌颜色。</w:t>
      </w:r>
    </w:p>
    <w:p w14:paraId="09533960">
      <w:pPr>
        <w:pageBreakBefore w:val="0"/>
        <w:widowControl/>
        <w:numPr>
          <w:ilvl w:val="0"/>
          <w:numId w:val="7"/>
        </w:numPr>
        <w:shd w:val="clear"/>
        <w:kinsoku/>
        <w:wordWrap/>
        <w:overflowPunct/>
        <w:topLinePunct w:val="0"/>
        <w:autoSpaceDE w:val="0"/>
        <w:autoSpaceDN w:val="0"/>
        <w:bidi w:val="0"/>
        <w:adjustRightInd w:val="0"/>
        <w:snapToGrid w:val="0"/>
        <w:spacing w:line="360" w:lineRule="auto"/>
        <w:ind w:lef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前端识别技术</w:t>
      </w:r>
    </w:p>
    <w:p w14:paraId="24F53CCC">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车辆牌照自动识别算法（车牌识别、车牌颜色识别）集成在抓拍单元中，识别结果由抓拍单元直接输出。</w:t>
      </w:r>
    </w:p>
    <w:p w14:paraId="32111974">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155" w:name="_Toc438559832"/>
      <w:bookmarkStart w:id="156" w:name="_Toc493255784"/>
      <w:bookmarkStart w:id="157" w:name="_Toc187415981"/>
      <w:bookmarkStart w:id="158" w:name="_Toc57224640"/>
      <w:bookmarkStart w:id="159" w:name="_Toc396307324"/>
      <w:bookmarkStart w:id="160" w:name="_Toc314572266"/>
      <w:r>
        <w:rPr>
          <w:rFonts w:hint="eastAsia" w:ascii="宋体" w:hAnsi="宋体" w:eastAsia="宋体" w:cs="宋体"/>
          <w:b/>
          <w:bCs/>
          <w:color w:val="auto"/>
          <w:sz w:val="24"/>
          <w:szCs w:val="24"/>
          <w:highlight w:val="none"/>
        </w:rPr>
        <w:t>车身颜色识别功能</w:t>
      </w:r>
      <w:bookmarkEnd w:id="155"/>
      <w:bookmarkEnd w:id="156"/>
      <w:bookmarkEnd w:id="157"/>
      <w:bookmarkEnd w:id="158"/>
      <w:bookmarkEnd w:id="159"/>
      <w:bookmarkEnd w:id="160"/>
    </w:p>
    <w:p w14:paraId="753234AA">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系统可自动对车身深浅和颜色进行识别，可供用户根据车身颜色来查询通行车辆，为公安交通管理和刑侦案件侦破提供了科技新手段。</w:t>
      </w:r>
    </w:p>
    <w:p w14:paraId="78F21CFC">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支持13种车身颜色识别，包括黑、白、灰、红、绿、蓝、黄、粉、紫、棕、青、金、橙； </w:t>
      </w:r>
    </w:p>
    <w:p w14:paraId="2C4C995E">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161" w:name="_Toc187415982"/>
      <w:bookmarkStart w:id="162" w:name="_Toc493255785"/>
      <w:bookmarkStart w:id="163" w:name="_Toc438559833"/>
      <w:bookmarkStart w:id="164" w:name="_Toc57224641"/>
      <w:bookmarkStart w:id="165" w:name="_Toc396307325"/>
      <w:bookmarkStart w:id="166" w:name="_Toc314572267"/>
      <w:r>
        <w:rPr>
          <w:rFonts w:hint="eastAsia" w:ascii="宋体" w:hAnsi="宋体" w:eastAsia="宋体" w:cs="宋体"/>
          <w:b/>
          <w:bCs/>
          <w:color w:val="auto"/>
          <w:sz w:val="24"/>
          <w:szCs w:val="24"/>
          <w:highlight w:val="none"/>
        </w:rPr>
        <w:t>车型判别功能</w:t>
      </w:r>
      <w:bookmarkEnd w:id="161"/>
      <w:bookmarkEnd w:id="162"/>
      <w:bookmarkEnd w:id="163"/>
      <w:bookmarkEnd w:id="164"/>
      <w:bookmarkEnd w:id="165"/>
      <w:bookmarkEnd w:id="166"/>
    </w:p>
    <w:p w14:paraId="0E7C3AD2">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采用车牌颜色和视频检测技术结合的方法对车辆类型进行判别，支持30种车型识别（包括：大型普通客车、大型双层客车、大型专用校车、重型特殊结构货车、轮式平底机械、轮式挖掘机械、轮式装载机械、普通二轮摩托车、轻便侧三轮摩托车、轻便正三轮载货摩托车、轻便正三轮载客摩托车、轻便普通货车、微型轿车、大型无轨电车、小型轿车、小型面包车、中型罐式货车、中型普通客车、中型平板半挂车、中型平板货车、中型普通半挂车、中型普通货车、中型厢式半挂车、中型厢式货车、重型车辆运输车、重型集装箱车、重型集装箱车挂车、重型普通货车、重型普通全挂车、重型厢式货车）。</w:t>
      </w:r>
    </w:p>
    <w:p w14:paraId="2651C681">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167" w:name="_Toc493255786"/>
      <w:bookmarkStart w:id="168" w:name="_Toc438559834"/>
      <w:bookmarkStart w:id="169" w:name="_Toc187415983"/>
      <w:bookmarkStart w:id="170" w:name="_Toc383123498"/>
      <w:bookmarkStart w:id="171" w:name="_Toc382617230"/>
      <w:bookmarkStart w:id="172" w:name="_Toc396307326"/>
      <w:bookmarkStart w:id="173" w:name="_Toc57224642"/>
      <w:bookmarkStart w:id="174" w:name="_Toc382684029"/>
      <w:r>
        <w:rPr>
          <w:rFonts w:hint="eastAsia" w:ascii="宋体" w:hAnsi="宋体" w:eastAsia="宋体" w:cs="宋体"/>
          <w:b/>
          <w:bCs/>
          <w:color w:val="auto"/>
          <w:sz w:val="24"/>
          <w:szCs w:val="24"/>
          <w:highlight w:val="none"/>
        </w:rPr>
        <w:t>车标识别功能</w:t>
      </w:r>
      <w:bookmarkEnd w:id="167"/>
      <w:bookmarkEnd w:id="168"/>
      <w:bookmarkEnd w:id="169"/>
      <w:bookmarkEnd w:id="170"/>
      <w:bookmarkEnd w:id="171"/>
      <w:bookmarkEnd w:id="172"/>
      <w:bookmarkEnd w:id="173"/>
      <w:bookmarkEnd w:id="174"/>
    </w:p>
    <w:p w14:paraId="71EB94AE">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系统采用视频检测技术对车标进行识别，可对250种车标进行识别，可供用户根据车标来查询通行车辆，为公安交通管理和刑侦案件侦破提供了科技新手段。</w:t>
      </w:r>
    </w:p>
    <w:p w14:paraId="4B044183">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175" w:name="_Toc424651333"/>
      <w:bookmarkStart w:id="176" w:name="_Toc410217857"/>
      <w:bookmarkStart w:id="177" w:name="_Toc409704645"/>
      <w:bookmarkStart w:id="178" w:name="_Toc493255787"/>
      <w:bookmarkStart w:id="179" w:name="_Toc438559835"/>
      <w:bookmarkStart w:id="180" w:name="_Toc187415984"/>
      <w:bookmarkStart w:id="181" w:name="_Toc57224643"/>
      <w:r>
        <w:rPr>
          <w:rFonts w:hint="eastAsia" w:ascii="宋体" w:hAnsi="宋体" w:eastAsia="宋体" w:cs="宋体"/>
          <w:b/>
          <w:bCs/>
          <w:color w:val="auto"/>
          <w:sz w:val="24"/>
          <w:szCs w:val="24"/>
          <w:highlight w:val="none"/>
        </w:rPr>
        <w:t>车辆子品牌识别功能</w:t>
      </w:r>
      <w:bookmarkEnd w:id="175"/>
      <w:bookmarkEnd w:id="176"/>
      <w:bookmarkEnd w:id="177"/>
      <w:bookmarkEnd w:id="178"/>
      <w:bookmarkEnd w:id="179"/>
      <w:bookmarkEnd w:id="180"/>
      <w:bookmarkEnd w:id="181"/>
    </w:p>
    <w:p w14:paraId="2C64B12D">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系统采用视频检测技术对车辆子品牌进行识别，支持识别车头6600种车辆子品牌，车尾3600种车辆子品牌，可供用户根据车辆子品牌来查询通行车辆，为公安交通管理和刑侦案件侦破提供了科技支撑。</w:t>
      </w:r>
    </w:p>
    <w:p w14:paraId="5DA7E81A">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182" w:name="_Toc438559836"/>
      <w:bookmarkStart w:id="183" w:name="_Toc187415985"/>
      <w:bookmarkStart w:id="184" w:name="_Toc396307327"/>
      <w:bookmarkStart w:id="185" w:name="_Toc493255788"/>
      <w:bookmarkStart w:id="186" w:name="_Toc57224644"/>
      <w:r>
        <w:rPr>
          <w:rFonts w:hint="eastAsia" w:ascii="宋体" w:hAnsi="宋体" w:eastAsia="宋体" w:cs="宋体"/>
          <w:b/>
          <w:bCs/>
          <w:color w:val="auto"/>
          <w:sz w:val="24"/>
          <w:szCs w:val="24"/>
          <w:highlight w:val="none"/>
        </w:rPr>
        <w:t>未系安全带检测功能</w:t>
      </w:r>
      <w:bookmarkEnd w:id="182"/>
      <w:bookmarkEnd w:id="183"/>
      <w:bookmarkEnd w:id="184"/>
      <w:bookmarkEnd w:id="185"/>
      <w:bookmarkEnd w:id="186"/>
    </w:p>
    <w:p w14:paraId="2B68642A">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系统采用视频检测技术，对未系安全带行为进行检测，为交警查处未系安全带违法行为提供了科技新手段，从而规范驾驶人安全驾驶行为。</w:t>
      </w:r>
    </w:p>
    <w:p w14:paraId="518B5E37">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未系安全带检测功能需要配置爆闪灯。</w:t>
      </w:r>
    </w:p>
    <w:p w14:paraId="2C628ED3">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187" w:name="_Toc423443447"/>
      <w:bookmarkStart w:id="188" w:name="_Toc187415986"/>
      <w:bookmarkStart w:id="189" w:name="_Toc438559837"/>
      <w:bookmarkStart w:id="190" w:name="_Toc424907652"/>
      <w:bookmarkStart w:id="191" w:name="_Toc417651879"/>
      <w:bookmarkStart w:id="192" w:name="_Toc57224645"/>
      <w:bookmarkStart w:id="193" w:name="_Toc493255789"/>
      <w:r>
        <w:rPr>
          <w:rFonts w:hint="eastAsia" w:ascii="宋体" w:hAnsi="宋体" w:eastAsia="宋体" w:cs="宋体"/>
          <w:b/>
          <w:bCs/>
          <w:color w:val="auto"/>
          <w:sz w:val="24"/>
          <w:szCs w:val="24"/>
          <w:highlight w:val="none"/>
        </w:rPr>
        <w:t>接打电话检测功能</w:t>
      </w:r>
      <w:bookmarkEnd w:id="187"/>
      <w:bookmarkEnd w:id="188"/>
      <w:bookmarkEnd w:id="189"/>
      <w:bookmarkEnd w:id="190"/>
      <w:bookmarkEnd w:id="191"/>
      <w:bookmarkEnd w:id="192"/>
      <w:bookmarkEnd w:id="193"/>
    </w:p>
    <w:p w14:paraId="11DA5088">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系统采用视频检测技术，实现对前排驾驶人接打电话状态的检测，为规范驾驶人安全驾驶行为提供威慑新手段。</w:t>
      </w:r>
    </w:p>
    <w:p w14:paraId="772827F2">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开车打电话检测功能需要配置爆闪灯。</w:t>
      </w:r>
    </w:p>
    <w:p w14:paraId="5F2F5B13">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194" w:name="_Toc423443448"/>
      <w:bookmarkStart w:id="195" w:name="_Toc417651880"/>
      <w:bookmarkStart w:id="196" w:name="_Toc57224646"/>
      <w:bookmarkStart w:id="197" w:name="_Toc438559838"/>
      <w:bookmarkStart w:id="198" w:name="_Toc424907653"/>
      <w:bookmarkStart w:id="199" w:name="_Toc187415987"/>
      <w:bookmarkStart w:id="200" w:name="_Toc493255790"/>
      <w:r>
        <w:rPr>
          <w:rFonts w:hint="eastAsia" w:ascii="宋体" w:hAnsi="宋体" w:eastAsia="宋体" w:cs="宋体"/>
          <w:b/>
          <w:bCs/>
          <w:color w:val="auto"/>
          <w:sz w:val="24"/>
          <w:szCs w:val="24"/>
          <w:highlight w:val="none"/>
        </w:rPr>
        <w:t>人脸特征抠图</w:t>
      </w:r>
      <w:bookmarkEnd w:id="194"/>
      <w:bookmarkEnd w:id="195"/>
      <w:bookmarkEnd w:id="196"/>
      <w:bookmarkEnd w:id="197"/>
      <w:bookmarkEnd w:id="198"/>
      <w:bookmarkEnd w:id="199"/>
      <w:bookmarkEnd w:id="200"/>
    </w:p>
    <w:p w14:paraId="075222FF">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系统采用视频检测技术对驾驶室人脸特征进行检测，并将人脸特征抠出，为公安交通管理和刑侦案件侦破提供了科技手段。</w:t>
      </w:r>
    </w:p>
    <w:p w14:paraId="4AB98909">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人脸检测与抠图检测功能需要配置爆闪灯。</w:t>
      </w:r>
    </w:p>
    <w:p w14:paraId="1AED90E2">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201" w:name="_Toc438559839"/>
      <w:bookmarkStart w:id="202" w:name="_Toc187415988"/>
      <w:bookmarkStart w:id="203" w:name="_Toc424907654"/>
      <w:bookmarkStart w:id="204" w:name="_Toc423443449"/>
      <w:bookmarkStart w:id="205" w:name="_Toc57224647"/>
      <w:bookmarkStart w:id="206" w:name="_Toc493255791"/>
      <w:bookmarkStart w:id="207" w:name="_Toc417651881"/>
      <w:r>
        <w:rPr>
          <w:rFonts w:hint="eastAsia" w:ascii="宋体" w:hAnsi="宋体" w:eastAsia="宋体" w:cs="宋体"/>
          <w:b/>
          <w:bCs/>
          <w:color w:val="auto"/>
          <w:sz w:val="24"/>
          <w:szCs w:val="24"/>
          <w:highlight w:val="none"/>
        </w:rPr>
        <w:t>打开遮阳板检测</w:t>
      </w:r>
      <w:bookmarkEnd w:id="201"/>
      <w:bookmarkEnd w:id="202"/>
      <w:bookmarkEnd w:id="203"/>
      <w:bookmarkEnd w:id="204"/>
      <w:bookmarkEnd w:id="205"/>
      <w:bookmarkEnd w:id="206"/>
      <w:bookmarkEnd w:id="207"/>
    </w:p>
    <w:p w14:paraId="6919A1EC">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系统采用视频检测技术对打开遮阳板进行检测，为公安交通管理和刑侦案件侦破提供了科技新手段。</w:t>
      </w:r>
    </w:p>
    <w:p w14:paraId="63A41696">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打开遮阳板检测功能需要配置爆闪灯。</w:t>
      </w:r>
    </w:p>
    <w:p w14:paraId="7D7102EE">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208" w:name="_Toc187415989"/>
      <w:bookmarkStart w:id="209" w:name="_Toc383123499"/>
      <w:bookmarkStart w:id="210" w:name="_Toc438559840"/>
      <w:bookmarkStart w:id="211" w:name="_Toc396307328"/>
      <w:bookmarkStart w:id="212" w:name="_Toc493255792"/>
      <w:bookmarkStart w:id="213" w:name="_Toc57224648"/>
      <w:r>
        <w:rPr>
          <w:rFonts w:hint="eastAsia" w:ascii="宋体" w:hAnsi="宋体" w:eastAsia="宋体" w:cs="宋体"/>
          <w:b/>
          <w:bCs/>
          <w:color w:val="auto"/>
          <w:sz w:val="24"/>
          <w:szCs w:val="24"/>
          <w:highlight w:val="none"/>
        </w:rPr>
        <w:t>前端备份存储功能</w:t>
      </w:r>
      <w:bookmarkEnd w:id="208"/>
      <w:bookmarkEnd w:id="209"/>
      <w:bookmarkEnd w:id="210"/>
      <w:bookmarkEnd w:id="211"/>
      <w:bookmarkEnd w:id="212"/>
      <w:bookmarkEnd w:id="213"/>
    </w:p>
    <w:p w14:paraId="258B6C09">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系统采集的图片、视频可在设备前端做备份存储，按照数据存储时长的要求配置不同容量的硬盘。系统可根据预先的空间分配，优先保证足够的图片存储空间，保证核心数据不丢失。</w:t>
      </w:r>
    </w:p>
    <w:p w14:paraId="33D059CB">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214" w:name="_Toc396307329"/>
      <w:bookmarkStart w:id="215" w:name="_Toc187415990"/>
      <w:bookmarkStart w:id="216" w:name="_Toc57224649"/>
      <w:bookmarkStart w:id="217" w:name="_Toc493255793"/>
      <w:bookmarkStart w:id="218" w:name="_Toc314572269"/>
      <w:bookmarkStart w:id="219" w:name="_Toc438559841"/>
      <w:r>
        <w:rPr>
          <w:rFonts w:hint="eastAsia" w:ascii="宋体" w:hAnsi="宋体" w:eastAsia="宋体" w:cs="宋体"/>
          <w:b/>
          <w:bCs/>
          <w:color w:val="auto"/>
          <w:sz w:val="24"/>
          <w:szCs w:val="24"/>
          <w:highlight w:val="none"/>
        </w:rPr>
        <w:t>数据断点续传功能</w:t>
      </w:r>
      <w:bookmarkEnd w:id="214"/>
      <w:bookmarkEnd w:id="215"/>
      <w:bookmarkEnd w:id="216"/>
      <w:bookmarkEnd w:id="217"/>
      <w:bookmarkEnd w:id="218"/>
      <w:bookmarkEnd w:id="219"/>
    </w:p>
    <w:p w14:paraId="624F6E57">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支持断点续传功能。网络传输通道故障时，终端服务器能在一定时间内临时缓存完整的数据信息，当通信恢复以后，临时存储的数据能自动续传，补录到中心管理平台集中存储。续传策略有两种：历史数据优先上传、最新数据优先上传。</w:t>
      </w:r>
    </w:p>
    <w:p w14:paraId="557E60B7">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220" w:name="_Toc314572270"/>
      <w:bookmarkStart w:id="221" w:name="_Toc438559842"/>
      <w:bookmarkStart w:id="222" w:name="_Toc57224650"/>
      <w:bookmarkStart w:id="223" w:name="_Toc396307330"/>
      <w:bookmarkStart w:id="224" w:name="_Toc493255794"/>
      <w:bookmarkStart w:id="225" w:name="_Toc187415991"/>
      <w:r>
        <w:rPr>
          <w:rFonts w:hint="eastAsia" w:ascii="宋体" w:hAnsi="宋体" w:eastAsia="宋体" w:cs="宋体"/>
          <w:b/>
          <w:bCs/>
          <w:color w:val="auto"/>
          <w:sz w:val="24"/>
          <w:szCs w:val="24"/>
          <w:highlight w:val="none"/>
        </w:rPr>
        <w:t>图像防篡改功能</w:t>
      </w:r>
      <w:bookmarkEnd w:id="220"/>
      <w:bookmarkEnd w:id="221"/>
      <w:bookmarkEnd w:id="222"/>
      <w:bookmarkEnd w:id="223"/>
      <w:bookmarkEnd w:id="224"/>
      <w:bookmarkEnd w:id="225"/>
    </w:p>
    <w:p w14:paraId="537E3D5C">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系统记录的原始图像信息具备防篡改功能，避免在传输、存储、处理等过程中被人为篡改。</w:t>
      </w:r>
    </w:p>
    <w:p w14:paraId="30D5CCE5">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bookmarkStart w:id="226" w:name="_Toc57224651"/>
      <w:bookmarkStart w:id="227" w:name="_Toc187415992"/>
      <w:bookmarkStart w:id="228" w:name="_Toc396307331"/>
      <w:bookmarkStart w:id="229" w:name="_Toc438559843"/>
      <w:bookmarkStart w:id="230" w:name="_Toc314572271"/>
      <w:bookmarkStart w:id="231" w:name="_Toc493255795"/>
      <w:r>
        <w:rPr>
          <w:rFonts w:hint="eastAsia" w:ascii="宋体" w:hAnsi="宋体" w:eastAsia="宋体" w:cs="宋体"/>
          <w:b/>
          <w:bCs/>
          <w:color w:val="auto"/>
          <w:sz w:val="24"/>
          <w:szCs w:val="24"/>
          <w:highlight w:val="none"/>
        </w:rPr>
        <w:t>网络远程维护功能</w:t>
      </w:r>
      <w:bookmarkEnd w:id="226"/>
      <w:bookmarkEnd w:id="227"/>
      <w:bookmarkEnd w:id="228"/>
      <w:bookmarkEnd w:id="229"/>
      <w:bookmarkEnd w:id="230"/>
      <w:bookmarkEnd w:id="231"/>
    </w:p>
    <w:p w14:paraId="50119C20">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前端子系统预留了时间校正接口、参数设置接口、运行情况的诊断接口和恢复接口，可对前端设备进行设置、调试及维护。管理员可以实时查看前端设备的运行状态。可通过网络实现远程维护、远程设置和远程升级等功能。</w:t>
      </w:r>
    </w:p>
    <w:p w14:paraId="0BEE5A3A">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360" w:lineRule="auto"/>
        <w:textAlignment w:val="baseline"/>
        <w:rPr>
          <w:rFonts w:hint="eastAsia" w:ascii="宋体" w:hAnsi="宋体" w:eastAsia="宋体" w:cs="宋体"/>
          <w:b/>
          <w:bCs/>
          <w:color w:val="auto"/>
          <w:spacing w:val="-4"/>
          <w:highlight w:val="none"/>
        </w:rPr>
      </w:pPr>
      <w:bookmarkStart w:id="232" w:name="_Toc438559845"/>
      <w:bookmarkStart w:id="233" w:name="_Toc187415993"/>
      <w:bookmarkStart w:id="234" w:name="_Toc493255797"/>
      <w:bookmarkStart w:id="235" w:name="_Toc57224659"/>
      <w:bookmarkStart w:id="236" w:name="_Toc396307334"/>
      <w:bookmarkStart w:id="237" w:name="_Toc314572274"/>
      <w:bookmarkStart w:id="238" w:name="_Toc61265436"/>
      <w:r>
        <w:rPr>
          <w:rFonts w:hint="eastAsia" w:ascii="宋体" w:hAnsi="宋体" w:eastAsia="宋体" w:cs="宋体"/>
          <w:b/>
          <w:bCs/>
          <w:color w:val="auto"/>
          <w:spacing w:val="-4"/>
          <w:highlight w:val="none"/>
        </w:rPr>
        <w:t>系统性能指标</w:t>
      </w:r>
      <w:bookmarkEnd w:id="232"/>
      <w:bookmarkEnd w:id="233"/>
      <w:bookmarkEnd w:id="234"/>
      <w:bookmarkEnd w:id="235"/>
      <w:bookmarkEnd w:id="236"/>
      <w:bookmarkEnd w:id="237"/>
      <w:bookmarkEnd w:id="238"/>
      <w:r>
        <w:rPr>
          <w:rFonts w:hint="eastAsia" w:ascii="宋体" w:hAnsi="宋体" w:eastAsia="宋体" w:cs="宋体"/>
          <w:b/>
          <w:bCs/>
          <w:color w:val="auto"/>
          <w:spacing w:val="-4"/>
          <w:highlight w:val="none"/>
        </w:rPr>
        <w:t>要求</w:t>
      </w:r>
    </w:p>
    <w:p w14:paraId="560CEFD4">
      <w:pPr>
        <w:pageBreakBefore w:val="0"/>
        <w:widowControl/>
        <w:shd w:val="clear"/>
        <w:kinsoku/>
        <w:wordWrap/>
        <w:overflowPunct/>
        <w:topLinePunct w:val="0"/>
        <w:autoSpaceDE w:val="0"/>
        <w:autoSpaceDN w:val="0"/>
        <w:bidi w:val="0"/>
        <w:adjustRightInd w:val="0"/>
        <w:snapToGrid w:val="0"/>
        <w:spacing w:line="360" w:lineRule="auto"/>
        <w:ind w:left="420"/>
        <w:jc w:val="center"/>
        <w:rPr>
          <w:rFonts w:hint="eastAsia" w:ascii="宋体" w:hAnsi="宋体" w:eastAsia="宋体" w:cs="宋体"/>
          <w:b/>
          <w:bCs/>
          <w:color w:val="auto"/>
          <w:sz w:val="24"/>
          <w:szCs w:val="24"/>
          <w:highlight w:val="none"/>
        </w:rPr>
      </w:pPr>
      <w:bookmarkStart w:id="239" w:name="_Toc57224753"/>
      <w:bookmarkStart w:id="240" w:name="_Toc493255846"/>
      <w:r>
        <w:rPr>
          <w:rFonts w:hint="eastAsia" w:ascii="宋体" w:hAnsi="宋体" w:eastAsia="宋体" w:cs="宋体"/>
          <w:b/>
          <w:bCs/>
          <w:snapToGrid w:val="0"/>
          <w:color w:val="auto"/>
          <w:spacing w:val="-4"/>
          <w:kern w:val="0"/>
          <w:sz w:val="28"/>
          <w:szCs w:val="24"/>
          <w:highlight w:val="none"/>
          <w:lang w:val="en-US" w:eastAsia="zh-CN"/>
        </w:rPr>
        <w:t>1.</w:t>
      </w:r>
      <w:r>
        <w:rPr>
          <w:rFonts w:hint="eastAsia" w:ascii="宋体" w:hAnsi="宋体" w:eastAsia="宋体" w:cs="宋体"/>
          <w:b/>
          <w:bCs/>
          <w:color w:val="auto"/>
          <w:sz w:val="24"/>
          <w:szCs w:val="24"/>
          <w:highlight w:val="none"/>
        </w:rPr>
        <w:t>正装固定测速模式系统性能指标</w:t>
      </w:r>
      <w:bookmarkEnd w:id="239"/>
      <w:bookmarkEnd w:id="240"/>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5"/>
        <w:gridCol w:w="6197"/>
      </w:tblGrid>
      <w:tr w14:paraId="6AC44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1364" w:type="pct"/>
            <w:shd w:val="clear" w:color="auto" w:fill="D0CECE"/>
            <w:noWrap w:val="0"/>
            <w:vAlign w:val="center"/>
          </w:tcPr>
          <w:p w14:paraId="0622BEAD">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w:t>
            </w:r>
          </w:p>
        </w:tc>
        <w:tc>
          <w:tcPr>
            <w:tcW w:w="3636" w:type="pct"/>
            <w:shd w:val="clear" w:color="auto" w:fill="D0CECE"/>
            <w:noWrap w:val="0"/>
            <w:vAlign w:val="center"/>
          </w:tcPr>
          <w:p w14:paraId="51EE75A1">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技术规格</w:t>
            </w:r>
          </w:p>
        </w:tc>
      </w:tr>
      <w:tr w14:paraId="03FFE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0093ABCC">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通行车辆捕获率</w:t>
            </w:r>
          </w:p>
        </w:tc>
        <w:tc>
          <w:tcPr>
            <w:tcW w:w="3636" w:type="pct"/>
            <w:noWrap w:val="0"/>
            <w:vAlign w:val="center"/>
          </w:tcPr>
          <w:p w14:paraId="5DA7BBC2">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≥99%；</w:t>
            </w:r>
          </w:p>
        </w:tc>
      </w:tr>
      <w:tr w14:paraId="5C99F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19BB8C8B">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超速违法捕获率</w:t>
            </w:r>
          </w:p>
        </w:tc>
        <w:tc>
          <w:tcPr>
            <w:tcW w:w="3636" w:type="pct"/>
            <w:noWrap w:val="0"/>
            <w:vAlign w:val="center"/>
          </w:tcPr>
          <w:p w14:paraId="521D2251">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≥90%；</w:t>
            </w:r>
          </w:p>
        </w:tc>
      </w:tr>
      <w:tr w14:paraId="44BE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31607D24">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超速违法捕获有效率</w:t>
            </w:r>
          </w:p>
        </w:tc>
        <w:tc>
          <w:tcPr>
            <w:tcW w:w="3636" w:type="pct"/>
            <w:noWrap w:val="0"/>
            <w:vAlign w:val="center"/>
          </w:tcPr>
          <w:p w14:paraId="58DE91E3">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≥90%；</w:t>
            </w:r>
          </w:p>
        </w:tc>
      </w:tr>
      <w:tr w14:paraId="4C553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36337437">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测速误差</w:t>
            </w:r>
          </w:p>
        </w:tc>
        <w:tc>
          <w:tcPr>
            <w:tcW w:w="3636" w:type="pct"/>
            <w:noWrap w:val="0"/>
            <w:vAlign w:val="center"/>
          </w:tcPr>
          <w:p w14:paraId="41F8573D">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当机动车速度小于100km/h时，道路实测误差不超过-6km/h～0km/h；当机动车速度大于或等于100km/h时，道路实测误差不超过机动车速度的-6%～0%。</w:t>
            </w:r>
          </w:p>
        </w:tc>
      </w:tr>
      <w:tr w14:paraId="7322A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top"/>
          </w:tcPr>
          <w:p w14:paraId="4721A4A4">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测速范围</w:t>
            </w:r>
          </w:p>
        </w:tc>
        <w:tc>
          <w:tcPr>
            <w:tcW w:w="3636" w:type="pct"/>
            <w:noWrap w:val="0"/>
            <w:vAlign w:val="top"/>
          </w:tcPr>
          <w:p w14:paraId="72661935">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20km/h ~200km/h；</w:t>
            </w:r>
          </w:p>
        </w:tc>
      </w:tr>
      <w:tr w14:paraId="2973A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top"/>
          </w:tcPr>
          <w:p w14:paraId="60F56475">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最小抓拍间隔</w:t>
            </w:r>
          </w:p>
        </w:tc>
        <w:tc>
          <w:tcPr>
            <w:tcW w:w="3636" w:type="pct"/>
            <w:noWrap w:val="0"/>
            <w:vAlign w:val="top"/>
          </w:tcPr>
          <w:p w14:paraId="7F7DCB32">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&lt;40ms；</w:t>
            </w:r>
          </w:p>
        </w:tc>
      </w:tr>
      <w:tr w14:paraId="64F50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62145011">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识别牌照种类</w:t>
            </w:r>
          </w:p>
        </w:tc>
        <w:tc>
          <w:tcPr>
            <w:tcW w:w="3636" w:type="pct"/>
            <w:noWrap w:val="0"/>
            <w:vAlign w:val="center"/>
          </w:tcPr>
          <w:p w14:paraId="430411E9">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车牌类别：民用车牌（除5小车辆），警用车牌，军用车牌，武警车牌。</w:t>
            </w:r>
          </w:p>
          <w:p w14:paraId="70E9D354">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车牌颜色：黑、白、蓝、黄、绿。</w:t>
            </w:r>
          </w:p>
        </w:tc>
      </w:tr>
      <w:tr w14:paraId="1280E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584CBD3D">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牌照识别率</w:t>
            </w:r>
          </w:p>
        </w:tc>
        <w:tc>
          <w:tcPr>
            <w:tcW w:w="3636" w:type="pct"/>
            <w:noWrap w:val="0"/>
            <w:vAlign w:val="center"/>
          </w:tcPr>
          <w:p w14:paraId="66194696">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间号牌号码识别准确率应不小于95%;夜间号牌号码识别准确率应不小于90%;日间号牌颜色识别准确率应不小于90%;夜间号牌颜色识别准确率应不小于80%;号牌种类识别准确率应不小于95%;未悬挂号牌的识别率应不小于80%;</w:t>
            </w:r>
          </w:p>
        </w:tc>
      </w:tr>
      <w:tr w14:paraId="22BE6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7B7565D7">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可识别的车身颜色类别</w:t>
            </w:r>
          </w:p>
        </w:tc>
        <w:tc>
          <w:tcPr>
            <w:tcW w:w="3636" w:type="pct"/>
            <w:noWrap w:val="0"/>
            <w:vAlign w:val="center"/>
          </w:tcPr>
          <w:p w14:paraId="18A55512">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13种车身颜色识别，包括黑、白、灰、红、绿、蓝、黄、粉、紫、棕、青、金、橙；</w:t>
            </w:r>
          </w:p>
        </w:tc>
      </w:tr>
      <w:tr w14:paraId="5F9A1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020AADB6">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车身颜色识别准确率</w:t>
            </w:r>
          </w:p>
        </w:tc>
        <w:tc>
          <w:tcPr>
            <w:tcW w:w="3636" w:type="pct"/>
            <w:noWrap w:val="0"/>
            <w:vAlign w:val="center"/>
          </w:tcPr>
          <w:p w14:paraId="6515A2FA">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深浅色分类准确率：≥80%；</w:t>
            </w:r>
          </w:p>
          <w:p w14:paraId="6B62BB2F">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13种常见颜色车辆的识别准确率：白天≥85%，夜晚≥80%；闪光灯补光。</w:t>
            </w:r>
          </w:p>
        </w:tc>
      </w:tr>
      <w:tr w14:paraId="7D62A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39E75E77">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车型判别</w:t>
            </w:r>
          </w:p>
        </w:tc>
        <w:tc>
          <w:tcPr>
            <w:tcW w:w="3636" w:type="pct"/>
            <w:noWrap w:val="0"/>
            <w:vAlign w:val="center"/>
          </w:tcPr>
          <w:p w14:paraId="5A6F06E2">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30种(大货车、大客车、小货车、轿车、面包车、中型客车、SUV-MPV等) ，识别准确率：≥95%。</w:t>
            </w:r>
          </w:p>
        </w:tc>
      </w:tr>
      <w:tr w14:paraId="54BAB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34228408">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车标识别</w:t>
            </w:r>
          </w:p>
        </w:tc>
        <w:tc>
          <w:tcPr>
            <w:tcW w:w="3636" w:type="pct"/>
            <w:noWrap w:val="0"/>
            <w:vAlign w:val="center"/>
          </w:tcPr>
          <w:p w14:paraId="2E1EE89C">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250种，识别准确率：白天≥95%，夜晚≥85%。</w:t>
            </w:r>
          </w:p>
        </w:tc>
      </w:tr>
      <w:tr w14:paraId="4EBC9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4457AC5F">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特征识别</w:t>
            </w:r>
          </w:p>
        </w:tc>
        <w:tc>
          <w:tcPr>
            <w:tcW w:w="3636" w:type="pct"/>
            <w:noWrap w:val="0"/>
            <w:vAlign w:val="center"/>
          </w:tcPr>
          <w:p w14:paraId="493D7196">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支持识别车头6600种车辆子品牌，车尾3600种车辆子品牌、未系安全带检测、接打电话检测、人脸特征抠图、打开遮阳板检测； </w:t>
            </w:r>
          </w:p>
        </w:tc>
      </w:tr>
      <w:tr w14:paraId="4C43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3ABB1A7A">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图片压缩方式及分辨率</w:t>
            </w:r>
          </w:p>
        </w:tc>
        <w:tc>
          <w:tcPr>
            <w:tcW w:w="3636" w:type="pct"/>
            <w:noWrap w:val="0"/>
            <w:vAlign w:val="center"/>
          </w:tcPr>
          <w:p w14:paraId="15DF7450">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JPEG格式。</w:t>
            </w:r>
          </w:p>
          <w:p w14:paraId="3A935FB2">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500万像素：单张图片分辨率（像素）；2448*2048；</w:t>
            </w:r>
          </w:p>
          <w:p w14:paraId="5D396CB8">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900万像素：单张图片分辨率（像素）4096*2160；</w:t>
            </w:r>
          </w:p>
        </w:tc>
      </w:tr>
      <w:tr w14:paraId="5BA3E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69996D14">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通行车辆抓拍图片数目</w:t>
            </w:r>
          </w:p>
        </w:tc>
        <w:tc>
          <w:tcPr>
            <w:tcW w:w="3636" w:type="pct"/>
            <w:noWrap w:val="0"/>
            <w:vAlign w:val="center"/>
          </w:tcPr>
          <w:p w14:paraId="2865F589">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1张。</w:t>
            </w:r>
          </w:p>
        </w:tc>
      </w:tr>
      <w:tr w14:paraId="6BF50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06E73EBE">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超速违法车辆抓拍图片数目</w:t>
            </w:r>
          </w:p>
        </w:tc>
        <w:tc>
          <w:tcPr>
            <w:tcW w:w="3636" w:type="pct"/>
            <w:noWrap w:val="0"/>
            <w:vAlign w:val="center"/>
          </w:tcPr>
          <w:p w14:paraId="4C104274">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抓拍1或2张，摄像机可设（默认1张）。</w:t>
            </w:r>
          </w:p>
        </w:tc>
      </w:tr>
      <w:tr w14:paraId="59BFB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3A2AF649">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前端录像存储功能</w:t>
            </w:r>
          </w:p>
        </w:tc>
        <w:tc>
          <w:tcPr>
            <w:tcW w:w="3636" w:type="pct"/>
            <w:noWrap w:val="0"/>
            <w:vAlign w:val="center"/>
          </w:tcPr>
          <w:p w14:paraId="73B3C9B2">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终端服务器具备前端录像存储功能。</w:t>
            </w:r>
          </w:p>
        </w:tc>
      </w:tr>
      <w:tr w14:paraId="30C0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1EC25D2D">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车辆信息存储容量</w:t>
            </w:r>
          </w:p>
        </w:tc>
        <w:tc>
          <w:tcPr>
            <w:tcW w:w="3636" w:type="pct"/>
            <w:noWrap w:val="0"/>
            <w:vAlign w:val="center"/>
          </w:tcPr>
          <w:p w14:paraId="6D6E8B5D">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至少能够保存≥200万辆通行车辆信息或≥100万辆的违法车辆信息。</w:t>
            </w:r>
          </w:p>
        </w:tc>
      </w:tr>
      <w:tr w14:paraId="0D88B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0FE92EA6">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接口</w:t>
            </w:r>
          </w:p>
        </w:tc>
        <w:tc>
          <w:tcPr>
            <w:tcW w:w="3636" w:type="pct"/>
            <w:noWrap w:val="0"/>
            <w:vAlign w:val="center"/>
          </w:tcPr>
          <w:p w14:paraId="683CAFF6">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RJ45，100Mbps以太网，TCP/IP协议。</w:t>
            </w:r>
          </w:p>
        </w:tc>
      </w:tr>
      <w:tr w14:paraId="162A4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2D156A59">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接入方式</w:t>
            </w:r>
          </w:p>
        </w:tc>
        <w:tc>
          <w:tcPr>
            <w:tcW w:w="3636" w:type="pct"/>
            <w:noWrap w:val="0"/>
            <w:vAlign w:val="center"/>
          </w:tcPr>
          <w:p w14:paraId="589A1035">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终端服务器按照既定协议接入后端平台。</w:t>
            </w:r>
          </w:p>
        </w:tc>
      </w:tr>
      <w:tr w14:paraId="6BF60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2DBDB8DA">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平均无故障连续运行时间MTBF</w:t>
            </w:r>
          </w:p>
        </w:tc>
        <w:tc>
          <w:tcPr>
            <w:tcW w:w="3636" w:type="pct"/>
            <w:noWrap w:val="0"/>
            <w:vAlign w:val="center"/>
          </w:tcPr>
          <w:p w14:paraId="1FF6B33E">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≥5000h。</w:t>
            </w:r>
          </w:p>
        </w:tc>
      </w:tr>
      <w:tr w14:paraId="7C0A0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30D6B277">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防护等级</w:t>
            </w:r>
          </w:p>
        </w:tc>
        <w:tc>
          <w:tcPr>
            <w:tcW w:w="3636" w:type="pct"/>
            <w:noWrap w:val="0"/>
            <w:vAlign w:val="center"/>
          </w:tcPr>
          <w:p w14:paraId="6541C7F6">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室外各部件不低于IP54。</w:t>
            </w:r>
          </w:p>
        </w:tc>
      </w:tr>
      <w:tr w14:paraId="4BB16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6360BF3D">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供电电源</w:t>
            </w:r>
          </w:p>
        </w:tc>
        <w:tc>
          <w:tcPr>
            <w:tcW w:w="3636" w:type="pct"/>
            <w:noWrap w:val="0"/>
            <w:vAlign w:val="center"/>
          </w:tcPr>
          <w:p w14:paraId="4F081B3E">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100VAC～240VAC，48Hz～52Hz。</w:t>
            </w:r>
          </w:p>
        </w:tc>
      </w:tr>
      <w:tr w14:paraId="17B5F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4" w:type="pct"/>
            <w:noWrap w:val="0"/>
            <w:vAlign w:val="center"/>
          </w:tcPr>
          <w:p w14:paraId="17FF2A59">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总功耗（双向4车道）</w:t>
            </w:r>
          </w:p>
        </w:tc>
        <w:tc>
          <w:tcPr>
            <w:tcW w:w="3636" w:type="pct"/>
            <w:noWrap w:val="0"/>
            <w:vAlign w:val="center"/>
          </w:tcPr>
          <w:p w14:paraId="0F2C852E">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＜400W。</w:t>
            </w:r>
          </w:p>
        </w:tc>
      </w:tr>
      <w:tr w14:paraId="20F03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364" w:type="pct"/>
            <w:noWrap w:val="0"/>
            <w:vAlign w:val="center"/>
          </w:tcPr>
          <w:p w14:paraId="6DBF6DB6">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工作环境温度</w:t>
            </w:r>
          </w:p>
        </w:tc>
        <w:tc>
          <w:tcPr>
            <w:tcW w:w="3636" w:type="pct"/>
            <w:noWrap w:val="0"/>
            <w:vAlign w:val="center"/>
          </w:tcPr>
          <w:p w14:paraId="65330CD8">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常温型：-10℃～+60℃；低温型：-30℃～+70℃。</w:t>
            </w:r>
          </w:p>
        </w:tc>
      </w:tr>
      <w:tr w14:paraId="60A28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364" w:type="pct"/>
            <w:noWrap w:val="0"/>
            <w:vAlign w:val="center"/>
          </w:tcPr>
          <w:p w14:paraId="5E3E2E8C">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工作环境湿度</w:t>
            </w:r>
          </w:p>
        </w:tc>
        <w:tc>
          <w:tcPr>
            <w:tcW w:w="3636" w:type="pct"/>
            <w:noWrap w:val="0"/>
            <w:vAlign w:val="center"/>
          </w:tcPr>
          <w:p w14:paraId="44A0E385">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＜95％@+40℃，无凝结。</w:t>
            </w:r>
          </w:p>
        </w:tc>
      </w:tr>
    </w:tbl>
    <w:p w14:paraId="6C3C85C4">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color w:val="auto"/>
          <w:spacing w:val="-4"/>
          <w:sz w:val="28"/>
          <w:szCs w:val="28"/>
          <w:highlight w:val="none"/>
        </w:rPr>
      </w:pPr>
      <w:bookmarkStart w:id="241" w:name="_Ref6478"/>
      <w:bookmarkStart w:id="242" w:name="_Toc187416001"/>
      <w:bookmarkStart w:id="243" w:name="_Ref1104"/>
      <w:r>
        <w:rPr>
          <w:rFonts w:hint="eastAsia" w:ascii="宋体" w:hAnsi="宋体" w:eastAsia="宋体" w:cs="宋体"/>
          <w:b/>
          <w:bCs/>
          <w:color w:val="auto"/>
          <w:spacing w:val="-4"/>
          <w:sz w:val="28"/>
          <w:szCs w:val="28"/>
          <w:highlight w:val="none"/>
        </w:rPr>
        <w:t>★</w:t>
      </w:r>
      <w:r>
        <w:rPr>
          <w:rFonts w:hint="eastAsia" w:ascii="宋体" w:hAnsi="宋体" w:eastAsia="宋体" w:cs="宋体"/>
          <w:color w:val="auto"/>
          <w:spacing w:val="-4"/>
          <w:sz w:val="28"/>
          <w:szCs w:val="28"/>
          <w:highlight w:val="none"/>
        </w:rPr>
        <w:t>平台升级</w:t>
      </w:r>
      <w:r>
        <w:rPr>
          <w:rFonts w:hint="eastAsia" w:ascii="宋体" w:hAnsi="宋体" w:eastAsia="宋体" w:cs="宋体"/>
          <w:color w:val="auto"/>
          <w:spacing w:val="-4"/>
          <w:sz w:val="28"/>
          <w:szCs w:val="28"/>
          <w:highlight w:val="none"/>
          <w:lang w:val="en-US" w:eastAsia="zh-CN"/>
        </w:rPr>
        <w:t>接入兼容性要求</w:t>
      </w:r>
      <w:bookmarkEnd w:id="241"/>
    </w:p>
    <w:p w14:paraId="329F9210">
      <w:pPr>
        <w:keepNext w:val="0"/>
        <w:keepLines w:val="0"/>
        <w:pageBreakBefore w:val="0"/>
        <w:widowControl/>
        <w:shd w:val="clear"/>
        <w:kinsoku/>
        <w:wordWrap/>
        <w:overflowPunct/>
        <w:topLinePunct w:val="0"/>
        <w:autoSpaceDE w:val="0"/>
        <w:autoSpaceDN w:val="0"/>
        <w:bidi w:val="0"/>
        <w:adjustRightInd w:val="0"/>
        <w:snapToGrid w:val="0"/>
        <w:spacing w:line="240" w:lineRule="auto"/>
        <w:ind w:firstLine="482" w:firstLineChars="200"/>
        <w:textAlignment w:val="baseline"/>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升级后的平台需兼容并接入原有固定红绿灯电警路口、卡口测速系统、违停抓拍、逆行抓拍、道路监控、</w:t>
      </w:r>
      <w:r>
        <w:rPr>
          <w:rFonts w:hint="eastAsia" w:ascii="宋体" w:hAnsi="宋体" w:eastAsia="宋体" w:cs="宋体"/>
          <w:b/>
          <w:bCs w:val="0"/>
          <w:color w:val="auto"/>
          <w:sz w:val="24"/>
          <w:szCs w:val="24"/>
          <w:highlight w:val="none"/>
          <w:lang w:val="en-US" w:eastAsia="zh-CN"/>
        </w:rPr>
        <w:t>网络</w:t>
      </w:r>
      <w:r>
        <w:rPr>
          <w:rFonts w:hint="eastAsia" w:ascii="宋体" w:hAnsi="宋体" w:eastAsia="宋体" w:cs="宋体"/>
          <w:b/>
          <w:bCs w:val="0"/>
          <w:color w:val="auto"/>
          <w:sz w:val="24"/>
          <w:szCs w:val="24"/>
          <w:highlight w:val="none"/>
        </w:rPr>
        <w:t>存储、服务器等设备，且原有平台功能不得有缺失，平台升级后，如果存在设备无法接入或兼容的，则</w:t>
      </w:r>
      <w:r>
        <w:rPr>
          <w:rFonts w:hint="eastAsia" w:ascii="宋体" w:hAnsi="宋体" w:eastAsia="宋体" w:cs="宋体"/>
          <w:b/>
          <w:bCs w:val="0"/>
          <w:color w:val="auto"/>
          <w:sz w:val="24"/>
          <w:szCs w:val="24"/>
          <w:highlight w:val="none"/>
          <w:lang w:eastAsia="zh-CN"/>
        </w:rPr>
        <w:t>投标人</w:t>
      </w:r>
      <w:r>
        <w:rPr>
          <w:rFonts w:hint="eastAsia" w:ascii="宋体" w:hAnsi="宋体" w:eastAsia="宋体" w:cs="宋体"/>
          <w:b/>
          <w:bCs w:val="0"/>
          <w:color w:val="auto"/>
          <w:sz w:val="24"/>
          <w:szCs w:val="24"/>
          <w:highlight w:val="none"/>
        </w:rPr>
        <w:t>免费更换相应设备。</w:t>
      </w:r>
      <w:r>
        <w:rPr>
          <w:rFonts w:hint="eastAsia" w:ascii="宋体" w:hAnsi="宋体" w:eastAsia="宋体" w:cs="宋体"/>
          <w:b/>
          <w:bCs w:val="0"/>
          <w:color w:val="auto"/>
          <w:sz w:val="24"/>
          <w:szCs w:val="24"/>
          <w:highlight w:val="none"/>
          <w:lang w:eastAsia="zh-CN"/>
        </w:rPr>
        <w:t>投标人</w:t>
      </w:r>
      <w:r>
        <w:rPr>
          <w:rFonts w:hint="eastAsia" w:ascii="宋体" w:hAnsi="宋体" w:eastAsia="宋体" w:cs="宋体"/>
          <w:b/>
          <w:bCs w:val="0"/>
          <w:color w:val="auto"/>
          <w:sz w:val="24"/>
          <w:szCs w:val="24"/>
          <w:highlight w:val="none"/>
        </w:rPr>
        <w:t>需提供以上相关内容</w:t>
      </w:r>
      <w:r>
        <w:rPr>
          <w:rFonts w:hint="eastAsia" w:ascii="宋体" w:hAnsi="宋体" w:eastAsia="宋体" w:cs="宋体"/>
          <w:b/>
          <w:bCs w:val="0"/>
          <w:color w:val="auto"/>
          <w:sz w:val="24"/>
          <w:szCs w:val="24"/>
          <w:highlight w:val="none"/>
          <w:lang w:val="en-US" w:eastAsia="zh-CN"/>
        </w:rPr>
        <w:t>的</w:t>
      </w:r>
      <w:r>
        <w:rPr>
          <w:rFonts w:hint="eastAsia" w:ascii="宋体" w:hAnsi="宋体" w:eastAsia="宋体" w:cs="宋体"/>
          <w:b/>
          <w:bCs w:val="0"/>
          <w:color w:val="auto"/>
          <w:sz w:val="24"/>
          <w:szCs w:val="24"/>
          <w:highlight w:val="none"/>
        </w:rPr>
        <w:t>承诺函（格式自拟）</w:t>
      </w:r>
    </w:p>
    <w:p w14:paraId="42A6514C">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color w:val="auto"/>
          <w:spacing w:val="-4"/>
          <w:sz w:val="28"/>
          <w:szCs w:val="28"/>
          <w:highlight w:val="none"/>
        </w:rPr>
      </w:pPr>
      <w:bookmarkStart w:id="244" w:name="_Ref739"/>
      <w:r>
        <w:rPr>
          <w:rFonts w:hint="eastAsia" w:ascii="宋体" w:hAnsi="宋体" w:eastAsia="宋体" w:cs="宋体"/>
          <w:color w:val="auto"/>
          <w:spacing w:val="-4"/>
          <w:sz w:val="28"/>
          <w:szCs w:val="28"/>
          <w:highlight w:val="none"/>
        </w:rPr>
        <w:t>交通信号控制平台</w:t>
      </w:r>
      <w:bookmarkEnd w:id="242"/>
      <w:r>
        <w:rPr>
          <w:rFonts w:hint="eastAsia" w:ascii="宋体" w:hAnsi="宋体" w:eastAsia="宋体" w:cs="宋体"/>
          <w:color w:val="auto"/>
          <w:spacing w:val="-4"/>
          <w:sz w:val="28"/>
          <w:szCs w:val="28"/>
          <w:highlight w:val="none"/>
        </w:rPr>
        <w:t>功能要求</w:t>
      </w:r>
      <w:bookmarkEnd w:id="243"/>
      <w:bookmarkEnd w:id="244"/>
    </w:p>
    <w:p w14:paraId="39A37D4C">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b/>
          <w:bCs/>
          <w:color w:val="auto"/>
          <w:spacing w:val="-4"/>
          <w:sz w:val="24"/>
          <w:szCs w:val="22"/>
          <w:highlight w:val="none"/>
        </w:rPr>
      </w:pPr>
      <w:bookmarkStart w:id="245" w:name="_Toc187416002"/>
      <w:r>
        <w:rPr>
          <w:rFonts w:hint="eastAsia" w:ascii="宋体" w:hAnsi="宋体" w:eastAsia="宋体" w:cs="宋体"/>
          <w:b/>
          <w:bCs/>
          <w:color w:val="auto"/>
          <w:spacing w:val="-4"/>
          <w:sz w:val="24"/>
          <w:szCs w:val="22"/>
          <w:highlight w:val="none"/>
        </w:rPr>
        <w:t>智慧信控</w:t>
      </w:r>
      <w:bookmarkEnd w:id="245"/>
    </w:p>
    <w:p w14:paraId="0DD3648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智慧信控是利用可视化的展示方式，将用户关注的内容使用GIS的方式进行展示。用户可在智慧信控页面查看到各级组织的数据概览，可以在地图上直观的看到各个路口是否在线，以及当前执行的控制模式。该模块能够对全局的资源进行统计，第一时间发现问题。</w:t>
      </w:r>
    </w:p>
    <w:p w14:paraId="183B4F9D">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46" w:name="_Toc187416003"/>
      <w:r>
        <w:rPr>
          <w:rFonts w:hint="eastAsia" w:ascii="宋体" w:hAnsi="宋体" w:eastAsia="宋体" w:cs="宋体"/>
          <w:b/>
          <w:bCs/>
          <w:snapToGrid w:val="0"/>
          <w:color w:val="auto"/>
          <w:spacing w:val="-4"/>
          <w:kern w:val="0"/>
          <w:sz w:val="28"/>
          <w:szCs w:val="24"/>
          <w:highlight w:val="none"/>
          <w:lang w:val="en-US" w:eastAsia="zh-CN"/>
        </w:rPr>
        <w:t>1.</w:t>
      </w:r>
      <w:r>
        <w:rPr>
          <w:rFonts w:hint="eastAsia" w:ascii="宋体" w:hAnsi="宋体" w:eastAsia="宋体" w:cs="宋体"/>
          <w:b/>
          <w:bCs/>
          <w:color w:val="auto"/>
          <w:sz w:val="24"/>
          <w:szCs w:val="24"/>
          <w:highlight w:val="none"/>
        </w:rPr>
        <w:t>路口位置配置</w:t>
      </w:r>
      <w:bookmarkEnd w:id="246"/>
    </w:p>
    <w:p w14:paraId="46F5999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支持对路口的经纬度进行配置，能够根据配置的经纬度在地图上展示；</w:t>
      </w:r>
    </w:p>
    <w:p w14:paraId="292FEDAE">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47" w:name="_Toc187416004"/>
      <w:r>
        <w:rPr>
          <w:rFonts w:hint="eastAsia" w:ascii="宋体" w:hAnsi="宋体" w:eastAsia="宋体" w:cs="宋体"/>
          <w:b/>
          <w:bCs/>
          <w:snapToGrid w:val="0"/>
          <w:color w:val="auto"/>
          <w:spacing w:val="-4"/>
          <w:kern w:val="0"/>
          <w:sz w:val="28"/>
          <w:szCs w:val="24"/>
          <w:highlight w:val="none"/>
          <w:lang w:val="en-US" w:eastAsia="zh-CN"/>
        </w:rPr>
        <w:t>2.</w:t>
      </w:r>
      <w:r>
        <w:rPr>
          <w:rFonts w:hint="eastAsia" w:ascii="宋体" w:hAnsi="宋体" w:eastAsia="宋体" w:cs="宋体"/>
          <w:b/>
          <w:bCs/>
          <w:color w:val="auto"/>
          <w:sz w:val="24"/>
          <w:szCs w:val="24"/>
          <w:highlight w:val="none"/>
        </w:rPr>
        <w:t>路口形态配置</w:t>
      </w:r>
      <w:bookmarkEnd w:id="247"/>
    </w:p>
    <w:p w14:paraId="2AF3E05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支持以地图为底图配置标准十字、Y型、T型、多岔口不同形态的路口；</w:t>
      </w:r>
    </w:p>
    <w:p w14:paraId="4C78B716">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48" w:name="_Toc187416005"/>
      <w:r>
        <w:rPr>
          <w:rFonts w:hint="eastAsia" w:ascii="宋体" w:hAnsi="宋体" w:eastAsia="宋体" w:cs="宋体"/>
          <w:b/>
          <w:bCs/>
          <w:snapToGrid w:val="0"/>
          <w:color w:val="auto"/>
          <w:spacing w:val="-4"/>
          <w:kern w:val="0"/>
          <w:sz w:val="28"/>
          <w:szCs w:val="24"/>
          <w:highlight w:val="none"/>
          <w:lang w:val="en-US" w:eastAsia="zh-CN"/>
        </w:rPr>
        <w:t>3.</w:t>
      </w:r>
      <w:r>
        <w:rPr>
          <w:rFonts w:hint="eastAsia" w:ascii="宋体" w:hAnsi="宋体" w:eastAsia="宋体" w:cs="宋体"/>
          <w:b/>
          <w:bCs/>
          <w:snapToGrid w:val="0"/>
          <w:color w:val="auto"/>
          <w:spacing w:val="-4"/>
          <w:kern w:val="0"/>
          <w:sz w:val="28"/>
          <w:szCs w:val="24"/>
          <w:highlight w:val="none"/>
        </w:rPr>
        <w:t>▲</w:t>
      </w:r>
      <w:r>
        <w:rPr>
          <w:rFonts w:hint="eastAsia" w:ascii="宋体" w:hAnsi="宋体" w:eastAsia="宋体" w:cs="宋体"/>
          <w:b/>
          <w:bCs/>
          <w:color w:val="auto"/>
          <w:sz w:val="24"/>
          <w:szCs w:val="24"/>
          <w:highlight w:val="none"/>
        </w:rPr>
        <w:t>路口渠化配置</w:t>
      </w:r>
      <w:bookmarkEnd w:id="248"/>
    </w:p>
    <w:p w14:paraId="4C35837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能够以图形化交互方式配置路口进口车道、出口车道、人行横道、隔离带、待行区渠化信息。</w:t>
      </w:r>
    </w:p>
    <w:p w14:paraId="461BA1D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渠化图支持自定义的多方向路口以及行人过街路口展示，支持在渠化图上展示道路名称。渠化图支持自定义的多方向路口以及行人过街路口展示。渠化图上支持展示实时的路口信号灯的变化情况以及该相位的倒计时，通过路标的颜色来展示路口放行情况。支持在渠化图上展示道路名称，可通过快速选择框实现路口渠化图的快速切换，支持选择单个或这个通道进行锁定或者解锁。（提供公安部检测机构或其他经国家认可的第三方检测机构出具的检测报告复印件并加盖投标人公章）</w:t>
      </w:r>
    </w:p>
    <w:p w14:paraId="47FF5439">
      <w:pPr>
        <w:numPr>
          <w:ilvl w:val="0"/>
          <w:numId w:val="0"/>
        </w:numPr>
        <w:shd w:val="clear"/>
        <w:kinsoku/>
        <w:spacing w:line="360" w:lineRule="auto"/>
        <w:ind w:leftChars="0"/>
        <w:rPr>
          <w:rFonts w:hint="eastAsia" w:ascii="宋体" w:hAnsi="宋体" w:eastAsia="宋体" w:cs="宋体"/>
          <w:b/>
          <w:bCs/>
          <w:color w:val="auto"/>
          <w:sz w:val="24"/>
          <w:szCs w:val="24"/>
          <w:highlight w:val="none"/>
        </w:rPr>
      </w:pPr>
      <w:r>
        <w:rPr>
          <w:rFonts w:hint="eastAsia" w:ascii="宋体" w:hAnsi="宋体" w:eastAsia="宋体" w:cs="宋体"/>
          <w:b/>
          <w:bCs/>
          <w:snapToGrid w:val="0"/>
          <w:color w:val="auto"/>
          <w:spacing w:val="-4"/>
          <w:kern w:val="0"/>
          <w:sz w:val="28"/>
          <w:szCs w:val="24"/>
          <w:highlight w:val="none"/>
          <w:lang w:val="en-US" w:eastAsia="zh-CN"/>
        </w:rPr>
        <w:t>4.</w:t>
      </w:r>
      <w:r>
        <w:rPr>
          <w:rFonts w:hint="eastAsia" w:ascii="宋体" w:hAnsi="宋体" w:eastAsia="宋体" w:cs="宋体"/>
          <w:b/>
          <w:bCs/>
          <w:color w:val="auto"/>
          <w:sz w:val="24"/>
          <w:szCs w:val="24"/>
          <w:highlight w:val="none"/>
        </w:rPr>
        <w:t>▲即时控制</w:t>
      </w:r>
    </w:p>
    <w:p w14:paraId="55919279">
      <w:pPr>
        <w:shd w:val="clear"/>
        <w:kinsoku/>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平台支持在路口渠化图内，对该路口进行自动、关灯、黄闪、全红操作，对所配置的方案进行下发，支持选择方案进行感应、单点自适应、定周期配置下发。（提供公安部检测机构或其他经国家认可的第三方检测机构出具的检测报告复印件并加盖投标人公章）</w:t>
      </w:r>
    </w:p>
    <w:p w14:paraId="55B2E129">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49" w:name="_Toc187416006"/>
      <w:r>
        <w:rPr>
          <w:rFonts w:hint="eastAsia" w:ascii="宋体" w:hAnsi="宋体" w:eastAsia="宋体" w:cs="宋体"/>
          <w:b/>
          <w:bCs/>
          <w:snapToGrid w:val="0"/>
          <w:color w:val="auto"/>
          <w:spacing w:val="-4"/>
          <w:kern w:val="0"/>
          <w:sz w:val="28"/>
          <w:szCs w:val="24"/>
          <w:highlight w:val="none"/>
          <w:lang w:val="en-US" w:eastAsia="zh-CN"/>
        </w:rPr>
        <w:t>5.</w:t>
      </w:r>
      <w:r>
        <w:rPr>
          <w:rFonts w:hint="eastAsia" w:ascii="宋体" w:hAnsi="宋体" w:eastAsia="宋体" w:cs="宋体"/>
          <w:b/>
          <w:bCs/>
          <w:color w:val="auto"/>
          <w:sz w:val="24"/>
          <w:szCs w:val="24"/>
          <w:highlight w:val="none"/>
        </w:rPr>
        <w:t>路口周边兴趣点配置</w:t>
      </w:r>
      <w:bookmarkEnd w:id="249"/>
    </w:p>
    <w:p w14:paraId="31291DA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能够配置路口周边兴趣点，包括商场、景区、汽车站、学校、定安县公安局信息。</w:t>
      </w:r>
    </w:p>
    <w:p w14:paraId="293773B1">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50" w:name="_Toc187416007"/>
      <w:r>
        <w:rPr>
          <w:rFonts w:hint="eastAsia" w:ascii="宋体" w:hAnsi="宋体" w:eastAsia="宋体" w:cs="宋体"/>
          <w:b/>
          <w:bCs/>
          <w:snapToGrid w:val="0"/>
          <w:color w:val="auto"/>
          <w:spacing w:val="-4"/>
          <w:kern w:val="0"/>
          <w:sz w:val="28"/>
          <w:szCs w:val="24"/>
          <w:highlight w:val="none"/>
          <w:lang w:val="en-US" w:eastAsia="zh-CN"/>
        </w:rPr>
        <w:t>6.</w:t>
      </w:r>
      <w:r>
        <w:rPr>
          <w:rFonts w:hint="eastAsia" w:ascii="宋体" w:hAnsi="宋体" w:eastAsia="宋体" w:cs="宋体"/>
          <w:b/>
          <w:bCs/>
          <w:color w:val="auto"/>
          <w:sz w:val="24"/>
          <w:szCs w:val="24"/>
          <w:highlight w:val="none"/>
        </w:rPr>
        <w:t>路段路线配置</w:t>
      </w:r>
      <w:bookmarkEnd w:id="250"/>
    </w:p>
    <w:p w14:paraId="0E6E01B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支持在地图上配置路段，能够设置路段的上行方向、下行方向以及关联的上下游路口。</w:t>
      </w:r>
    </w:p>
    <w:p w14:paraId="55D029DE">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51" w:name="_Toc187416008"/>
      <w:r>
        <w:rPr>
          <w:rFonts w:hint="eastAsia" w:ascii="宋体" w:hAnsi="宋体" w:eastAsia="宋体" w:cs="宋体"/>
          <w:b/>
          <w:bCs/>
          <w:snapToGrid w:val="0"/>
          <w:color w:val="auto"/>
          <w:spacing w:val="-4"/>
          <w:kern w:val="0"/>
          <w:sz w:val="28"/>
          <w:szCs w:val="24"/>
          <w:highlight w:val="none"/>
          <w:lang w:val="en-US" w:eastAsia="zh-CN"/>
        </w:rPr>
        <w:t>7.</w:t>
      </w:r>
      <w:r>
        <w:rPr>
          <w:rFonts w:hint="eastAsia" w:ascii="宋体" w:hAnsi="宋体" w:eastAsia="宋体" w:cs="宋体"/>
          <w:b/>
          <w:bCs/>
          <w:color w:val="auto"/>
          <w:sz w:val="24"/>
          <w:szCs w:val="24"/>
          <w:highlight w:val="none"/>
        </w:rPr>
        <w:t>路段属性配置</w:t>
      </w:r>
      <w:bookmarkEnd w:id="251"/>
    </w:p>
    <w:p w14:paraId="3CF6452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支持对路段名称、路段长度、行驶速度、最高限速、最低限速进行配置。</w:t>
      </w:r>
    </w:p>
    <w:p w14:paraId="5F3547F2">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52" w:name="_Toc187416009"/>
      <w:r>
        <w:rPr>
          <w:rFonts w:hint="eastAsia" w:ascii="宋体" w:hAnsi="宋体" w:eastAsia="宋体" w:cs="宋体"/>
          <w:b/>
          <w:bCs/>
          <w:snapToGrid w:val="0"/>
          <w:color w:val="auto"/>
          <w:spacing w:val="-4"/>
          <w:kern w:val="0"/>
          <w:sz w:val="28"/>
          <w:szCs w:val="24"/>
          <w:highlight w:val="none"/>
          <w:lang w:val="en-US" w:eastAsia="zh-CN"/>
        </w:rPr>
        <w:t>8.</w:t>
      </w:r>
      <w:r>
        <w:rPr>
          <w:rFonts w:hint="eastAsia" w:ascii="宋体" w:hAnsi="宋体" w:eastAsia="宋体" w:cs="宋体"/>
          <w:b/>
          <w:bCs/>
          <w:color w:val="auto"/>
          <w:sz w:val="24"/>
          <w:szCs w:val="24"/>
          <w:highlight w:val="none"/>
        </w:rPr>
        <w:t>信号机基础配置</w:t>
      </w:r>
      <w:bookmarkEnd w:id="252"/>
    </w:p>
    <w:p w14:paraId="198FC43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含12路信号机接入授权。支持对信号机基础信息进行配置，包括信号机名称、经纬度、信号机IP地址、端口、密码、安装时间、维护人员进行配置。</w:t>
      </w:r>
    </w:p>
    <w:p w14:paraId="7D5D9C2D">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53" w:name="_Toc187416010"/>
      <w:r>
        <w:rPr>
          <w:rFonts w:hint="eastAsia" w:ascii="宋体" w:hAnsi="宋体" w:eastAsia="宋体" w:cs="宋体"/>
          <w:b/>
          <w:bCs/>
          <w:snapToGrid w:val="0"/>
          <w:color w:val="auto"/>
          <w:spacing w:val="-4"/>
          <w:kern w:val="0"/>
          <w:sz w:val="28"/>
          <w:szCs w:val="24"/>
          <w:highlight w:val="none"/>
          <w:lang w:val="en-US" w:eastAsia="zh-CN"/>
        </w:rPr>
        <w:t>9.</w:t>
      </w:r>
      <w:r>
        <w:rPr>
          <w:rFonts w:hint="eastAsia" w:ascii="宋体" w:hAnsi="宋体" w:eastAsia="宋体" w:cs="宋体"/>
          <w:b/>
          <w:bCs/>
          <w:color w:val="auto"/>
          <w:sz w:val="24"/>
          <w:szCs w:val="24"/>
          <w:highlight w:val="none"/>
        </w:rPr>
        <w:t>信号机厂商配置</w:t>
      </w:r>
      <w:bookmarkEnd w:id="253"/>
    </w:p>
    <w:p w14:paraId="472CDA5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支持对信号机的厂商进行添加、删除、修改以及厂商对应的相关参数，包括企业名称、厂商类型、对接协议、用户名、密码。</w:t>
      </w:r>
    </w:p>
    <w:p w14:paraId="55154EB2">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54" w:name="_Toc187416011"/>
      <w:r>
        <w:rPr>
          <w:rFonts w:hint="eastAsia" w:ascii="宋体" w:hAnsi="宋体" w:eastAsia="宋体" w:cs="宋体"/>
          <w:b/>
          <w:bCs/>
          <w:snapToGrid w:val="0"/>
          <w:color w:val="auto"/>
          <w:spacing w:val="-4"/>
          <w:kern w:val="0"/>
          <w:sz w:val="28"/>
          <w:szCs w:val="24"/>
          <w:highlight w:val="none"/>
          <w:lang w:val="en-US" w:eastAsia="zh-CN"/>
        </w:rPr>
        <w:t>10.</w:t>
      </w:r>
      <w:r>
        <w:rPr>
          <w:rFonts w:hint="eastAsia" w:ascii="宋体" w:hAnsi="宋体" w:eastAsia="宋体" w:cs="宋体"/>
          <w:b/>
          <w:bCs/>
          <w:color w:val="auto"/>
          <w:sz w:val="24"/>
          <w:szCs w:val="24"/>
          <w:highlight w:val="none"/>
        </w:rPr>
        <w:t>信号机遥控器配置</w:t>
      </w:r>
      <w:bookmarkEnd w:id="254"/>
    </w:p>
    <w:p w14:paraId="38849D7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支持信号机遥控器配置，包括遥控器的编号、名称、责任人。</w:t>
      </w:r>
    </w:p>
    <w:p w14:paraId="1A2B04F3">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55" w:name="_Toc187416012"/>
      <w:r>
        <w:rPr>
          <w:rFonts w:hint="eastAsia" w:ascii="宋体" w:hAnsi="宋体" w:eastAsia="宋体" w:cs="宋体"/>
          <w:b/>
          <w:bCs/>
          <w:snapToGrid w:val="0"/>
          <w:color w:val="auto"/>
          <w:spacing w:val="-4"/>
          <w:kern w:val="0"/>
          <w:sz w:val="28"/>
          <w:szCs w:val="24"/>
          <w:highlight w:val="none"/>
          <w:lang w:val="en-US" w:eastAsia="zh-CN"/>
        </w:rPr>
        <w:t>11.</w:t>
      </w:r>
      <w:r>
        <w:rPr>
          <w:rFonts w:hint="eastAsia" w:ascii="宋体" w:hAnsi="宋体" w:eastAsia="宋体" w:cs="宋体"/>
          <w:b/>
          <w:bCs/>
          <w:color w:val="auto"/>
          <w:sz w:val="24"/>
          <w:szCs w:val="24"/>
          <w:highlight w:val="none"/>
        </w:rPr>
        <w:t>信号机相位配置</w:t>
      </w:r>
      <w:bookmarkEnd w:id="255"/>
    </w:p>
    <w:p w14:paraId="5B18726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提供图形化操作的形式对信号机的相位进行配置，用户在平台上对信号机相位进行增加、删除及修改。</w:t>
      </w:r>
    </w:p>
    <w:p w14:paraId="344258F1">
      <w:pPr>
        <w:numPr>
          <w:ilvl w:val="0"/>
          <w:numId w:val="0"/>
        </w:numPr>
        <w:shd w:val="clear"/>
        <w:kinsoku/>
        <w:spacing w:line="360" w:lineRule="auto"/>
        <w:ind w:leftChars="0"/>
        <w:rPr>
          <w:rFonts w:hint="eastAsia" w:ascii="宋体" w:hAnsi="宋体" w:eastAsia="宋体" w:cs="宋体"/>
          <w:b/>
          <w:bCs/>
          <w:color w:val="auto"/>
          <w:sz w:val="24"/>
          <w:szCs w:val="24"/>
          <w:highlight w:val="none"/>
        </w:rPr>
      </w:pPr>
      <w:r>
        <w:rPr>
          <w:rFonts w:hint="eastAsia" w:ascii="宋体" w:hAnsi="宋体" w:eastAsia="宋体" w:cs="宋体"/>
          <w:b/>
          <w:bCs/>
          <w:snapToGrid w:val="0"/>
          <w:color w:val="auto"/>
          <w:spacing w:val="-4"/>
          <w:kern w:val="0"/>
          <w:sz w:val="28"/>
          <w:szCs w:val="24"/>
          <w:highlight w:val="none"/>
          <w:lang w:val="en-US" w:eastAsia="zh-CN"/>
        </w:rPr>
        <w:t>12</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▲方案查看</w:t>
      </w:r>
    </w:p>
    <w:p w14:paraId="09E3DFBD">
      <w:pPr>
        <w:shd w:val="clear"/>
        <w:kinsoku/>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平台支持对路口的信号机进监控，支持渠化图及相位相序的展示，支持对信号机进行方案下发。平台支持查看信号机IP，支持切换查看路口渠化图，支持对路口进行方案配置。（提供公安部检测机构或其他经国家认可的第三方检测机构出具的检测报告复印件并加盖投标人公章）</w:t>
      </w:r>
    </w:p>
    <w:p w14:paraId="0CE876D7">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56" w:name="_Toc187416013"/>
      <w:r>
        <w:rPr>
          <w:rFonts w:hint="eastAsia" w:ascii="宋体" w:hAnsi="宋体" w:eastAsia="宋体" w:cs="宋体"/>
          <w:b/>
          <w:bCs/>
          <w:snapToGrid w:val="0"/>
          <w:color w:val="auto"/>
          <w:spacing w:val="-4"/>
          <w:kern w:val="0"/>
          <w:sz w:val="28"/>
          <w:szCs w:val="24"/>
          <w:highlight w:val="none"/>
          <w:lang w:val="en-US" w:eastAsia="zh-CN"/>
        </w:rPr>
        <w:t>13.</w:t>
      </w:r>
      <w:r>
        <w:rPr>
          <w:rFonts w:hint="eastAsia" w:ascii="宋体" w:hAnsi="宋体" w:eastAsia="宋体" w:cs="宋体"/>
          <w:b/>
          <w:bCs/>
          <w:color w:val="auto"/>
          <w:sz w:val="24"/>
          <w:szCs w:val="24"/>
          <w:highlight w:val="none"/>
        </w:rPr>
        <w:t>▲信号机方案配置</w:t>
      </w:r>
      <w:bookmarkEnd w:id="256"/>
    </w:p>
    <w:p w14:paraId="2574291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提供图形化操作的形式对信号机的信号控制方案进行配置，用户在平台上对信号机信控方案进行增加、删除及修改。</w:t>
      </w:r>
    </w:p>
    <w:p w14:paraId="0D5AE4C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加载信号机方案</w:t>
      </w:r>
    </w:p>
    <w:p w14:paraId="31AC591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平台支持加载信号机已有方案。</w:t>
      </w:r>
    </w:p>
    <w:p w14:paraId="0BFF924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相位配置</w:t>
      </w:r>
    </w:p>
    <w:p w14:paraId="0B6D0F9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相位配置，在相位配置界面，可以把信号机已有的配置的相位加载出来，如要增加相位，则点击添加。添加界面里面有自定义和模板两个选项，模板是从已有的模板里面选择想要的相位；自定义则是可以根据需求勾选通道进行配置相位。</w:t>
      </w:r>
    </w:p>
    <w:p w14:paraId="16AFC88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配时方案配置</w:t>
      </w:r>
    </w:p>
    <w:p w14:paraId="3EA09E3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配时方案配置，可点击添加方案，添加环，把已添加的相位根据放行顺序拖拽进环内，也可拖拽完之后再调整放行顺序，相位时长=绿灯时间+黄灯时间+红灯时间，通常红灯时间为0，如果路口较大则需要增加红灯时长进行路口放空，避免别的相位在放行的时候路口还有车辆和行人。</w:t>
      </w:r>
    </w:p>
    <w:p w14:paraId="48C28FA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也可在已有的方案内修改放行时间和放行顺序。</w:t>
      </w:r>
    </w:p>
    <w:p w14:paraId="6CB7B49E">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57" w:name="_Toc187416014"/>
      <w:r>
        <w:rPr>
          <w:rFonts w:hint="eastAsia" w:ascii="宋体" w:hAnsi="宋体" w:eastAsia="宋体" w:cs="宋体"/>
          <w:b/>
          <w:bCs/>
          <w:snapToGrid w:val="0"/>
          <w:color w:val="auto"/>
          <w:spacing w:val="-4"/>
          <w:kern w:val="0"/>
          <w:sz w:val="28"/>
          <w:szCs w:val="24"/>
          <w:highlight w:val="none"/>
          <w:lang w:val="en-US" w:eastAsia="zh-CN"/>
        </w:rPr>
        <w:t>14.</w:t>
      </w:r>
      <w:r>
        <w:rPr>
          <w:rFonts w:hint="eastAsia" w:ascii="宋体" w:hAnsi="宋体" w:eastAsia="宋体" w:cs="宋体"/>
          <w:b/>
          <w:bCs/>
          <w:color w:val="auto"/>
          <w:sz w:val="24"/>
          <w:szCs w:val="24"/>
          <w:highlight w:val="none"/>
        </w:rPr>
        <w:t>信号机日计划配置</w:t>
      </w:r>
      <w:bookmarkEnd w:id="257"/>
    </w:p>
    <w:p w14:paraId="7688F7F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提供图形化操作的形式对信号机的日计划进行配置，用户在平台上对信号机控制时段进行增加、删除及修改。</w:t>
      </w:r>
    </w:p>
    <w:p w14:paraId="7105A84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计划配置</w:t>
      </w:r>
    </w:p>
    <w:p w14:paraId="13A65C8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计划配置为一天的时间段内运行哪个放行方案。分别为常规计划、锁定计划和特殊计划。常规计划为日常正常使用的计划，可在计划配置里面用鼠标点击添加一个时段，这一时段内运行哪个方案。</w:t>
      </w:r>
    </w:p>
    <w:p w14:paraId="198BEAD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锁定计划则是锁定时只在有灯色直接由绿变红时配置的过渡绿闪和黄灯时间才能生效。</w:t>
      </w:r>
    </w:p>
    <w:p w14:paraId="117E03F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特殊计划则是计划生效需要在日期中配置关联特殊计划的特殊调度。</w:t>
      </w:r>
    </w:p>
    <w:p w14:paraId="46DE9B8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日期配置</w:t>
      </w:r>
    </w:p>
    <w:p w14:paraId="0D224FE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日期配置指的是在星期几或者哪一天运行哪个计划，要注意的是优先级别为：特殊日期＞日期＞星期，如有特殊调度则需要关联特殊计划。</w:t>
      </w:r>
    </w:p>
    <w:p w14:paraId="1C5DDADD">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58" w:name="_Toc187416015"/>
      <w:r>
        <w:rPr>
          <w:rFonts w:hint="eastAsia" w:ascii="宋体" w:hAnsi="宋体" w:eastAsia="宋体" w:cs="宋体"/>
          <w:b/>
          <w:bCs/>
          <w:snapToGrid w:val="0"/>
          <w:color w:val="auto"/>
          <w:spacing w:val="-4"/>
          <w:kern w:val="0"/>
          <w:sz w:val="28"/>
          <w:szCs w:val="24"/>
          <w:highlight w:val="none"/>
          <w:lang w:val="en-US" w:eastAsia="zh-CN"/>
        </w:rPr>
        <w:t>15.</w:t>
      </w:r>
      <w:r>
        <w:rPr>
          <w:rFonts w:hint="eastAsia" w:ascii="宋体" w:hAnsi="宋体" w:eastAsia="宋体" w:cs="宋体"/>
          <w:b/>
          <w:bCs/>
          <w:color w:val="auto"/>
          <w:sz w:val="24"/>
          <w:szCs w:val="24"/>
          <w:highlight w:val="none"/>
        </w:rPr>
        <w:t>信号机调度配置</w:t>
      </w:r>
      <w:bookmarkEnd w:id="258"/>
    </w:p>
    <w:p w14:paraId="19278E4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提供图形化操作的形式对信号机的调度计划进行配置，用户在平台上对信号机调度计划进行增加、删除及修改。</w:t>
      </w:r>
    </w:p>
    <w:p w14:paraId="0BED3BEC">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59" w:name="_Toc187416016"/>
      <w:r>
        <w:rPr>
          <w:rFonts w:hint="eastAsia" w:ascii="宋体" w:hAnsi="宋体" w:eastAsia="宋体" w:cs="宋体"/>
          <w:b/>
          <w:bCs/>
          <w:snapToGrid w:val="0"/>
          <w:color w:val="auto"/>
          <w:spacing w:val="-4"/>
          <w:kern w:val="0"/>
          <w:sz w:val="28"/>
          <w:szCs w:val="24"/>
          <w:highlight w:val="none"/>
          <w:lang w:val="en-US" w:eastAsia="zh-CN"/>
        </w:rPr>
        <w:t>16.</w:t>
      </w:r>
      <w:r>
        <w:rPr>
          <w:rFonts w:hint="eastAsia" w:ascii="宋体" w:hAnsi="宋体" w:eastAsia="宋体" w:cs="宋体"/>
          <w:b/>
          <w:bCs/>
          <w:color w:val="auto"/>
          <w:sz w:val="24"/>
          <w:szCs w:val="24"/>
          <w:highlight w:val="none"/>
        </w:rPr>
        <w:t>▲信号机状态地图展示</w:t>
      </w:r>
      <w:bookmarkEnd w:id="259"/>
    </w:p>
    <w:p w14:paraId="53924B8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在地图上展示信号机在线、离线以及是否存在故障，点击信号机能够展示信号机实时渠化图，并支持通过名称搜索对应的信号机。</w:t>
      </w:r>
    </w:p>
    <w:p w14:paraId="429155F7">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60" w:name="_Toc187416017"/>
      <w:r>
        <w:rPr>
          <w:rFonts w:hint="eastAsia" w:ascii="宋体" w:hAnsi="宋体" w:eastAsia="宋体" w:cs="宋体"/>
          <w:b/>
          <w:bCs/>
          <w:snapToGrid w:val="0"/>
          <w:color w:val="auto"/>
          <w:spacing w:val="-4"/>
          <w:kern w:val="0"/>
          <w:sz w:val="28"/>
          <w:szCs w:val="24"/>
          <w:highlight w:val="none"/>
          <w:lang w:val="en-US" w:eastAsia="zh-CN"/>
        </w:rPr>
        <w:t>17.</w:t>
      </w:r>
      <w:r>
        <w:rPr>
          <w:rFonts w:hint="eastAsia" w:ascii="宋体" w:hAnsi="宋体" w:eastAsia="宋体" w:cs="宋体"/>
          <w:b/>
          <w:bCs/>
          <w:color w:val="auto"/>
          <w:sz w:val="24"/>
          <w:szCs w:val="24"/>
          <w:highlight w:val="none"/>
        </w:rPr>
        <w:t>信号机点位收藏</w:t>
      </w:r>
      <w:bookmarkEnd w:id="260"/>
    </w:p>
    <w:p w14:paraId="1EB9229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支持对感兴趣的或者常用的信号机点位进行收藏。</w:t>
      </w:r>
    </w:p>
    <w:p w14:paraId="6FCB9E91">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61" w:name="_Toc187416018"/>
      <w:r>
        <w:rPr>
          <w:rFonts w:hint="eastAsia" w:ascii="宋体" w:hAnsi="宋体" w:eastAsia="宋体" w:cs="宋体"/>
          <w:b/>
          <w:bCs/>
          <w:snapToGrid w:val="0"/>
          <w:color w:val="auto"/>
          <w:spacing w:val="-4"/>
          <w:kern w:val="0"/>
          <w:sz w:val="28"/>
          <w:szCs w:val="24"/>
          <w:highlight w:val="none"/>
          <w:lang w:val="en-US" w:eastAsia="zh-CN"/>
        </w:rPr>
        <w:t>18.</w:t>
      </w:r>
      <w:r>
        <w:rPr>
          <w:rFonts w:hint="eastAsia" w:ascii="宋体" w:hAnsi="宋体" w:eastAsia="宋体" w:cs="宋体"/>
          <w:b/>
          <w:bCs/>
          <w:color w:val="auto"/>
          <w:sz w:val="24"/>
          <w:szCs w:val="24"/>
          <w:highlight w:val="none"/>
        </w:rPr>
        <w:t>信号机点位筛选</w:t>
      </w:r>
      <w:bookmarkEnd w:id="261"/>
    </w:p>
    <w:p w14:paraId="28DED7E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支持通过标签、状态类型、控制类型、控制方式、厂商类型进行筛选，展示筛选后的信号机点位。</w:t>
      </w:r>
    </w:p>
    <w:p w14:paraId="68B90B43">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62" w:name="_Toc187416019"/>
      <w:r>
        <w:rPr>
          <w:rFonts w:hint="eastAsia" w:ascii="宋体" w:hAnsi="宋体" w:eastAsia="宋体" w:cs="宋体"/>
          <w:b/>
          <w:bCs/>
          <w:snapToGrid w:val="0"/>
          <w:color w:val="auto"/>
          <w:spacing w:val="-4"/>
          <w:kern w:val="0"/>
          <w:sz w:val="28"/>
          <w:szCs w:val="24"/>
          <w:highlight w:val="none"/>
          <w:lang w:val="en-US" w:eastAsia="zh-CN"/>
        </w:rPr>
        <w:t>19.</w:t>
      </w:r>
      <w:r>
        <w:rPr>
          <w:rFonts w:hint="eastAsia" w:ascii="宋体" w:hAnsi="宋体" w:eastAsia="宋体" w:cs="宋体"/>
          <w:b/>
          <w:bCs/>
          <w:color w:val="auto"/>
          <w:sz w:val="24"/>
          <w:szCs w:val="24"/>
          <w:highlight w:val="none"/>
        </w:rPr>
        <w:t>信控数据概览</w:t>
      </w:r>
      <w:bookmarkEnd w:id="262"/>
    </w:p>
    <w:p w14:paraId="77F1E37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支持查询信控数据概览，包括信号机总数、单点优化次数、绿波带总数、干线优化次数、特勤路线总数、特勤执行次数。</w:t>
      </w:r>
    </w:p>
    <w:p w14:paraId="1D382603">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63" w:name="_Toc187416020"/>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信号机状态概览</w:t>
      </w:r>
      <w:bookmarkEnd w:id="263"/>
    </w:p>
    <w:p w14:paraId="43AA402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具备展示信号机的在线、离线占比、故障设备、正常设备占比的功能。</w:t>
      </w:r>
    </w:p>
    <w:p w14:paraId="1A98B743">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64" w:name="_Toc187416021"/>
      <w:r>
        <w:rPr>
          <w:rFonts w:hint="eastAsia" w:ascii="宋体" w:hAnsi="宋体" w:eastAsia="宋体" w:cs="宋体"/>
          <w:b/>
          <w:bCs/>
          <w:color w:val="auto"/>
          <w:sz w:val="24"/>
          <w:szCs w:val="24"/>
          <w:highlight w:val="none"/>
          <w:lang w:val="en-US" w:eastAsia="zh-CN"/>
        </w:rPr>
        <w:t>21.</w:t>
      </w:r>
      <w:r>
        <w:rPr>
          <w:rFonts w:hint="eastAsia" w:ascii="宋体" w:hAnsi="宋体" w:eastAsia="宋体" w:cs="宋体"/>
          <w:b/>
          <w:bCs/>
          <w:color w:val="auto"/>
          <w:sz w:val="24"/>
          <w:szCs w:val="24"/>
          <w:highlight w:val="none"/>
        </w:rPr>
        <w:t>控制方式概览</w:t>
      </w:r>
      <w:bookmarkEnd w:id="264"/>
    </w:p>
    <w:p w14:paraId="118F735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具备统计并展示信号机控制类型、控制方式分布概览信息的功能。</w:t>
      </w:r>
    </w:p>
    <w:p w14:paraId="22D3B32F">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65" w:name="_Toc187416022"/>
      <w:r>
        <w:rPr>
          <w:rFonts w:hint="eastAsia" w:ascii="宋体" w:hAnsi="宋体" w:eastAsia="宋体" w:cs="宋体"/>
          <w:b/>
          <w:bCs/>
          <w:snapToGrid w:val="0"/>
          <w:color w:val="auto"/>
          <w:spacing w:val="-4"/>
          <w:kern w:val="0"/>
          <w:sz w:val="28"/>
          <w:szCs w:val="24"/>
          <w:highlight w:val="none"/>
          <w:lang w:val="en-US" w:eastAsia="zh-CN"/>
        </w:rPr>
        <w:t>22.</w:t>
      </w:r>
      <w:r>
        <w:rPr>
          <w:rFonts w:hint="eastAsia" w:ascii="宋体" w:hAnsi="宋体" w:eastAsia="宋体" w:cs="宋体"/>
          <w:b/>
          <w:bCs/>
          <w:color w:val="auto"/>
          <w:sz w:val="24"/>
          <w:szCs w:val="24"/>
          <w:highlight w:val="none"/>
        </w:rPr>
        <w:t>控制方式地图展示</w:t>
      </w:r>
      <w:bookmarkEnd w:id="265"/>
    </w:p>
    <w:p w14:paraId="33D5DEE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支持在地图上展示各个信号机的控制方式，如定周期控制、感应控制、绿波协调控制。</w:t>
      </w:r>
    </w:p>
    <w:p w14:paraId="7EE80816">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66" w:name="_Toc187416023"/>
      <w:r>
        <w:rPr>
          <w:rFonts w:hint="eastAsia" w:ascii="宋体" w:hAnsi="宋体" w:eastAsia="宋体" w:cs="宋体"/>
          <w:b/>
          <w:bCs/>
          <w:color w:val="auto"/>
          <w:sz w:val="24"/>
          <w:szCs w:val="24"/>
          <w:highlight w:val="none"/>
          <w:lang w:val="en-US" w:eastAsia="zh-CN"/>
        </w:rPr>
        <w:t>23.</w:t>
      </w:r>
      <w:r>
        <w:rPr>
          <w:rFonts w:hint="eastAsia" w:ascii="宋体" w:hAnsi="宋体" w:eastAsia="宋体" w:cs="宋体"/>
          <w:b/>
          <w:bCs/>
          <w:color w:val="auto"/>
          <w:sz w:val="24"/>
          <w:szCs w:val="24"/>
          <w:highlight w:val="none"/>
        </w:rPr>
        <w:t>▲路口信号灯状态实时监测</w:t>
      </w:r>
      <w:bookmarkEnd w:id="266"/>
    </w:p>
    <w:p w14:paraId="4EF0F10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图形化方式展示路口渠化信息（包括进出口车道、人行横道、交通标线），并能够在渠化图上实时展示路口信号灯状态变化，当前方案的相位运行情况，以及当前运行相位的倒计时。</w:t>
      </w:r>
    </w:p>
    <w:p w14:paraId="4A778062">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67" w:name="_Toc187416024"/>
      <w:r>
        <w:rPr>
          <w:rFonts w:hint="eastAsia" w:ascii="宋体" w:hAnsi="宋体" w:eastAsia="宋体" w:cs="宋体"/>
          <w:b/>
          <w:bCs/>
          <w:color w:val="auto"/>
          <w:sz w:val="24"/>
          <w:szCs w:val="24"/>
          <w:highlight w:val="none"/>
          <w:lang w:val="en-US" w:eastAsia="zh-CN"/>
        </w:rPr>
        <w:t>24.</w:t>
      </w:r>
      <w:r>
        <w:rPr>
          <w:rFonts w:hint="eastAsia" w:ascii="宋体" w:hAnsi="宋体" w:eastAsia="宋体" w:cs="宋体"/>
          <w:b/>
          <w:bCs/>
          <w:color w:val="auto"/>
          <w:sz w:val="24"/>
          <w:szCs w:val="24"/>
          <w:highlight w:val="none"/>
        </w:rPr>
        <w:t>路口实时运行阶段状态展示</w:t>
      </w:r>
      <w:bookmarkEnd w:id="267"/>
    </w:p>
    <w:p w14:paraId="1AC476D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图像化展示信号机当前的阶段信息，包括阶段流向、当前运行阶段、阶段时长。</w:t>
      </w:r>
    </w:p>
    <w:p w14:paraId="3899ABC5">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68" w:name="_Toc187416025"/>
      <w:r>
        <w:rPr>
          <w:rFonts w:hint="eastAsia" w:ascii="宋体" w:hAnsi="宋体" w:eastAsia="宋体" w:cs="宋体"/>
          <w:b/>
          <w:bCs/>
          <w:color w:val="auto"/>
          <w:sz w:val="24"/>
          <w:szCs w:val="24"/>
          <w:highlight w:val="none"/>
          <w:lang w:val="en-US" w:eastAsia="zh-CN"/>
        </w:rPr>
        <w:t>25.</w:t>
      </w:r>
      <w:r>
        <w:rPr>
          <w:rFonts w:hint="eastAsia" w:ascii="宋体" w:hAnsi="宋体" w:eastAsia="宋体" w:cs="宋体"/>
          <w:b/>
          <w:bCs/>
          <w:color w:val="auto"/>
          <w:sz w:val="24"/>
          <w:szCs w:val="24"/>
          <w:highlight w:val="none"/>
        </w:rPr>
        <w:t>▲路口监控点视频预览</w:t>
      </w:r>
      <w:bookmarkEnd w:id="268"/>
    </w:p>
    <w:p w14:paraId="6599CAA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支持在路口渠化中关联监控点，并能够预览监控点实时视频。</w:t>
      </w:r>
    </w:p>
    <w:p w14:paraId="75DFBF35">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69" w:name="_Toc187416026"/>
      <w:r>
        <w:rPr>
          <w:rFonts w:hint="eastAsia" w:ascii="宋体" w:hAnsi="宋体" w:eastAsia="宋体" w:cs="宋体"/>
          <w:b/>
          <w:bCs/>
          <w:color w:val="auto"/>
          <w:sz w:val="24"/>
          <w:szCs w:val="24"/>
          <w:highlight w:val="none"/>
          <w:lang w:val="en-US" w:eastAsia="zh-CN"/>
        </w:rPr>
        <w:t>26.</w:t>
      </w:r>
      <w:r>
        <w:rPr>
          <w:rFonts w:hint="eastAsia" w:ascii="宋体" w:hAnsi="宋体" w:eastAsia="宋体" w:cs="宋体"/>
          <w:b/>
          <w:bCs/>
          <w:color w:val="auto"/>
          <w:sz w:val="24"/>
          <w:szCs w:val="24"/>
          <w:highlight w:val="none"/>
        </w:rPr>
        <w:t>▲交通流指标监控</w:t>
      </w:r>
      <w:bookmarkEnd w:id="269"/>
    </w:p>
    <w:p w14:paraId="0C97B40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支持通过图形化展示路口各个流向的近五分钟流量数据，同时支持曲线图展示路口、进口道级别的昨天和今天的流量变化趋势。</w:t>
      </w:r>
    </w:p>
    <w:p w14:paraId="74428D43">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70" w:name="_Toc187416027"/>
      <w:r>
        <w:rPr>
          <w:rFonts w:hint="eastAsia" w:ascii="宋体" w:hAnsi="宋体" w:eastAsia="宋体" w:cs="宋体"/>
          <w:b/>
          <w:bCs/>
          <w:color w:val="auto"/>
          <w:sz w:val="24"/>
          <w:szCs w:val="24"/>
          <w:highlight w:val="none"/>
          <w:lang w:val="en-US" w:eastAsia="zh-CN"/>
        </w:rPr>
        <w:t>27.</w:t>
      </w:r>
      <w:r>
        <w:rPr>
          <w:rFonts w:hint="eastAsia" w:ascii="宋体" w:hAnsi="宋体" w:eastAsia="宋体" w:cs="宋体"/>
          <w:b/>
          <w:bCs/>
          <w:color w:val="auto"/>
          <w:sz w:val="24"/>
          <w:szCs w:val="24"/>
          <w:highlight w:val="none"/>
        </w:rPr>
        <w:t>信号机基础信息展示</w:t>
      </w:r>
      <w:bookmarkEnd w:id="270"/>
    </w:p>
    <w:p w14:paraId="3671B2E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支持展示信号机名称、ip、厂商、设备型号、软件版本信息。</w:t>
      </w:r>
    </w:p>
    <w:p w14:paraId="5218347C">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71" w:name="_Toc187416028"/>
      <w:r>
        <w:rPr>
          <w:rFonts w:hint="eastAsia" w:ascii="宋体" w:hAnsi="宋体" w:eastAsia="宋体" w:cs="宋体"/>
          <w:b/>
          <w:bCs/>
          <w:color w:val="auto"/>
          <w:sz w:val="24"/>
          <w:szCs w:val="24"/>
          <w:highlight w:val="none"/>
          <w:lang w:val="en-US" w:eastAsia="zh-CN"/>
        </w:rPr>
        <w:t>28.</w:t>
      </w:r>
      <w:r>
        <w:rPr>
          <w:rFonts w:hint="eastAsia" w:ascii="宋体" w:hAnsi="宋体" w:eastAsia="宋体" w:cs="宋体"/>
          <w:b/>
          <w:bCs/>
          <w:color w:val="auto"/>
          <w:sz w:val="24"/>
          <w:szCs w:val="24"/>
          <w:highlight w:val="none"/>
        </w:rPr>
        <w:t>信号机周期运行信息展示</w:t>
      </w:r>
      <w:bookmarkEnd w:id="271"/>
    </w:p>
    <w:p w14:paraId="42DA112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支持展示信号机当前运行的周期信息，包括信号机控制模式、控制类型、周期时长、当前运行时间、周期开始时间、当前运行方案、以及信号机系统时间。</w:t>
      </w:r>
    </w:p>
    <w:p w14:paraId="545741E3">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72" w:name="_Toc187416029"/>
      <w:r>
        <w:rPr>
          <w:rFonts w:hint="eastAsia" w:ascii="宋体" w:hAnsi="宋体" w:eastAsia="宋体" w:cs="宋体"/>
          <w:b/>
          <w:bCs/>
          <w:color w:val="auto"/>
          <w:sz w:val="24"/>
          <w:szCs w:val="24"/>
          <w:highlight w:val="none"/>
          <w:lang w:val="en-US" w:eastAsia="zh-CN"/>
        </w:rPr>
        <w:t>29.</w:t>
      </w:r>
      <w:r>
        <w:rPr>
          <w:rFonts w:hint="eastAsia" w:ascii="宋体" w:hAnsi="宋体" w:eastAsia="宋体" w:cs="宋体"/>
          <w:b/>
          <w:bCs/>
          <w:color w:val="auto"/>
          <w:sz w:val="24"/>
          <w:szCs w:val="24"/>
          <w:highlight w:val="none"/>
        </w:rPr>
        <w:t>信号机远程关灯控制</w:t>
      </w:r>
      <w:bookmarkEnd w:id="272"/>
    </w:p>
    <w:p w14:paraId="76A6EC4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提供远程人工关灯控制，选择一直锁定或者锁定特定时长。</w:t>
      </w:r>
    </w:p>
    <w:p w14:paraId="78FC1230">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73" w:name="_Toc187416030"/>
      <w:r>
        <w:rPr>
          <w:rFonts w:hint="eastAsia" w:ascii="宋体" w:hAnsi="宋体" w:eastAsia="宋体" w:cs="宋体"/>
          <w:b/>
          <w:bCs/>
          <w:color w:val="auto"/>
          <w:sz w:val="24"/>
          <w:szCs w:val="24"/>
          <w:highlight w:val="none"/>
          <w:lang w:val="en-US" w:eastAsia="zh-CN"/>
        </w:rPr>
        <w:t>30.</w:t>
      </w:r>
      <w:r>
        <w:rPr>
          <w:rFonts w:hint="eastAsia" w:ascii="宋体" w:hAnsi="宋体" w:eastAsia="宋体" w:cs="宋体"/>
          <w:b/>
          <w:bCs/>
          <w:color w:val="auto"/>
          <w:sz w:val="24"/>
          <w:szCs w:val="24"/>
          <w:highlight w:val="none"/>
        </w:rPr>
        <w:t>信号机远程全红控制</w:t>
      </w:r>
      <w:bookmarkEnd w:id="273"/>
    </w:p>
    <w:p w14:paraId="521FCB3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提供远程人工全红控制，选择一直锁定或者锁定特定时长。</w:t>
      </w:r>
    </w:p>
    <w:p w14:paraId="3C25DE83">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74" w:name="_Toc187416031"/>
      <w:r>
        <w:rPr>
          <w:rFonts w:hint="eastAsia" w:ascii="宋体" w:hAnsi="宋体" w:eastAsia="宋体" w:cs="宋体"/>
          <w:b/>
          <w:bCs/>
          <w:color w:val="auto"/>
          <w:sz w:val="24"/>
          <w:szCs w:val="24"/>
          <w:highlight w:val="none"/>
          <w:lang w:val="en-US" w:eastAsia="zh-CN"/>
        </w:rPr>
        <w:t>31.</w:t>
      </w:r>
      <w:r>
        <w:rPr>
          <w:rFonts w:hint="eastAsia" w:ascii="宋体" w:hAnsi="宋体" w:eastAsia="宋体" w:cs="宋体"/>
          <w:b/>
          <w:bCs/>
          <w:color w:val="auto"/>
          <w:sz w:val="24"/>
          <w:szCs w:val="24"/>
          <w:highlight w:val="none"/>
        </w:rPr>
        <w:t>信号机远程黄闪控制</w:t>
      </w:r>
      <w:bookmarkEnd w:id="274"/>
    </w:p>
    <w:p w14:paraId="5108A6B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提供远程人工黄闪控制，选择一直锁定或者锁定特定时长。</w:t>
      </w:r>
    </w:p>
    <w:p w14:paraId="668647F9">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75" w:name="_Toc187416032"/>
      <w:r>
        <w:rPr>
          <w:rFonts w:hint="eastAsia" w:ascii="宋体" w:hAnsi="宋体" w:eastAsia="宋体" w:cs="宋体"/>
          <w:b/>
          <w:bCs/>
          <w:color w:val="auto"/>
          <w:sz w:val="24"/>
          <w:szCs w:val="24"/>
          <w:highlight w:val="none"/>
          <w:lang w:val="en-US" w:eastAsia="zh-CN"/>
        </w:rPr>
        <w:t>32.</w:t>
      </w:r>
      <w:r>
        <w:rPr>
          <w:rFonts w:hint="eastAsia" w:ascii="宋体" w:hAnsi="宋体" w:eastAsia="宋体" w:cs="宋体"/>
          <w:b/>
          <w:bCs/>
          <w:color w:val="auto"/>
          <w:sz w:val="24"/>
          <w:szCs w:val="24"/>
          <w:highlight w:val="none"/>
        </w:rPr>
        <w:t>信号机步进阶段控制</w:t>
      </w:r>
      <w:bookmarkEnd w:id="275"/>
    </w:p>
    <w:p w14:paraId="7DB4950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提供远程步进阶段，选择一直锁定或者锁定特定时长。</w:t>
      </w:r>
    </w:p>
    <w:p w14:paraId="3B91159F">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76" w:name="_Toc187416033"/>
      <w:r>
        <w:rPr>
          <w:rFonts w:hint="eastAsia" w:ascii="宋体" w:hAnsi="宋体" w:eastAsia="宋体" w:cs="宋体"/>
          <w:b/>
          <w:bCs/>
          <w:color w:val="auto"/>
          <w:sz w:val="24"/>
          <w:szCs w:val="24"/>
          <w:highlight w:val="none"/>
          <w:lang w:val="en-US" w:eastAsia="zh-CN"/>
        </w:rPr>
        <w:t>33.</w:t>
      </w:r>
      <w:r>
        <w:rPr>
          <w:rFonts w:hint="eastAsia" w:ascii="宋体" w:hAnsi="宋体" w:eastAsia="宋体" w:cs="宋体"/>
          <w:b/>
          <w:bCs/>
          <w:color w:val="auto"/>
          <w:sz w:val="24"/>
          <w:szCs w:val="24"/>
          <w:highlight w:val="none"/>
        </w:rPr>
        <w:t>信号机锁定阶段控制</w:t>
      </w:r>
      <w:bookmarkEnd w:id="276"/>
    </w:p>
    <w:p w14:paraId="566AD2E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提供远程阶段锁定控制，选择一直锁定或者锁定特定时长。</w:t>
      </w:r>
    </w:p>
    <w:p w14:paraId="7EA16978">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77" w:name="_Toc187416034"/>
      <w:r>
        <w:rPr>
          <w:rFonts w:hint="eastAsia" w:ascii="宋体" w:hAnsi="宋体" w:eastAsia="宋体" w:cs="宋体"/>
          <w:b/>
          <w:bCs/>
          <w:color w:val="auto"/>
          <w:sz w:val="24"/>
          <w:szCs w:val="24"/>
          <w:highlight w:val="none"/>
          <w:lang w:val="en-US" w:eastAsia="zh-CN"/>
        </w:rPr>
        <w:t>34.</w:t>
      </w:r>
      <w:r>
        <w:rPr>
          <w:rFonts w:hint="eastAsia" w:ascii="宋体" w:hAnsi="宋体" w:eastAsia="宋体" w:cs="宋体"/>
          <w:b/>
          <w:bCs/>
          <w:color w:val="auto"/>
          <w:sz w:val="24"/>
          <w:szCs w:val="24"/>
          <w:highlight w:val="none"/>
        </w:rPr>
        <w:t>信号机方案人工切换</w:t>
      </w:r>
      <w:bookmarkEnd w:id="277"/>
    </w:p>
    <w:p w14:paraId="17A460C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提供远程人工切换方案，选择一直锁定或者锁定特定时长；</w:t>
      </w:r>
    </w:p>
    <w:p w14:paraId="577402F1">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78" w:name="_Toc187416035"/>
      <w:r>
        <w:rPr>
          <w:rFonts w:hint="eastAsia" w:ascii="宋体" w:hAnsi="宋体" w:eastAsia="宋体" w:cs="宋体"/>
          <w:b/>
          <w:bCs/>
          <w:color w:val="auto"/>
          <w:sz w:val="24"/>
          <w:szCs w:val="24"/>
          <w:highlight w:val="none"/>
          <w:lang w:val="en-US" w:eastAsia="zh-CN"/>
        </w:rPr>
        <w:t>35.</w:t>
      </w:r>
      <w:r>
        <w:rPr>
          <w:rFonts w:hint="eastAsia" w:ascii="宋体" w:hAnsi="宋体" w:eastAsia="宋体" w:cs="宋体"/>
          <w:b/>
          <w:bCs/>
          <w:color w:val="auto"/>
          <w:sz w:val="24"/>
          <w:szCs w:val="24"/>
          <w:highlight w:val="none"/>
        </w:rPr>
        <w:t>信号机交通锁定控制</w:t>
      </w:r>
      <w:bookmarkEnd w:id="278"/>
    </w:p>
    <w:p w14:paraId="6AB04E3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提供远程交通流锁定控制，选择一直锁定或者锁定特定时长。</w:t>
      </w:r>
    </w:p>
    <w:p w14:paraId="17D5EAD2">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79" w:name="_Toc187416036"/>
      <w:r>
        <w:rPr>
          <w:rFonts w:hint="eastAsia" w:ascii="宋体" w:hAnsi="宋体" w:eastAsia="宋体" w:cs="宋体"/>
          <w:b/>
          <w:bCs/>
          <w:color w:val="auto"/>
          <w:sz w:val="24"/>
          <w:szCs w:val="24"/>
          <w:highlight w:val="none"/>
          <w:lang w:val="en-US" w:eastAsia="zh-CN"/>
        </w:rPr>
        <w:t>36.</w:t>
      </w:r>
      <w:r>
        <w:rPr>
          <w:rFonts w:hint="eastAsia" w:ascii="宋体" w:hAnsi="宋体" w:eastAsia="宋体" w:cs="宋体"/>
          <w:b/>
          <w:bCs/>
          <w:color w:val="auto"/>
          <w:sz w:val="24"/>
          <w:szCs w:val="24"/>
          <w:highlight w:val="none"/>
        </w:rPr>
        <w:t>信号机恢复本地控制</w:t>
      </w:r>
      <w:bookmarkEnd w:id="279"/>
    </w:p>
    <w:p w14:paraId="7FC02FE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提供远程恢复信号机由人工干预到本地控制。</w:t>
      </w:r>
    </w:p>
    <w:p w14:paraId="078C1742">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360" w:lineRule="auto"/>
        <w:textAlignment w:val="baseline"/>
        <w:rPr>
          <w:rFonts w:hint="eastAsia" w:ascii="宋体" w:hAnsi="宋体" w:eastAsia="宋体" w:cs="宋体"/>
          <w:b/>
          <w:bCs/>
          <w:color w:val="auto"/>
          <w:spacing w:val="-4"/>
          <w:highlight w:val="none"/>
        </w:rPr>
      </w:pPr>
      <w:bookmarkStart w:id="280" w:name="_Toc187416037"/>
      <w:r>
        <w:rPr>
          <w:rFonts w:hint="eastAsia" w:ascii="宋体" w:hAnsi="宋体" w:eastAsia="宋体" w:cs="宋体"/>
          <w:b/>
          <w:bCs/>
          <w:color w:val="auto"/>
          <w:spacing w:val="-4"/>
          <w:highlight w:val="none"/>
        </w:rPr>
        <w:t>信控运维监测</w:t>
      </w:r>
      <w:bookmarkEnd w:id="280"/>
    </w:p>
    <w:p w14:paraId="6BEA93E9">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81" w:name="_Toc187416038"/>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▲信控系统运维</w:t>
      </w:r>
      <w:bookmarkEnd w:id="281"/>
    </w:p>
    <w:p w14:paraId="040E479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每个路口的路口进行运行监测，获得目前的路口总数、在线数量和离线数量、故障路口总数，并能对通道故障数、检测器故障数、灯控板故障数和数据诊断进行分类统计。通过对行政区域、在线状态、故障类型、路口名称字段对故障设备进行查询。</w:t>
      </w:r>
    </w:p>
    <w:p w14:paraId="11AD5F96">
      <w:pPr>
        <w:numPr>
          <w:ilvl w:val="0"/>
          <w:numId w:val="0"/>
        </w:numPr>
        <w:shd w:val="clear"/>
        <w:kinsoku/>
        <w:spacing w:line="360" w:lineRule="auto"/>
        <w:ind w:left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▲故障查询</w:t>
      </w:r>
    </w:p>
    <w:p w14:paraId="5D70D123">
      <w:pPr>
        <w:shd w:val="clear"/>
        <w:kinsoku/>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平台支持根据在线状态、故障类型和路口名称进行故障查询。（提供公安部检测机构或其他经国家认可的第三方检测机构出具的检测报告复印件并加盖投标人公章）</w:t>
      </w:r>
    </w:p>
    <w:p w14:paraId="303F96A9">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82" w:name="_Toc187416039"/>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▲通道故障诊断</w:t>
      </w:r>
      <w:bookmarkEnd w:id="282"/>
    </w:p>
    <w:p w14:paraId="334CFA6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通过检测通道对应的红灯、黄灯、绿灯电流电压过低或过高情况判断漏电、断电以及非正常黄闪故障。</w:t>
      </w:r>
    </w:p>
    <w:p w14:paraId="4CAE2008">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83" w:name="_Toc187416040"/>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检测器故障诊断</w:t>
      </w:r>
      <w:bookmarkEnd w:id="283"/>
    </w:p>
    <w:p w14:paraId="7032AE9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通过交通流量检测器的数据上传频率、检测的交通参数是否超过上下限判断各类检测设备的离线、检测不准的故障。</w:t>
      </w:r>
    </w:p>
    <w:p w14:paraId="5A22BD7F">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84" w:name="_Toc187416041"/>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灯控板故障诊断</w:t>
      </w:r>
      <w:bookmarkEnd w:id="284"/>
    </w:p>
    <w:p w14:paraId="63F8EE9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通过灯控板与通道的信息交换频率判断灯控板是否出现反馈超时、通道接收超时的故障。</w:t>
      </w:r>
    </w:p>
    <w:p w14:paraId="034AD390">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85" w:name="_Toc187416042"/>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网络故障诊断</w:t>
      </w:r>
      <w:bookmarkEnd w:id="285"/>
    </w:p>
    <w:p w14:paraId="573A00C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提供检测设备的在线、离线状态以及网络延时故障的功能。</w:t>
      </w:r>
    </w:p>
    <w:p w14:paraId="18E63B2A">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286" w:name="_Toc187416043"/>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信号机运行故障监测</w:t>
      </w:r>
      <w:bookmarkEnd w:id="286"/>
    </w:p>
    <w:p w14:paraId="3CDC851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支持故障信号机进行检测，图形化展示在线、离线、故障信号机的比例，同时对故障类型进行统计，对故障详情进行展示。</w:t>
      </w:r>
    </w:p>
    <w:p w14:paraId="14F131E9">
      <w:pPr>
        <w:pageBreakBefore w:val="0"/>
        <w:widowControl/>
        <w:numPr>
          <w:ilvl w:val="0"/>
          <w:numId w:val="0"/>
        </w:numPr>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4"/>
          <w:szCs w:val="24"/>
          <w:highlight w:val="none"/>
        </w:rPr>
      </w:pPr>
      <w:bookmarkStart w:id="287" w:name="_Toc187416044"/>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信号机运行信息导出</w:t>
      </w:r>
      <w:bookmarkEnd w:id="287"/>
    </w:p>
    <w:p w14:paraId="4C1C1A8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支持对信号机运行信息进行导出，包括组织名称、路口名称、IP地址、在线状态、时间误差、故障类型。</w:t>
      </w:r>
    </w:p>
    <w:p w14:paraId="19150AB8">
      <w:pPr>
        <w:pageBreakBefore w:val="0"/>
        <w:widowControl/>
        <w:numPr>
          <w:ilvl w:val="0"/>
          <w:numId w:val="0"/>
        </w:numPr>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4"/>
          <w:szCs w:val="24"/>
          <w:highlight w:val="none"/>
        </w:rPr>
      </w:pPr>
      <w:bookmarkStart w:id="288" w:name="_Toc187416045"/>
      <w:r>
        <w:rPr>
          <w:rFonts w:hint="eastAsia" w:ascii="宋体" w:hAnsi="宋体" w:eastAsia="宋体" w:cs="宋体"/>
          <w:b/>
          <w:bCs/>
          <w:color w:val="auto"/>
          <w:sz w:val="24"/>
          <w:szCs w:val="24"/>
          <w:highlight w:val="none"/>
          <w:lang w:val="en-US" w:eastAsia="zh-CN"/>
        </w:rPr>
        <w:t>9.</w:t>
      </w:r>
      <w:r>
        <w:rPr>
          <w:rFonts w:hint="eastAsia" w:ascii="宋体" w:hAnsi="宋体" w:eastAsia="宋体" w:cs="宋体"/>
          <w:b/>
          <w:bCs/>
          <w:color w:val="auto"/>
          <w:sz w:val="24"/>
          <w:szCs w:val="24"/>
          <w:highlight w:val="none"/>
        </w:rPr>
        <w:t>信号机校时</w:t>
      </w:r>
      <w:bookmarkEnd w:id="288"/>
    </w:p>
    <w:p w14:paraId="7CFF230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支持对信号机进行批量校时。</w:t>
      </w:r>
    </w:p>
    <w:p w14:paraId="71F7BDD5">
      <w:pPr>
        <w:pageBreakBefore w:val="0"/>
        <w:widowControl/>
        <w:numPr>
          <w:ilvl w:val="0"/>
          <w:numId w:val="0"/>
        </w:numPr>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4"/>
          <w:szCs w:val="24"/>
          <w:highlight w:val="none"/>
        </w:rPr>
      </w:pPr>
      <w:bookmarkStart w:id="289" w:name="_Toc187416046"/>
      <w:r>
        <w:rPr>
          <w:rFonts w:hint="eastAsia" w:ascii="宋体" w:hAnsi="宋体" w:eastAsia="宋体" w:cs="宋体"/>
          <w:b/>
          <w:bCs/>
          <w:color w:val="auto"/>
          <w:sz w:val="24"/>
          <w:szCs w:val="24"/>
          <w:highlight w:val="none"/>
          <w:lang w:val="en-US" w:eastAsia="zh-CN"/>
        </w:rPr>
        <w:t>10.</w:t>
      </w:r>
      <w:r>
        <w:rPr>
          <w:rFonts w:hint="eastAsia" w:ascii="宋体" w:hAnsi="宋体" w:eastAsia="宋体" w:cs="宋体"/>
          <w:b/>
          <w:bCs/>
          <w:color w:val="auto"/>
          <w:sz w:val="24"/>
          <w:szCs w:val="24"/>
          <w:highlight w:val="none"/>
        </w:rPr>
        <w:t>信号机时间巡检</w:t>
      </w:r>
      <w:bookmarkEnd w:id="289"/>
    </w:p>
    <w:p w14:paraId="4C58BF9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支持对信号机系统时间和服务器时间进行巡检比对吗，展示信号机时间与服务器时间的时间误差。</w:t>
      </w:r>
    </w:p>
    <w:p w14:paraId="5CF45503">
      <w:pPr>
        <w:pageBreakBefore w:val="0"/>
        <w:widowControl/>
        <w:numPr>
          <w:ilvl w:val="0"/>
          <w:numId w:val="0"/>
        </w:numPr>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4"/>
          <w:szCs w:val="24"/>
          <w:highlight w:val="none"/>
        </w:rPr>
      </w:pPr>
      <w:bookmarkStart w:id="290" w:name="_Toc187416047"/>
      <w:r>
        <w:rPr>
          <w:rFonts w:hint="eastAsia" w:ascii="宋体" w:hAnsi="宋体" w:eastAsia="宋体" w:cs="宋体"/>
          <w:b/>
          <w:bCs/>
          <w:color w:val="auto"/>
          <w:sz w:val="24"/>
          <w:szCs w:val="24"/>
          <w:highlight w:val="none"/>
          <w:lang w:val="en-US" w:eastAsia="zh-CN"/>
        </w:rPr>
        <w:t>11.</w:t>
      </w:r>
      <w:r>
        <w:rPr>
          <w:rFonts w:hint="eastAsia" w:ascii="宋体" w:hAnsi="宋体" w:eastAsia="宋体" w:cs="宋体"/>
          <w:b/>
          <w:bCs/>
          <w:color w:val="auto"/>
          <w:sz w:val="24"/>
          <w:szCs w:val="24"/>
          <w:highlight w:val="none"/>
        </w:rPr>
        <w:t>信号机版本信息查询</w:t>
      </w:r>
      <w:bookmarkEnd w:id="290"/>
    </w:p>
    <w:p w14:paraId="4D14BEF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支持查看信号机的软件程序版本。</w:t>
      </w:r>
    </w:p>
    <w:p w14:paraId="027193C1">
      <w:pPr>
        <w:pageBreakBefore w:val="0"/>
        <w:widowControl/>
        <w:numPr>
          <w:ilvl w:val="0"/>
          <w:numId w:val="0"/>
        </w:numPr>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4"/>
          <w:szCs w:val="24"/>
          <w:highlight w:val="none"/>
        </w:rPr>
      </w:pPr>
      <w:bookmarkStart w:id="291" w:name="_Toc187416048"/>
      <w:r>
        <w:rPr>
          <w:rFonts w:hint="eastAsia" w:ascii="宋体" w:hAnsi="宋体" w:eastAsia="宋体" w:cs="宋体"/>
          <w:b/>
          <w:bCs/>
          <w:color w:val="auto"/>
          <w:sz w:val="24"/>
          <w:szCs w:val="24"/>
          <w:highlight w:val="none"/>
          <w:lang w:val="en-US" w:eastAsia="zh-CN"/>
        </w:rPr>
        <w:t>12.</w:t>
      </w:r>
      <w:r>
        <w:rPr>
          <w:rFonts w:hint="eastAsia" w:ascii="宋体" w:hAnsi="宋体" w:eastAsia="宋体" w:cs="宋体"/>
          <w:b/>
          <w:bCs/>
          <w:color w:val="auto"/>
          <w:sz w:val="24"/>
          <w:szCs w:val="24"/>
          <w:highlight w:val="none"/>
        </w:rPr>
        <w:t>信号机故障查询</w:t>
      </w:r>
      <w:bookmarkEnd w:id="291"/>
    </w:p>
    <w:p w14:paraId="08E95EC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支持根据路口名称和时间范围查询该时间段内的信号机故障详情。</w:t>
      </w:r>
    </w:p>
    <w:p w14:paraId="0E306CB3">
      <w:pPr>
        <w:pageBreakBefore w:val="0"/>
        <w:widowControl/>
        <w:numPr>
          <w:ilvl w:val="0"/>
          <w:numId w:val="0"/>
        </w:numPr>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4"/>
          <w:szCs w:val="24"/>
          <w:highlight w:val="none"/>
        </w:rPr>
      </w:pPr>
      <w:bookmarkStart w:id="292" w:name="_Toc187416049"/>
      <w:r>
        <w:rPr>
          <w:rFonts w:hint="eastAsia" w:ascii="宋体" w:hAnsi="宋体" w:eastAsia="宋体" w:cs="宋体"/>
          <w:b/>
          <w:bCs/>
          <w:color w:val="auto"/>
          <w:sz w:val="24"/>
          <w:szCs w:val="24"/>
          <w:highlight w:val="none"/>
          <w:lang w:val="en-US" w:eastAsia="zh-CN"/>
        </w:rPr>
        <w:t>13.</w:t>
      </w:r>
      <w:r>
        <w:rPr>
          <w:rFonts w:hint="eastAsia" w:ascii="宋体" w:hAnsi="宋体" w:eastAsia="宋体" w:cs="宋体"/>
          <w:b/>
          <w:bCs/>
          <w:color w:val="auto"/>
          <w:sz w:val="24"/>
          <w:szCs w:val="24"/>
          <w:highlight w:val="none"/>
        </w:rPr>
        <w:t>信号机参数备份还原</w:t>
      </w:r>
      <w:bookmarkEnd w:id="292"/>
    </w:p>
    <w:p w14:paraId="522082B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支持对信号机配置信息进行备份和导入还原，导入后支持对导入数据进行预览。</w:t>
      </w:r>
    </w:p>
    <w:p w14:paraId="5C9D462F">
      <w:pPr>
        <w:pageBreakBefore w:val="0"/>
        <w:widowControl/>
        <w:numPr>
          <w:ilvl w:val="0"/>
          <w:numId w:val="0"/>
        </w:numPr>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4"/>
          <w:szCs w:val="24"/>
          <w:highlight w:val="none"/>
        </w:rPr>
      </w:pPr>
      <w:bookmarkStart w:id="293" w:name="_Toc187416050"/>
      <w:r>
        <w:rPr>
          <w:rFonts w:hint="eastAsia" w:ascii="宋体" w:hAnsi="宋体" w:eastAsia="宋体" w:cs="宋体"/>
          <w:b/>
          <w:bCs/>
          <w:color w:val="auto"/>
          <w:sz w:val="24"/>
          <w:szCs w:val="24"/>
          <w:highlight w:val="none"/>
          <w:lang w:val="en-US" w:eastAsia="zh-CN"/>
        </w:rPr>
        <w:t>14.信</w:t>
      </w:r>
      <w:r>
        <w:rPr>
          <w:rFonts w:hint="eastAsia" w:ascii="宋体" w:hAnsi="宋体" w:eastAsia="宋体" w:cs="宋体"/>
          <w:b/>
          <w:bCs/>
          <w:color w:val="auto"/>
          <w:sz w:val="24"/>
          <w:szCs w:val="24"/>
          <w:highlight w:val="none"/>
        </w:rPr>
        <w:t>号机操作日志查询</w:t>
      </w:r>
      <w:bookmarkEnd w:id="293"/>
    </w:p>
    <w:p w14:paraId="701BFB9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支持根据路口名称、操作类型、时间范围对信号机操作进行查询。</w:t>
      </w:r>
    </w:p>
    <w:p w14:paraId="23685F62">
      <w:pPr>
        <w:pageBreakBefore w:val="0"/>
        <w:widowControl/>
        <w:numPr>
          <w:ilvl w:val="0"/>
          <w:numId w:val="0"/>
        </w:numPr>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4"/>
          <w:szCs w:val="24"/>
          <w:highlight w:val="none"/>
        </w:rPr>
      </w:pPr>
      <w:bookmarkStart w:id="294" w:name="_Toc187416051"/>
      <w:r>
        <w:rPr>
          <w:rFonts w:hint="eastAsia" w:ascii="宋体" w:hAnsi="宋体" w:eastAsia="宋体" w:cs="宋体"/>
          <w:b/>
          <w:bCs/>
          <w:color w:val="auto"/>
          <w:sz w:val="24"/>
          <w:szCs w:val="24"/>
          <w:highlight w:val="none"/>
          <w:lang w:val="en-US" w:eastAsia="zh-CN"/>
        </w:rPr>
        <w:t>15.信号</w:t>
      </w:r>
      <w:r>
        <w:rPr>
          <w:rFonts w:hint="eastAsia" w:ascii="宋体" w:hAnsi="宋体" w:eastAsia="宋体" w:cs="宋体"/>
          <w:b/>
          <w:bCs/>
          <w:color w:val="auto"/>
          <w:sz w:val="24"/>
          <w:szCs w:val="24"/>
          <w:highlight w:val="none"/>
        </w:rPr>
        <w:t>机操作日志导出</w:t>
      </w:r>
      <w:bookmarkEnd w:id="294"/>
    </w:p>
    <w:p w14:paraId="59CB967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支持根据路口名称、操作类型、时间范围对信号机操作数据进行报表导出。</w:t>
      </w:r>
    </w:p>
    <w:p w14:paraId="3AE8A01E">
      <w:pPr>
        <w:pageBreakBefore w:val="0"/>
        <w:widowControl/>
        <w:numPr>
          <w:ilvl w:val="0"/>
          <w:numId w:val="0"/>
        </w:numPr>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4"/>
          <w:szCs w:val="24"/>
          <w:highlight w:val="none"/>
        </w:rPr>
      </w:pPr>
      <w:bookmarkStart w:id="295" w:name="_Toc187416052"/>
      <w:r>
        <w:rPr>
          <w:rFonts w:hint="eastAsia" w:ascii="宋体" w:hAnsi="宋体" w:eastAsia="宋体" w:cs="宋体"/>
          <w:b/>
          <w:bCs/>
          <w:color w:val="auto"/>
          <w:sz w:val="24"/>
          <w:szCs w:val="24"/>
          <w:highlight w:val="none"/>
          <w:lang w:val="en-US" w:eastAsia="zh-CN"/>
        </w:rPr>
        <w:t>16.信号</w:t>
      </w:r>
      <w:r>
        <w:rPr>
          <w:rFonts w:hint="eastAsia" w:ascii="宋体" w:hAnsi="宋体" w:eastAsia="宋体" w:cs="宋体"/>
          <w:b/>
          <w:bCs/>
          <w:color w:val="auto"/>
          <w:sz w:val="24"/>
          <w:szCs w:val="24"/>
          <w:highlight w:val="none"/>
        </w:rPr>
        <w:t>机操作日志统计</w:t>
      </w:r>
      <w:bookmarkEnd w:id="295"/>
    </w:p>
    <w:p w14:paraId="6DF72CD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支持对某路口一段时间范围内，特定操作类型进行统计，并通过图形化进行展示。</w:t>
      </w:r>
    </w:p>
    <w:p w14:paraId="231159D0">
      <w:pPr>
        <w:pageBreakBefore w:val="0"/>
        <w:widowControl/>
        <w:numPr>
          <w:ilvl w:val="0"/>
          <w:numId w:val="0"/>
        </w:numPr>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4"/>
          <w:szCs w:val="24"/>
          <w:highlight w:val="none"/>
        </w:rPr>
      </w:pPr>
      <w:bookmarkStart w:id="296" w:name="_Toc187416053"/>
      <w:r>
        <w:rPr>
          <w:rFonts w:hint="eastAsia" w:ascii="宋体" w:hAnsi="宋体" w:eastAsia="宋体" w:cs="宋体"/>
          <w:b/>
          <w:bCs/>
          <w:color w:val="auto"/>
          <w:sz w:val="24"/>
          <w:szCs w:val="24"/>
          <w:highlight w:val="none"/>
          <w:lang w:val="en-US" w:eastAsia="zh-CN"/>
        </w:rPr>
        <w:t>17.信号机</w:t>
      </w:r>
      <w:r>
        <w:rPr>
          <w:rFonts w:hint="eastAsia" w:ascii="宋体" w:hAnsi="宋体" w:eastAsia="宋体" w:cs="宋体"/>
          <w:b/>
          <w:bCs/>
          <w:color w:val="auto"/>
          <w:sz w:val="24"/>
          <w:szCs w:val="24"/>
          <w:highlight w:val="none"/>
        </w:rPr>
        <w:t>步进记录查询</w:t>
      </w:r>
      <w:bookmarkEnd w:id="296"/>
    </w:p>
    <w:p w14:paraId="300048E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支持对信号机的步进记录进行查询，包括平台步进、路口遥控器和面板步进。</w:t>
      </w:r>
    </w:p>
    <w:p w14:paraId="2EFF5BF0">
      <w:pPr>
        <w:pageBreakBefore w:val="0"/>
        <w:widowControl/>
        <w:numPr>
          <w:ilvl w:val="0"/>
          <w:numId w:val="0"/>
        </w:numPr>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4"/>
          <w:szCs w:val="24"/>
          <w:highlight w:val="none"/>
        </w:rPr>
      </w:pPr>
      <w:bookmarkStart w:id="297" w:name="_Toc187416054"/>
      <w:r>
        <w:rPr>
          <w:rFonts w:hint="eastAsia" w:ascii="宋体" w:hAnsi="宋体" w:eastAsia="宋体" w:cs="宋体"/>
          <w:b/>
          <w:bCs/>
          <w:color w:val="auto"/>
          <w:sz w:val="24"/>
          <w:szCs w:val="24"/>
          <w:highlight w:val="none"/>
          <w:lang w:val="en-US" w:eastAsia="zh-CN"/>
        </w:rPr>
        <w:t>18.信号</w:t>
      </w:r>
      <w:r>
        <w:rPr>
          <w:rFonts w:hint="eastAsia" w:ascii="宋体" w:hAnsi="宋体" w:eastAsia="宋体" w:cs="宋体"/>
          <w:b/>
          <w:bCs/>
          <w:color w:val="auto"/>
          <w:sz w:val="24"/>
          <w:szCs w:val="24"/>
          <w:highlight w:val="none"/>
        </w:rPr>
        <w:t>机历史状态查询</w:t>
      </w:r>
      <w:bookmarkEnd w:id="297"/>
    </w:p>
    <w:p w14:paraId="435A924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支持对信号机的历史状态进行查询，包括信号机的上线和下线时间数据。</w:t>
      </w:r>
    </w:p>
    <w:p w14:paraId="5DDDDA4D">
      <w:pPr>
        <w:pageBreakBefore w:val="0"/>
        <w:widowControl/>
        <w:numPr>
          <w:ilvl w:val="0"/>
          <w:numId w:val="0"/>
        </w:numPr>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4"/>
          <w:szCs w:val="24"/>
          <w:highlight w:val="none"/>
        </w:rPr>
      </w:pPr>
      <w:bookmarkStart w:id="298" w:name="_Toc187416055"/>
      <w:r>
        <w:rPr>
          <w:rFonts w:hint="eastAsia" w:ascii="宋体" w:hAnsi="宋体" w:eastAsia="宋体" w:cs="宋体"/>
          <w:b/>
          <w:bCs/>
          <w:color w:val="auto"/>
          <w:sz w:val="24"/>
          <w:szCs w:val="24"/>
          <w:highlight w:val="none"/>
          <w:lang w:val="en-US" w:eastAsia="zh-CN"/>
        </w:rPr>
        <w:t>19.信号</w:t>
      </w:r>
      <w:r>
        <w:rPr>
          <w:rFonts w:hint="eastAsia" w:ascii="宋体" w:hAnsi="宋体" w:eastAsia="宋体" w:cs="宋体"/>
          <w:b/>
          <w:bCs/>
          <w:color w:val="auto"/>
          <w:sz w:val="24"/>
          <w:szCs w:val="24"/>
          <w:highlight w:val="none"/>
        </w:rPr>
        <w:t>机历史状态统计</w:t>
      </w:r>
      <w:bookmarkEnd w:id="298"/>
    </w:p>
    <w:p w14:paraId="219929F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支持对信号机历史状态进行统计，并支持将数据导出。</w:t>
      </w:r>
    </w:p>
    <w:p w14:paraId="2B4BC4B5">
      <w:pPr>
        <w:pageBreakBefore w:val="0"/>
        <w:widowControl/>
        <w:numPr>
          <w:ilvl w:val="0"/>
          <w:numId w:val="0"/>
        </w:numPr>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4"/>
          <w:szCs w:val="24"/>
          <w:highlight w:val="none"/>
        </w:rPr>
      </w:pPr>
      <w:bookmarkStart w:id="299" w:name="_Toc187416056"/>
      <w:r>
        <w:rPr>
          <w:rFonts w:hint="eastAsia" w:ascii="宋体" w:hAnsi="宋体" w:eastAsia="宋体" w:cs="宋体"/>
          <w:b/>
          <w:bCs/>
          <w:color w:val="auto"/>
          <w:sz w:val="24"/>
          <w:szCs w:val="24"/>
          <w:highlight w:val="none"/>
          <w:lang w:val="en-US" w:eastAsia="zh-CN"/>
        </w:rPr>
        <w:t>20.方</w:t>
      </w:r>
      <w:r>
        <w:rPr>
          <w:rFonts w:hint="eastAsia" w:ascii="宋体" w:hAnsi="宋体" w:eastAsia="宋体" w:cs="宋体"/>
          <w:b/>
          <w:bCs/>
          <w:color w:val="auto"/>
          <w:sz w:val="24"/>
          <w:szCs w:val="24"/>
          <w:highlight w:val="none"/>
        </w:rPr>
        <w:t>案备份记录查询</w:t>
      </w:r>
      <w:bookmarkEnd w:id="299"/>
    </w:p>
    <w:p w14:paraId="205E8F7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支持通过路口名称、备份时间范围、操作类型（保存数据库、下发信号机、备份）对保存下发的历史方案记录进行查询。</w:t>
      </w:r>
    </w:p>
    <w:p w14:paraId="187480F4">
      <w:pPr>
        <w:pageBreakBefore w:val="0"/>
        <w:widowControl/>
        <w:numPr>
          <w:ilvl w:val="0"/>
          <w:numId w:val="0"/>
        </w:numPr>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4"/>
          <w:szCs w:val="24"/>
          <w:highlight w:val="none"/>
        </w:rPr>
      </w:pPr>
      <w:bookmarkStart w:id="300" w:name="_Toc187416057"/>
      <w:r>
        <w:rPr>
          <w:rFonts w:hint="eastAsia" w:ascii="宋体" w:hAnsi="宋体" w:eastAsia="宋体" w:cs="宋体"/>
          <w:b/>
          <w:bCs/>
          <w:color w:val="auto"/>
          <w:sz w:val="24"/>
          <w:szCs w:val="24"/>
          <w:highlight w:val="none"/>
          <w:lang w:val="en-US" w:eastAsia="zh-CN"/>
        </w:rPr>
        <w:t>21.备份</w:t>
      </w:r>
      <w:r>
        <w:rPr>
          <w:rFonts w:hint="eastAsia" w:ascii="宋体" w:hAnsi="宋体" w:eastAsia="宋体" w:cs="宋体"/>
          <w:b/>
          <w:bCs/>
          <w:color w:val="auto"/>
          <w:sz w:val="24"/>
          <w:szCs w:val="24"/>
          <w:highlight w:val="none"/>
        </w:rPr>
        <w:t>方案下发</w:t>
      </w:r>
      <w:bookmarkEnd w:id="300"/>
    </w:p>
    <w:p w14:paraId="14A3B0A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支持查询到备份方案后，将备份方案再次下发到信号机。</w:t>
      </w:r>
    </w:p>
    <w:p w14:paraId="6C9A5DE8">
      <w:pPr>
        <w:pageBreakBefore w:val="0"/>
        <w:widowControl/>
        <w:numPr>
          <w:ilvl w:val="0"/>
          <w:numId w:val="0"/>
        </w:numPr>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4"/>
          <w:szCs w:val="24"/>
          <w:highlight w:val="none"/>
        </w:rPr>
      </w:pPr>
      <w:bookmarkStart w:id="301" w:name="_Toc187416058"/>
      <w:r>
        <w:rPr>
          <w:rFonts w:hint="eastAsia" w:ascii="宋体" w:hAnsi="宋体" w:eastAsia="宋体" w:cs="宋体"/>
          <w:b/>
          <w:bCs/>
          <w:color w:val="auto"/>
          <w:sz w:val="24"/>
          <w:szCs w:val="24"/>
          <w:highlight w:val="none"/>
          <w:lang w:val="en-US" w:eastAsia="zh-CN"/>
        </w:rPr>
        <w:t>22.信</w:t>
      </w:r>
      <w:r>
        <w:rPr>
          <w:rFonts w:hint="eastAsia" w:ascii="宋体" w:hAnsi="宋体" w:eastAsia="宋体" w:cs="宋体"/>
          <w:b/>
          <w:bCs/>
          <w:color w:val="auto"/>
          <w:sz w:val="24"/>
          <w:szCs w:val="24"/>
          <w:highlight w:val="none"/>
        </w:rPr>
        <w:t>号机历史运行方案查询</w:t>
      </w:r>
      <w:bookmarkEnd w:id="301"/>
    </w:p>
    <w:p w14:paraId="6B6CEE4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支持对信号机的历史运行方案进行查询，并能够图形化展示历史某一时刻运行的方案详情。</w:t>
      </w:r>
    </w:p>
    <w:p w14:paraId="2B491786">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360" w:lineRule="auto"/>
        <w:textAlignment w:val="baseline"/>
        <w:rPr>
          <w:rFonts w:hint="eastAsia" w:ascii="宋体" w:hAnsi="宋体" w:eastAsia="宋体" w:cs="宋体"/>
          <w:b/>
          <w:bCs/>
          <w:color w:val="auto"/>
          <w:spacing w:val="-4"/>
          <w:highlight w:val="none"/>
        </w:rPr>
      </w:pPr>
      <w:bookmarkStart w:id="302" w:name="_Toc187416059"/>
      <w:r>
        <w:rPr>
          <w:rFonts w:hint="eastAsia" w:ascii="宋体" w:hAnsi="宋体" w:eastAsia="宋体" w:cs="宋体"/>
          <w:b/>
          <w:bCs/>
          <w:color w:val="auto"/>
          <w:spacing w:val="-4"/>
          <w:highlight w:val="none"/>
        </w:rPr>
        <w:t>多路口监控</w:t>
      </w:r>
      <w:bookmarkEnd w:id="302"/>
    </w:p>
    <w:p w14:paraId="6976FDC3">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303" w:name="_Toc187416060"/>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多路口信号灯状态实时监测</w:t>
      </w:r>
      <w:bookmarkEnd w:id="303"/>
    </w:p>
    <w:p w14:paraId="6B85AB0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能够图形化方式同时展示多个路口渠化信息（包括进出口车道、人行横道、交通标线），并能够在渠化图上实时展示路口信号灯状态变化，当前方案的相位运行情况。</w:t>
      </w:r>
    </w:p>
    <w:p w14:paraId="710CDD8A">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304" w:name="_Toc187416061"/>
      <w:r>
        <w:rPr>
          <w:rFonts w:hint="eastAsia" w:ascii="宋体" w:hAnsi="宋体" w:eastAsia="宋体" w:cs="宋体"/>
          <w:b/>
          <w:bCs/>
          <w:color w:val="auto"/>
          <w:sz w:val="24"/>
          <w:szCs w:val="24"/>
          <w:highlight w:val="none"/>
          <w:lang w:val="en-US" w:eastAsia="zh-CN"/>
        </w:rPr>
        <w:t>2.▲多</w:t>
      </w:r>
      <w:r>
        <w:rPr>
          <w:rFonts w:hint="eastAsia" w:ascii="宋体" w:hAnsi="宋体" w:eastAsia="宋体" w:cs="宋体"/>
          <w:b/>
          <w:bCs/>
          <w:color w:val="auto"/>
          <w:sz w:val="24"/>
          <w:szCs w:val="24"/>
          <w:highlight w:val="none"/>
        </w:rPr>
        <w:t>路口控制方式展示</w:t>
      </w:r>
      <w:bookmarkEnd w:id="304"/>
    </w:p>
    <w:p w14:paraId="339A21D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同时展示多个路口当前控制方式、当前运行的方案、周期时长、相位和相序。</w:t>
      </w:r>
    </w:p>
    <w:p w14:paraId="1DD9DA8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平台支持将多个路口拖到一个页面上展示，可同时查看各个路口的渠化状态以及实时相位状态（支持16个路口同时查看）。支持在渠化图上进行方案步进和暂停。（提供公安部检测机构或其他经国家认可的第三方检测机构出具的检测报告复印件并加盖投标人公章）</w:t>
      </w:r>
    </w:p>
    <w:p w14:paraId="0EE86C6E">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305" w:name="_Toc187416062"/>
      <w:r>
        <w:rPr>
          <w:rFonts w:hint="eastAsia" w:ascii="宋体" w:hAnsi="宋体" w:eastAsia="宋体" w:cs="宋体"/>
          <w:b/>
          <w:bCs/>
          <w:color w:val="auto"/>
          <w:sz w:val="24"/>
          <w:szCs w:val="24"/>
          <w:highlight w:val="none"/>
          <w:lang w:val="en-US" w:eastAsia="zh-CN"/>
        </w:rPr>
        <w:t>3.多路口</w:t>
      </w:r>
      <w:r>
        <w:rPr>
          <w:rFonts w:hint="eastAsia" w:ascii="宋体" w:hAnsi="宋体" w:eastAsia="宋体" w:cs="宋体"/>
          <w:b/>
          <w:bCs/>
          <w:color w:val="auto"/>
          <w:sz w:val="24"/>
          <w:szCs w:val="24"/>
          <w:highlight w:val="none"/>
        </w:rPr>
        <w:t>监控点视频预览</w:t>
      </w:r>
      <w:bookmarkEnd w:id="305"/>
    </w:p>
    <w:p w14:paraId="68DBB0C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支持联动多个路口的监控点进行实时视频预览。</w:t>
      </w:r>
    </w:p>
    <w:p w14:paraId="286DA99C">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306" w:name="_Toc187416063"/>
      <w:r>
        <w:rPr>
          <w:rFonts w:hint="eastAsia" w:ascii="宋体" w:hAnsi="宋体" w:eastAsia="宋体" w:cs="宋体"/>
          <w:b/>
          <w:bCs/>
          <w:color w:val="auto"/>
          <w:sz w:val="24"/>
          <w:szCs w:val="24"/>
          <w:highlight w:val="none"/>
          <w:lang w:val="en-US" w:eastAsia="zh-CN"/>
        </w:rPr>
        <w:t>4.多路口</w:t>
      </w:r>
      <w:r>
        <w:rPr>
          <w:rFonts w:hint="eastAsia" w:ascii="宋体" w:hAnsi="宋体" w:eastAsia="宋体" w:cs="宋体"/>
          <w:b/>
          <w:bCs/>
          <w:color w:val="auto"/>
          <w:sz w:val="24"/>
          <w:szCs w:val="24"/>
          <w:highlight w:val="none"/>
        </w:rPr>
        <w:t>远程人工控制</w:t>
      </w:r>
      <w:bookmarkEnd w:id="306"/>
    </w:p>
    <w:p w14:paraId="16B96C4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支持多个路口的手动步进、黄闪、全红、关灯、方案切换、锁定某些交通流向信号灯的多种人工干预控制。</w:t>
      </w:r>
    </w:p>
    <w:p w14:paraId="27859547">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307" w:name="_Toc187416064"/>
      <w:r>
        <w:rPr>
          <w:rFonts w:hint="eastAsia" w:ascii="宋体" w:hAnsi="宋体" w:eastAsia="宋体" w:cs="宋体"/>
          <w:b/>
          <w:bCs/>
          <w:color w:val="auto"/>
          <w:sz w:val="24"/>
          <w:szCs w:val="24"/>
          <w:highlight w:val="none"/>
          <w:lang w:val="en-US" w:eastAsia="zh-CN"/>
        </w:rPr>
        <w:t>5.多路</w:t>
      </w:r>
      <w:r>
        <w:rPr>
          <w:rFonts w:hint="eastAsia" w:ascii="宋体" w:hAnsi="宋体" w:eastAsia="宋体" w:cs="宋体"/>
          <w:b/>
          <w:bCs/>
          <w:color w:val="auto"/>
          <w:sz w:val="24"/>
          <w:szCs w:val="24"/>
          <w:highlight w:val="none"/>
        </w:rPr>
        <w:t>口监控配置</w:t>
      </w:r>
      <w:bookmarkEnd w:id="307"/>
    </w:p>
    <w:p w14:paraId="1AB6624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具备在界面上添加、删除和修改任意路口的功能。</w:t>
      </w:r>
    </w:p>
    <w:p w14:paraId="668477A1">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360" w:lineRule="auto"/>
        <w:textAlignment w:val="baseline"/>
        <w:rPr>
          <w:rFonts w:hint="eastAsia" w:ascii="宋体" w:hAnsi="宋体" w:eastAsia="宋体" w:cs="宋体"/>
          <w:b/>
          <w:bCs/>
          <w:color w:val="auto"/>
          <w:spacing w:val="-4"/>
          <w:highlight w:val="none"/>
        </w:rPr>
      </w:pPr>
      <w:bookmarkStart w:id="308" w:name="_Toc187416065"/>
      <w:r>
        <w:rPr>
          <w:rFonts w:hint="eastAsia" w:ascii="宋体" w:hAnsi="宋体" w:eastAsia="宋体" w:cs="宋体"/>
          <w:b/>
          <w:bCs/>
          <w:color w:val="auto"/>
          <w:spacing w:val="-4"/>
          <w:highlight w:val="none"/>
        </w:rPr>
        <w:t>交通运行指标查询</w:t>
      </w:r>
      <w:bookmarkEnd w:id="308"/>
    </w:p>
    <w:p w14:paraId="741A137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交通指标查询功能，在平台可根据路口、维度（路口、进口道、转向、车道）、开始时间和结束时间、时间维度（周期、5分钟、15分钟、日、月、年）查询交通指标，包括流量、排队长度、平均延误、绿灯利用率、服务水平、饱和度等指标，并支持导出目前的查询结果。</w:t>
      </w:r>
    </w:p>
    <w:p w14:paraId="362A3109">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309" w:name="_Toc187416066"/>
      <w:r>
        <w:rPr>
          <w:rFonts w:hint="eastAsia" w:ascii="宋体" w:hAnsi="宋体" w:eastAsia="宋体" w:cs="宋体"/>
          <w:b/>
          <w:bCs/>
          <w:color w:val="auto"/>
          <w:sz w:val="24"/>
          <w:szCs w:val="24"/>
          <w:highlight w:val="none"/>
          <w:lang w:val="en-US" w:eastAsia="zh-CN"/>
        </w:rPr>
        <w:t>1.▲交</w:t>
      </w:r>
      <w:r>
        <w:rPr>
          <w:rFonts w:hint="eastAsia" w:ascii="宋体" w:hAnsi="宋体" w:eastAsia="宋体" w:cs="宋体"/>
          <w:b/>
          <w:bCs/>
          <w:color w:val="auto"/>
          <w:sz w:val="24"/>
          <w:szCs w:val="24"/>
          <w:highlight w:val="none"/>
        </w:rPr>
        <w:t>通流量指标查询</w:t>
      </w:r>
      <w:bookmarkEnd w:id="309"/>
    </w:p>
    <w:p w14:paraId="4218CEB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支持从路口、进口、转向、车道维度查询分钟、小时颗粒度的交通流量，能够以图表的形式展示所查询的交通流量指标。</w:t>
      </w:r>
    </w:p>
    <w:p w14:paraId="2AF28FF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某个路口以空间维度（包括路口、进口道、转向、车道）以及时间维度（包括周期、5分钟、15分钟、日、月、年）对交通流量、排队长度、服务水平、绿灯利用率等指标进行统计，统计结果以表格和图片形式展示，并支持以表格形式导出。（提供公安部检测机构或其他经国家认可的第三方检测机构出具的检测报告复印件并加盖投标人公章）</w:t>
      </w:r>
    </w:p>
    <w:p w14:paraId="6430B787">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310" w:name="_Toc187416067"/>
      <w:r>
        <w:rPr>
          <w:rFonts w:hint="eastAsia" w:ascii="宋体" w:hAnsi="宋体" w:eastAsia="宋体" w:cs="宋体"/>
          <w:b/>
          <w:bCs/>
          <w:color w:val="auto"/>
          <w:sz w:val="24"/>
          <w:szCs w:val="24"/>
          <w:highlight w:val="none"/>
          <w:lang w:val="en-US" w:eastAsia="zh-CN"/>
        </w:rPr>
        <w:t>2.平均</w:t>
      </w:r>
      <w:r>
        <w:rPr>
          <w:rFonts w:hint="eastAsia" w:ascii="宋体" w:hAnsi="宋体" w:eastAsia="宋体" w:cs="宋体"/>
          <w:b/>
          <w:bCs/>
          <w:color w:val="auto"/>
          <w:sz w:val="24"/>
          <w:szCs w:val="24"/>
          <w:highlight w:val="none"/>
        </w:rPr>
        <w:t>延误指标查询</w:t>
      </w:r>
      <w:bookmarkEnd w:id="310"/>
    </w:p>
    <w:p w14:paraId="07D4FB6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支持从路口、进口、转向、车道维度查询分钟、小时颗粒度的车辆平均延误，能够以图表的形式展示所查询的车辆平均延误指标。</w:t>
      </w:r>
    </w:p>
    <w:p w14:paraId="5BC5FBB6">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311" w:name="_Toc187416068"/>
      <w:r>
        <w:rPr>
          <w:rFonts w:hint="eastAsia" w:ascii="宋体" w:hAnsi="宋体" w:eastAsia="宋体" w:cs="宋体"/>
          <w:b/>
          <w:bCs/>
          <w:color w:val="auto"/>
          <w:sz w:val="24"/>
          <w:szCs w:val="24"/>
          <w:highlight w:val="none"/>
          <w:lang w:val="en-US" w:eastAsia="zh-CN"/>
        </w:rPr>
        <w:t>3.排队</w:t>
      </w:r>
      <w:r>
        <w:rPr>
          <w:rFonts w:hint="eastAsia" w:ascii="宋体" w:hAnsi="宋体" w:eastAsia="宋体" w:cs="宋体"/>
          <w:b/>
          <w:bCs/>
          <w:color w:val="auto"/>
          <w:sz w:val="24"/>
          <w:szCs w:val="24"/>
          <w:highlight w:val="none"/>
        </w:rPr>
        <w:t>长度指标查询</w:t>
      </w:r>
      <w:bookmarkEnd w:id="311"/>
    </w:p>
    <w:p w14:paraId="3327D6C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支持从路口、进口、转向、车道维度查询分钟、小时颗粒度的排队长度，能够以图表的形式展示所查询的排队长度指标。</w:t>
      </w:r>
    </w:p>
    <w:p w14:paraId="6D11AB19">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312" w:name="_Toc187416069"/>
      <w:r>
        <w:rPr>
          <w:rFonts w:hint="eastAsia" w:ascii="宋体" w:hAnsi="宋体" w:eastAsia="宋体" w:cs="宋体"/>
          <w:b/>
          <w:bCs/>
          <w:color w:val="auto"/>
          <w:sz w:val="24"/>
          <w:szCs w:val="24"/>
          <w:highlight w:val="none"/>
          <w:lang w:val="en-US" w:eastAsia="zh-CN"/>
        </w:rPr>
        <w:t>4.绿灯</w:t>
      </w:r>
      <w:r>
        <w:rPr>
          <w:rFonts w:hint="eastAsia" w:ascii="宋体" w:hAnsi="宋体" w:eastAsia="宋体" w:cs="宋体"/>
          <w:b/>
          <w:bCs/>
          <w:color w:val="auto"/>
          <w:sz w:val="24"/>
          <w:szCs w:val="24"/>
          <w:highlight w:val="none"/>
        </w:rPr>
        <w:t>利用率指标查询</w:t>
      </w:r>
      <w:bookmarkEnd w:id="312"/>
    </w:p>
    <w:p w14:paraId="0DB4F27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支持从路口、进口、转向、车道维度查询分钟、小时颗粒度的绿灯利用率，能够以图表的形式展示所查询的绿灯利用率指标。</w:t>
      </w:r>
    </w:p>
    <w:p w14:paraId="0E14218D">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313" w:name="_Toc187416070"/>
      <w:r>
        <w:rPr>
          <w:rFonts w:hint="eastAsia" w:ascii="宋体" w:hAnsi="宋体" w:eastAsia="宋体" w:cs="宋体"/>
          <w:b/>
          <w:bCs/>
          <w:color w:val="auto"/>
          <w:sz w:val="24"/>
          <w:szCs w:val="24"/>
          <w:highlight w:val="none"/>
          <w:lang w:val="en-US" w:eastAsia="zh-CN"/>
        </w:rPr>
        <w:t>5.服务</w:t>
      </w:r>
      <w:r>
        <w:rPr>
          <w:rFonts w:hint="eastAsia" w:ascii="宋体" w:hAnsi="宋体" w:eastAsia="宋体" w:cs="宋体"/>
          <w:b/>
          <w:bCs/>
          <w:color w:val="auto"/>
          <w:sz w:val="24"/>
          <w:szCs w:val="24"/>
          <w:highlight w:val="none"/>
        </w:rPr>
        <w:t>水平指标查询</w:t>
      </w:r>
      <w:bookmarkEnd w:id="313"/>
    </w:p>
    <w:p w14:paraId="4A8ACCD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支持从路口维度查询分钟、小时颗粒度的服务水平，能够以图表的形式展示所查询的服务水平指标。</w:t>
      </w:r>
    </w:p>
    <w:p w14:paraId="22E3EBE5">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314" w:name="_Toc187416071"/>
      <w:r>
        <w:rPr>
          <w:rFonts w:hint="eastAsia" w:ascii="宋体" w:hAnsi="宋体" w:eastAsia="宋体" w:cs="宋体"/>
          <w:b/>
          <w:bCs/>
          <w:color w:val="auto"/>
          <w:sz w:val="24"/>
          <w:szCs w:val="24"/>
          <w:highlight w:val="none"/>
          <w:lang w:val="en-US" w:eastAsia="zh-CN"/>
        </w:rPr>
        <w:t>6.交</w:t>
      </w:r>
      <w:r>
        <w:rPr>
          <w:rFonts w:hint="eastAsia" w:ascii="宋体" w:hAnsi="宋体" w:eastAsia="宋体" w:cs="宋体"/>
          <w:b/>
          <w:bCs/>
          <w:color w:val="auto"/>
          <w:sz w:val="24"/>
          <w:szCs w:val="24"/>
          <w:highlight w:val="none"/>
        </w:rPr>
        <w:t>通运行指标导出</w:t>
      </w:r>
      <w:bookmarkEnd w:id="314"/>
    </w:p>
    <w:p w14:paraId="79D8FF5A">
      <w:pPr>
        <w:pStyle w:val="18"/>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支持对所查询的交通运行指标信息按照excel表格形式导出。</w:t>
      </w:r>
    </w:p>
    <w:p w14:paraId="6873B5F4">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color w:val="auto"/>
          <w:spacing w:val="-4"/>
          <w:sz w:val="28"/>
          <w:szCs w:val="28"/>
          <w:highlight w:val="none"/>
        </w:rPr>
      </w:pPr>
      <w:bookmarkStart w:id="315" w:name="_Toc187416072"/>
      <w:bookmarkStart w:id="316" w:name="_Ref1486"/>
      <w:r>
        <w:rPr>
          <w:rFonts w:hint="eastAsia" w:ascii="宋体" w:hAnsi="宋体" w:eastAsia="宋体" w:cs="宋体"/>
          <w:color w:val="auto"/>
          <w:spacing w:val="-4"/>
          <w:sz w:val="28"/>
          <w:szCs w:val="28"/>
          <w:highlight w:val="none"/>
        </w:rPr>
        <w:t>交通综合管控平台</w:t>
      </w:r>
      <w:bookmarkEnd w:id="315"/>
      <w:r>
        <w:rPr>
          <w:rFonts w:hint="eastAsia" w:ascii="宋体" w:hAnsi="宋体" w:eastAsia="宋体" w:cs="宋体"/>
          <w:color w:val="auto"/>
          <w:spacing w:val="-4"/>
          <w:sz w:val="28"/>
          <w:szCs w:val="28"/>
          <w:highlight w:val="none"/>
        </w:rPr>
        <w:t>功能要求</w:t>
      </w:r>
      <w:bookmarkEnd w:id="316"/>
    </w:p>
    <w:p w14:paraId="72CF171F">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b/>
          <w:bCs/>
          <w:color w:val="auto"/>
          <w:spacing w:val="-4"/>
          <w:sz w:val="28"/>
          <w:szCs w:val="24"/>
          <w:highlight w:val="none"/>
        </w:rPr>
      </w:pPr>
      <w:bookmarkStart w:id="317" w:name="_Toc187416073"/>
      <w:r>
        <w:rPr>
          <w:rFonts w:hint="eastAsia" w:ascii="宋体" w:hAnsi="宋体" w:eastAsia="宋体" w:cs="宋体"/>
          <w:b/>
          <w:bCs/>
          <w:color w:val="auto"/>
          <w:spacing w:val="-4"/>
          <w:sz w:val="28"/>
          <w:szCs w:val="24"/>
          <w:highlight w:val="none"/>
        </w:rPr>
        <w:t>基础应用</w:t>
      </w:r>
    </w:p>
    <w:p w14:paraId="5958BD41">
      <w:pPr>
        <w:pStyle w:val="4"/>
        <w:pageBreakBefore w:val="0"/>
        <w:widowControl/>
        <w:numPr>
          <w:ilvl w:val="3"/>
          <w:numId w:val="0"/>
        </w:numPr>
        <w:shd w:val="clear"/>
        <w:tabs>
          <w:tab w:val="left" w:pos="425"/>
        </w:tabs>
        <w:kinsoku/>
        <w:wordWrap/>
        <w:overflowPunct/>
        <w:topLinePunct w:val="0"/>
        <w:autoSpaceDE w:val="0"/>
        <w:autoSpaceDN w:val="0"/>
        <w:bidi w:val="0"/>
        <w:adjustRightInd w:val="0"/>
        <w:snapToGrid w:val="0"/>
        <w:spacing w:before="20" w:after="326" w:afterLines="100" w:line="240" w:lineRule="auto"/>
        <w:ind w:leftChars="0"/>
        <w:textAlignment w:val="baseline"/>
        <w:rPr>
          <w:rFonts w:hint="eastAsia" w:eastAsia="宋体"/>
          <w:color w:val="auto"/>
          <w:sz w:val="28"/>
          <w:szCs w:val="24"/>
          <w:highlight w:val="none"/>
          <w:lang w:val="en-US" w:eastAsia="zh-CN"/>
        </w:rPr>
      </w:pPr>
      <w:r>
        <w:rPr>
          <w:rFonts w:hint="eastAsia" w:ascii="宋体" w:hAnsi="宋体" w:eastAsia="宋体" w:cs="宋体"/>
          <w:b/>
          <w:bCs/>
          <w:snapToGrid w:val="0"/>
          <w:color w:val="auto"/>
          <w:kern w:val="0"/>
          <w:sz w:val="24"/>
          <w:szCs w:val="24"/>
          <w:highlight w:val="none"/>
          <w:lang w:val="en-US" w:eastAsia="zh-CN"/>
        </w:rPr>
        <w:t>1.基</w:t>
      </w:r>
      <w:r>
        <w:rPr>
          <w:rFonts w:hint="eastAsia" w:ascii="宋体" w:hAnsi="宋体" w:eastAsia="宋体" w:cs="宋体"/>
          <w:b/>
          <w:bCs/>
          <w:color w:val="auto"/>
          <w:spacing w:val="-4"/>
          <w:sz w:val="28"/>
          <w:szCs w:val="24"/>
          <w:highlight w:val="none"/>
        </w:rPr>
        <w:t>础应用</w:t>
      </w:r>
      <w:bookmarkEnd w:id="317"/>
      <w:r>
        <w:rPr>
          <w:rFonts w:hint="eastAsia" w:ascii="宋体" w:hAnsi="宋体" w:eastAsia="宋体" w:cs="宋体"/>
          <w:b/>
          <w:bCs/>
          <w:color w:val="auto"/>
          <w:spacing w:val="-4"/>
          <w:sz w:val="28"/>
          <w:szCs w:val="24"/>
          <w:highlight w:val="none"/>
          <w:lang w:val="en-US" w:eastAsia="zh-CN"/>
        </w:rPr>
        <w:t>包括：</w:t>
      </w:r>
    </w:p>
    <w:p w14:paraId="74CDE59F">
      <w:pPr>
        <w:pageBreakBefore w:val="0"/>
        <w:widowControl/>
        <w:numPr>
          <w:ilvl w:val="0"/>
          <w:numId w:val="8"/>
        </w:numPr>
        <w:shd w:val="clear"/>
        <w:kinsoku/>
        <w:wordWrap/>
        <w:overflowPunct/>
        <w:topLinePunct w:val="0"/>
        <w:autoSpaceDE w:val="0"/>
        <w:autoSpaceDN w:val="0"/>
        <w:bidi w:val="0"/>
        <w:adjustRightInd w:val="0"/>
        <w:snapToGrid w:val="0"/>
        <w:spacing w:line="240" w:lineRule="auto"/>
        <w:ind w:left="425" w:leftChars="0" w:hanging="425" w:firstLineChars="0"/>
        <w:rPr>
          <w:rFonts w:hint="eastAsia" w:ascii="宋体" w:hAnsi="宋体" w:eastAsia="宋体" w:cs="宋体"/>
          <w:b/>
          <w:bCs/>
          <w:color w:val="auto"/>
          <w:sz w:val="24"/>
          <w:szCs w:val="24"/>
          <w:highlight w:val="none"/>
        </w:rPr>
      </w:pPr>
      <w:bookmarkStart w:id="318" w:name="_Toc187416074"/>
      <w:r>
        <w:rPr>
          <w:rFonts w:hint="eastAsia" w:ascii="宋体" w:hAnsi="宋体" w:eastAsia="宋体" w:cs="宋体"/>
          <w:b/>
          <w:bCs/>
          <w:color w:val="auto"/>
          <w:sz w:val="24"/>
          <w:szCs w:val="24"/>
          <w:highlight w:val="none"/>
        </w:rPr>
        <w:t>门户</w:t>
      </w:r>
      <w:bookmarkEnd w:id="318"/>
    </w:p>
    <w:p w14:paraId="6FB8F37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应用以标签页方式嵌入显示在门户中，最多支持打开20个标签页；支持刷新、关闭当前标签页，同时支持快速关闭当前标签页左侧或右侧所有应用、关闭除了当前应用外所有应用、以及关闭所有已打开的应用；</w:t>
      </w:r>
    </w:p>
    <w:p w14:paraId="623F302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支持记忆标签设置，开启设置后，再次登录系统后，自动打开上次退出登录时打开的标签页面；</w:t>
      </w:r>
    </w:p>
    <w:p w14:paraId="3B43762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支持用户将个人常用的应用菜单加入到快捷入口栏中，方便用户快速打开相关常用应用；</w:t>
      </w:r>
    </w:p>
    <w:p w14:paraId="46A32E7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支持拖动调节应用显示的前后顺序，支持一键清空所有常用应用；</w:t>
      </w:r>
    </w:p>
    <w:p w14:paraId="5881C18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支持鼠标悬停分类展示系统菜单，并支持快速打开对应应用；</w:t>
      </w:r>
    </w:p>
    <w:p w14:paraId="7BA3267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支持点击右侧菜单分类，可直接定位到该分类所在位置；</w:t>
      </w:r>
    </w:p>
    <w:p w14:paraId="15898E2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支持下载系统默认初始化上传好的客户端、批量配置工具、插件助手、web视频插件工具安装包；移动客户端支持扫描二维码下载；</w:t>
      </w:r>
    </w:p>
    <w:p w14:paraId="5358978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如当前主题无法满足用户需求，系统还支持自定义配置主题，可选取已有部件（或上传业务中心做的部件），自定义摆放位置和大小，并支持首页名称、画布尺寸、主题背景、全景背景的设置，形成自定义首页；</w:t>
      </w:r>
    </w:p>
    <w:p w14:paraId="49BC4FD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支持门户主题关联角色，使不同的用户登录有不同的门户首页；</w:t>
      </w:r>
    </w:p>
    <w:p w14:paraId="0A27084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支持用户退出、修改登录密码，支持显示系统名称、型号、版本信息；</w:t>
      </w:r>
    </w:p>
    <w:p w14:paraId="11DCCFD6">
      <w:pPr>
        <w:pageBreakBefore w:val="0"/>
        <w:widowControl/>
        <w:numPr>
          <w:ilvl w:val="0"/>
          <w:numId w:val="8"/>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19" w:name="_Toc187416075"/>
      <w:r>
        <w:rPr>
          <w:rFonts w:hint="eastAsia" w:ascii="宋体" w:hAnsi="宋体" w:eastAsia="宋体" w:cs="宋体"/>
          <w:b/>
          <w:bCs/>
          <w:color w:val="auto"/>
          <w:sz w:val="24"/>
          <w:szCs w:val="24"/>
          <w:highlight w:val="none"/>
        </w:rPr>
        <w:t>用户身份认证</w:t>
      </w:r>
      <w:bookmarkEnd w:id="319"/>
    </w:p>
    <w:p w14:paraId="219E2AA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系统支持用户名密码登录方式，用户首次登陆或重置密码后登陆需强制修改密码，支持密码输入自动不显示明文功能；</w:t>
      </w:r>
    </w:p>
    <w:p w14:paraId="0A08BE9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支持记住用户名，下次打开登录页面时自动填入记住的用户名；</w:t>
      </w:r>
    </w:p>
    <w:p w14:paraId="1B5D53D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支持限制同一账号允许同时在线的数量，数量可以设置；</w:t>
      </w:r>
    </w:p>
    <w:p w14:paraId="47C9642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支持自动锁定用户ip，当用户连续登录失败次数超过3次时，需要输入验证码；当用户连续登录失败次数超过5次时，用户将被暂时锁定；</w:t>
      </w:r>
    </w:p>
    <w:p w14:paraId="34877120">
      <w:pPr>
        <w:pageBreakBefore w:val="0"/>
        <w:widowControl/>
        <w:numPr>
          <w:ilvl w:val="0"/>
          <w:numId w:val="8"/>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20" w:name="_Toc187416076"/>
      <w:r>
        <w:rPr>
          <w:rFonts w:hint="eastAsia" w:ascii="宋体" w:hAnsi="宋体" w:eastAsia="宋体" w:cs="宋体"/>
          <w:b/>
          <w:bCs/>
          <w:color w:val="auto"/>
          <w:sz w:val="24"/>
          <w:szCs w:val="24"/>
          <w:highlight w:val="none"/>
        </w:rPr>
        <w:t>登录页配置</w:t>
      </w:r>
      <w:bookmarkEnd w:id="320"/>
    </w:p>
    <w:p w14:paraId="295926A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支持登录页的新建；</w:t>
      </w:r>
    </w:p>
    <w:p w14:paraId="7A1F394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支持导入现有的登录页主题；</w:t>
      </w:r>
    </w:p>
    <w:p w14:paraId="407C44A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支持对跳转地址、LOGO、背景样式、页面背景、前景插图、链接样式进行效果和风格调整；</w:t>
      </w:r>
    </w:p>
    <w:p w14:paraId="2B543496">
      <w:pPr>
        <w:pageBreakBefore w:val="0"/>
        <w:widowControl/>
        <w:numPr>
          <w:ilvl w:val="0"/>
          <w:numId w:val="8"/>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21" w:name="_Toc187416077"/>
      <w:r>
        <w:rPr>
          <w:rFonts w:hint="eastAsia" w:ascii="宋体" w:hAnsi="宋体" w:eastAsia="宋体" w:cs="宋体"/>
          <w:b/>
          <w:bCs/>
          <w:color w:val="auto"/>
          <w:sz w:val="24"/>
          <w:szCs w:val="24"/>
          <w:highlight w:val="none"/>
        </w:rPr>
        <w:t>首页配置</w:t>
      </w:r>
      <w:bookmarkEnd w:id="321"/>
    </w:p>
    <w:p w14:paraId="15FA5A7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支持修改网站标题；</w:t>
      </w:r>
    </w:p>
    <w:p w14:paraId="70C9884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支持上传页面logo图标和网站logo图标；</w:t>
      </w:r>
    </w:p>
    <w:p w14:paraId="4723451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支持展示自带的门户部件和自定义部件，拖拽至主题中，并编辑部件的摆放位置，大小；</w:t>
      </w:r>
    </w:p>
    <w:p w14:paraId="6A1F79F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支持对首页名称、画布尺寸、显示模式、主题背景、全景背景进行设置；</w:t>
      </w:r>
    </w:p>
    <w:p w14:paraId="190728C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支持主题url的复制、编辑、预览，复制、导出和删除，支持主题的发布，只有发布后才能在首页展示；</w:t>
      </w:r>
    </w:p>
    <w:p w14:paraId="1E12E7C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支持为某个主题配置关联角色，配置后，该角色的用户默认登录就展示该主题；</w:t>
      </w:r>
    </w:p>
    <w:p w14:paraId="72A285F2">
      <w:pPr>
        <w:pageBreakBefore w:val="0"/>
        <w:widowControl/>
        <w:numPr>
          <w:ilvl w:val="0"/>
          <w:numId w:val="8"/>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22" w:name="_Toc187416078"/>
      <w:r>
        <w:rPr>
          <w:rFonts w:hint="eastAsia" w:ascii="宋体" w:hAnsi="宋体" w:eastAsia="宋体" w:cs="宋体"/>
          <w:b/>
          <w:bCs/>
          <w:color w:val="auto"/>
          <w:sz w:val="24"/>
          <w:szCs w:val="24"/>
          <w:highlight w:val="none"/>
        </w:rPr>
        <w:t>插件管理</w:t>
      </w:r>
      <w:bookmarkEnd w:id="322"/>
    </w:p>
    <w:p w14:paraId="361AB22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支持列表展示系统插件工具，包括图标、名称、描述信息；</w:t>
      </w:r>
    </w:p>
    <w:p w14:paraId="4CC9C0F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支持更改插件工具在插件助手中的排列顺序；</w:t>
      </w:r>
    </w:p>
    <w:p w14:paraId="5B7E53A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支持批量或单个删除插件；</w:t>
      </w:r>
    </w:p>
    <w:p w14:paraId="26EB179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支持恢复默认页面设置；</w:t>
      </w:r>
    </w:p>
    <w:p w14:paraId="2A4EFAB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支持通过上传添加新的插件工具；</w:t>
      </w:r>
    </w:p>
    <w:p w14:paraId="162C0566">
      <w:pPr>
        <w:pageBreakBefore w:val="0"/>
        <w:widowControl/>
        <w:numPr>
          <w:ilvl w:val="0"/>
          <w:numId w:val="8"/>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23" w:name="_Toc187416079"/>
      <w:r>
        <w:rPr>
          <w:rFonts w:hint="eastAsia" w:ascii="宋体" w:hAnsi="宋体" w:eastAsia="宋体" w:cs="宋体"/>
          <w:b/>
          <w:bCs/>
          <w:color w:val="auto"/>
          <w:sz w:val="24"/>
          <w:szCs w:val="24"/>
          <w:highlight w:val="none"/>
        </w:rPr>
        <w:t>菜单配置</w:t>
      </w:r>
      <w:bookmarkEnd w:id="323"/>
    </w:p>
    <w:p w14:paraId="66A4B15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支持编辑应用下的菜单项；</w:t>
      </w:r>
    </w:p>
    <w:p w14:paraId="69FC96C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支持调整菜单顺序；</w:t>
      </w:r>
    </w:p>
    <w:p w14:paraId="317D308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支持新增菜单项及页面，最多三级菜单；</w:t>
      </w:r>
    </w:p>
    <w:p w14:paraId="629158B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支持查看菜单名称、上级菜单、URL链接、来源及图标信息；</w:t>
      </w:r>
    </w:p>
    <w:p w14:paraId="66AFC65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支持新增菜单分组，最多二级分组；</w:t>
      </w:r>
    </w:p>
    <w:p w14:paraId="184F1B1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支持删除自定义菜单；</w:t>
      </w:r>
    </w:p>
    <w:p w14:paraId="7E8241E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支持菜单同步，支持同步，同步之后重新拉取项目中的默认菜单，自定义菜单保留，顺序置于最下方；</w:t>
      </w:r>
    </w:p>
    <w:p w14:paraId="3A8DA98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支持设置菜单是否显示；</w:t>
      </w:r>
    </w:p>
    <w:p w14:paraId="035B4439">
      <w:pPr>
        <w:pageBreakBefore w:val="0"/>
        <w:widowControl/>
        <w:numPr>
          <w:ilvl w:val="0"/>
          <w:numId w:val="8"/>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24" w:name="_Toc187416080"/>
      <w:r>
        <w:rPr>
          <w:rFonts w:hint="eastAsia" w:ascii="宋体" w:hAnsi="宋体" w:eastAsia="宋体" w:cs="宋体"/>
          <w:b/>
          <w:bCs/>
          <w:color w:val="auto"/>
          <w:sz w:val="24"/>
          <w:szCs w:val="24"/>
          <w:highlight w:val="none"/>
        </w:rPr>
        <w:t>用户管理</w:t>
      </w:r>
      <w:bookmarkEnd w:id="324"/>
    </w:p>
    <w:p w14:paraId="17AF269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在用户首页展示用户列表，列表信息包括 用户名、真实姓名、所属用户组、启用状态、在线状态、锁定状态，在用户列表左侧展示用户分组点击左侧的部门树可对应展示该部门下的用户，勾选包含下级后，可展示该部门以及其子部门下所有部门的用户；</w:t>
      </w:r>
    </w:p>
    <w:p w14:paraId="576DEB3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支持用户的添加，包括用户的账户信息、人员信息和权限信息；</w:t>
      </w:r>
    </w:p>
    <w:p w14:paraId="0E39CD3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支持设置用户权重，用于云台控制锁定，权重越大权限越高；</w:t>
      </w:r>
    </w:p>
    <w:p w14:paraId="0710B95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支持设置用户登录认证信息，包括登录认证密码、认证方式、登录地址绑定；</w:t>
      </w:r>
    </w:p>
    <w:p w14:paraId="6CDD7C7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支持设置所属用户组权限及用户权限；</w:t>
      </w:r>
    </w:p>
    <w:p w14:paraId="6D8E226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支持单个或批量删除用户；</w:t>
      </w:r>
    </w:p>
    <w:p w14:paraId="4E60B8D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支持单个或批量置顶用户，置顶用户后该用户在列表中排在最前列；</w:t>
      </w:r>
    </w:p>
    <w:p w14:paraId="27BEE7F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支持单个或批量启用或禁用用户；</w:t>
      </w:r>
    </w:p>
    <w:p w14:paraId="57593B2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支持将单个或多个用户变更到其他用户组；</w:t>
      </w:r>
    </w:p>
    <w:p w14:paraId="7551EE8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支持管理员将单个或多个用户密码重置为默认密码；用户重置密码后初次登录强制要求修改密码；</w:t>
      </w:r>
    </w:p>
    <w:p w14:paraId="6AD3AD2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支持根据用户名、用户状态、真实姓名、手机号码进行过滤，展示符合条件的用户信息；</w:t>
      </w:r>
    </w:p>
    <w:p w14:paraId="3945051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支持根据条件导出用户信息；</w:t>
      </w:r>
    </w:p>
    <w:p w14:paraId="7BDA5FF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支持导入正确填写的用户文件；若因数据内容错误导致导入失败时，支持用户下载导入失败报告，查看错误信息；</w:t>
      </w:r>
    </w:p>
    <w:p w14:paraId="6395059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支持查看用户的信息，包括用户的账户信息、人员信息和权限信息；</w:t>
      </w:r>
    </w:p>
    <w:p w14:paraId="263202A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除管理员用户外，支持编辑用户身份信息，用户名创建后不允许修改；</w:t>
      </w:r>
    </w:p>
    <w:p w14:paraId="2491463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除管理员用户外，支持修改用户关联的角色以及是否继承部门权限；</w:t>
      </w:r>
    </w:p>
    <w:p w14:paraId="58C8CA7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除管理员用户外，支持设置用户登录认证密码、认证方式、登录地址绑定。</w:t>
      </w:r>
    </w:p>
    <w:p w14:paraId="221FCD7E">
      <w:pPr>
        <w:pageBreakBefore w:val="0"/>
        <w:widowControl/>
        <w:numPr>
          <w:ilvl w:val="0"/>
          <w:numId w:val="8"/>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25" w:name="_Toc187416081"/>
      <w:r>
        <w:rPr>
          <w:rFonts w:hint="eastAsia" w:ascii="宋体" w:hAnsi="宋体" w:eastAsia="宋体" w:cs="宋体"/>
          <w:b/>
          <w:bCs/>
          <w:color w:val="auto"/>
          <w:sz w:val="24"/>
          <w:szCs w:val="24"/>
          <w:highlight w:val="none"/>
        </w:rPr>
        <w:t>角色管理</w:t>
      </w:r>
      <w:bookmarkEnd w:id="325"/>
    </w:p>
    <w:p w14:paraId="1A0E8EE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支持列表展示系统当前已创建的应用角色及管理角色，列表信息有：角色名称、可授权状态、启用状态、描述信息、创建时间、创建用户；</w:t>
      </w:r>
    </w:p>
    <w:p w14:paraId="438E28D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支持单个或批量删除角色；</w:t>
      </w:r>
    </w:p>
    <w:p w14:paraId="306DF70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支持单个或批量启用/禁用角色；</w:t>
      </w:r>
    </w:p>
    <w:p w14:paraId="621E103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支持克隆所选角色的全部权限；</w:t>
      </w:r>
    </w:p>
    <w:p w14:paraId="351E8D6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支持将所选角色分配给任意部门或用户；</w:t>
      </w:r>
    </w:p>
    <w:p w14:paraId="6ED3436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支持添加/编辑应用角色基本信息，其中角色名称必填；</w:t>
      </w:r>
    </w:p>
    <w:p w14:paraId="0C401E9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支持添加/编辑应用角色的权限信息；</w:t>
      </w:r>
    </w:p>
    <w:p w14:paraId="040077D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菜单权限：支持配置应用菜单权限；</w:t>
      </w:r>
    </w:p>
    <w:p w14:paraId="641F92D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资源权限：支持配置资源目录的应用权限。</w:t>
      </w:r>
    </w:p>
    <w:p w14:paraId="69F1CDCD">
      <w:pPr>
        <w:pageBreakBefore w:val="0"/>
        <w:widowControl/>
        <w:numPr>
          <w:ilvl w:val="0"/>
          <w:numId w:val="8"/>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26" w:name="_Toc187416082"/>
      <w:r>
        <w:rPr>
          <w:rFonts w:hint="eastAsia" w:ascii="宋体" w:hAnsi="宋体" w:eastAsia="宋体" w:cs="宋体"/>
          <w:b/>
          <w:bCs/>
          <w:color w:val="auto"/>
          <w:sz w:val="24"/>
          <w:szCs w:val="24"/>
          <w:highlight w:val="none"/>
        </w:rPr>
        <w:t>基础目录管理</w:t>
      </w:r>
      <w:bookmarkEnd w:id="326"/>
    </w:p>
    <w:p w14:paraId="1EAF78B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支持查看目录的名称信息及区域编号，并支持修改选定目录的名称；</w:t>
      </w:r>
    </w:p>
    <w:p w14:paraId="0459F65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除根节点外，支持根据区域业务属性添加区域标签；</w:t>
      </w:r>
    </w:p>
    <w:p w14:paraId="78A02DD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支持在选定目录下新建、删除、编辑次级国标区域或自定义区域；新建国标区域时默认创建其上级区域；</w:t>
      </w:r>
    </w:p>
    <w:p w14:paraId="10BE346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支持根据模板批量导入基础目录及基层单位；</w:t>
      </w:r>
    </w:p>
    <w:p w14:paraId="04B0E2B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支持基础目录数据导出；</w:t>
      </w:r>
    </w:p>
    <w:p w14:paraId="72B609B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支持修改次级区域排序。</w:t>
      </w:r>
    </w:p>
    <w:p w14:paraId="4661AF5B">
      <w:pPr>
        <w:pageBreakBefore w:val="0"/>
        <w:widowControl/>
        <w:numPr>
          <w:ilvl w:val="0"/>
          <w:numId w:val="8"/>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27" w:name="_Toc187416083"/>
      <w:r>
        <w:rPr>
          <w:rFonts w:hint="eastAsia" w:ascii="宋体" w:hAnsi="宋体" w:eastAsia="宋体" w:cs="宋体"/>
          <w:b/>
          <w:bCs/>
          <w:color w:val="auto"/>
          <w:sz w:val="24"/>
          <w:szCs w:val="24"/>
          <w:highlight w:val="none"/>
        </w:rPr>
        <w:t>业务目录管理</w:t>
      </w:r>
      <w:bookmarkEnd w:id="327"/>
    </w:p>
    <w:p w14:paraId="3001792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支持自定义新建及修改目录的名称、关联资源类型、关联目录标识；</w:t>
      </w:r>
    </w:p>
    <w:p w14:paraId="1EDE815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除根节点外，支持根据区域业务属性添加区域标签；</w:t>
      </w:r>
    </w:p>
    <w:p w14:paraId="395C4D7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支持将创建的目录关联到特定应用中，使得该目录树可在所选关联应用中使用；</w:t>
      </w:r>
    </w:p>
    <w:p w14:paraId="04A0036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支持查看目录的名称、关联资源类型及关联树标识属性信息；</w:t>
      </w:r>
    </w:p>
    <w:p w14:paraId="2591EE7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支持在选定目录下新建、删除、编辑次级区域；</w:t>
      </w:r>
    </w:p>
    <w:p w14:paraId="4075F7E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自定义目录中区域编码长度可变；</w:t>
      </w:r>
    </w:p>
    <w:p w14:paraId="1323B42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支持修改次级区域排序；</w:t>
      </w:r>
    </w:p>
    <w:p w14:paraId="4D720BE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创建业务目录树时编号修改为可编辑；页面可选三种生成规则:系统默认（默认选中）、自定义、复用目录标识；</w:t>
      </w:r>
    </w:p>
    <w:p w14:paraId="2F6AFB0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支持修改区域名称、区域编号及添加区域标签。</w:t>
      </w:r>
    </w:p>
    <w:p w14:paraId="4031FE67">
      <w:pPr>
        <w:pageBreakBefore w:val="0"/>
        <w:widowControl/>
        <w:numPr>
          <w:ilvl w:val="0"/>
          <w:numId w:val="8"/>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28" w:name="_Toc187416084"/>
      <w:r>
        <w:rPr>
          <w:rFonts w:hint="eastAsia" w:ascii="宋体" w:hAnsi="宋体" w:eastAsia="宋体" w:cs="宋体"/>
          <w:b/>
          <w:bCs/>
          <w:color w:val="auto"/>
          <w:sz w:val="24"/>
          <w:szCs w:val="24"/>
          <w:highlight w:val="none"/>
        </w:rPr>
        <w:t>编码设备配置</w:t>
      </w:r>
      <w:bookmarkEnd w:id="328"/>
    </w:p>
    <w:p w14:paraId="50D25C7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支持依据模板批量导入编码设备，及编码设备数据导出；</w:t>
      </w:r>
    </w:p>
    <w:p w14:paraId="08A8D94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支持编辑及同步编码设备信息；</w:t>
      </w:r>
    </w:p>
    <w:p w14:paraId="11A5F51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支持在选定区域下手动添加编码设备，支持单IP添加、IP段添加、单编号添加及编号段添加多种方式；</w:t>
      </w:r>
    </w:p>
    <w:p w14:paraId="2CF0934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支持针对编码设备添加标签；</w:t>
      </w:r>
    </w:p>
    <w:p w14:paraId="0DC40C7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支持列表展示选中区域下的编码设备信息，包括所属区域、设备接入协议、设备编号、设备型号、IP地址及端口号、密码强度、视频通道数、报警通道数、能力集状态、数据接入协议、数据接入协议状态；</w:t>
      </w:r>
    </w:p>
    <w:p w14:paraId="6D087A1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支持设备能力集校准编辑，监控点通道能力集继承设备能力集；</w:t>
      </w:r>
    </w:p>
    <w:p w14:paraId="0ECF7A2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支持根据名称或ip模糊搜索编码设备，支持批量删除编码设备；</w:t>
      </w:r>
    </w:p>
    <w:p w14:paraId="1709D32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提供编码设备的增、删、改接口，支持批量操作；</w:t>
      </w:r>
    </w:p>
    <w:p w14:paraId="4ACD9D7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支持数据接入协议配置；</w:t>
      </w:r>
    </w:p>
    <w:p w14:paraId="7C6A6DF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支持厂商和设备接入协议联动。</w:t>
      </w:r>
    </w:p>
    <w:p w14:paraId="6DC5D363">
      <w:pPr>
        <w:pageBreakBefore w:val="0"/>
        <w:widowControl/>
        <w:numPr>
          <w:ilvl w:val="0"/>
          <w:numId w:val="8"/>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29" w:name="_Toc187416085"/>
      <w:r>
        <w:rPr>
          <w:rFonts w:hint="eastAsia" w:ascii="宋体" w:hAnsi="宋体" w:eastAsia="宋体" w:cs="宋体"/>
          <w:b/>
          <w:bCs/>
          <w:color w:val="auto"/>
          <w:sz w:val="24"/>
          <w:szCs w:val="24"/>
          <w:highlight w:val="none"/>
        </w:rPr>
        <w:t>监控点配置</w:t>
      </w:r>
      <w:bookmarkEnd w:id="329"/>
    </w:p>
    <w:p w14:paraId="7F4588D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支持批量添加选中区域及其上级区域的编码设备中的监控点；</w:t>
      </w:r>
    </w:p>
    <w:p w14:paraId="003612E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支持通过导入导出经纬度功能，批量修改监控点经纬度信息；</w:t>
      </w:r>
    </w:p>
    <w:p w14:paraId="3D994BF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支持批量更改监控点所属区域及批量删除监控点，支持修改监控点排序，支持根据名称或ip模糊搜索监控点；</w:t>
      </w:r>
    </w:p>
    <w:p w14:paraId="16F0B66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支持列表展示选中区域下的监控点信息，包括监控点名称、传输协议、所属设备、IP地址、端口及通道号；</w:t>
      </w:r>
    </w:p>
    <w:p w14:paraId="0EDB139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支持查看、编辑监控点基本信息、能力集信息、音视频信息及类型信息，支持针对监控点添加标签；</w:t>
      </w:r>
    </w:p>
    <w:p w14:paraId="3BF5BD6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支持手动输入经纬度信息或地图定位方式标注监控点位置；</w:t>
      </w:r>
    </w:p>
    <w:p w14:paraId="37D31AD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支持级联点位标签设置；</w:t>
      </w:r>
    </w:p>
    <w:p w14:paraId="7627E62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支持osd信息叠加配置，支持osd全局配置，包括监控点名称、时间的显示隐藏，以及位置配置。</w:t>
      </w:r>
    </w:p>
    <w:p w14:paraId="6995F89F">
      <w:pPr>
        <w:pageBreakBefore w:val="0"/>
        <w:widowControl/>
        <w:numPr>
          <w:ilvl w:val="0"/>
          <w:numId w:val="8"/>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30" w:name="_Toc187416086"/>
      <w:r>
        <w:rPr>
          <w:rFonts w:hint="eastAsia" w:ascii="宋体" w:hAnsi="宋体" w:eastAsia="宋体" w:cs="宋体"/>
          <w:b/>
          <w:bCs/>
          <w:color w:val="auto"/>
          <w:sz w:val="24"/>
          <w:szCs w:val="24"/>
          <w:highlight w:val="none"/>
        </w:rPr>
        <w:t>卡口管理</w:t>
      </w:r>
      <w:bookmarkEnd w:id="330"/>
    </w:p>
    <w:p w14:paraId="1CF8966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支持列表展示所选区域下的卡口信息，包括所属区域、卡口编号、使用类型、前端类型、出入城类型、级联状态、经纬度、车道数；</w:t>
      </w:r>
    </w:p>
    <w:p w14:paraId="46CD3A7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支持添加卡口，并支持编辑卡口基本信息，支持针对卡口添加标签；</w:t>
      </w:r>
    </w:p>
    <w:p w14:paraId="591C872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支持从所选择区域及其上级区域监控点中添加抓拍通道信息；</w:t>
      </w:r>
    </w:p>
    <w:p w14:paraId="5047189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支持手动输入卡口经纬度信息或通过地图定位方式标注卡口位置；</w:t>
      </w:r>
    </w:p>
    <w:p w14:paraId="1C44140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支持配置卡口车道信息，包括车道方向、名称以及城际卡口出入城方向标识；</w:t>
      </w:r>
    </w:p>
    <w:p w14:paraId="0464AAD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支持卡口数据导入导出及城际卡口信息下发；</w:t>
      </w:r>
    </w:p>
    <w:p w14:paraId="1726AEC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支持批量删除卡口；</w:t>
      </w:r>
    </w:p>
    <w:p w14:paraId="1981AD6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城际卡口下发支持出入城下发；</w:t>
      </w:r>
    </w:p>
    <w:p w14:paraId="2ACF7BA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支持卡口自定义扩展卡口属性、方向属性、车道属性、卡口前端类型、车道关联的资源类型；</w:t>
      </w:r>
    </w:p>
    <w:p w14:paraId="40B0AAF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支持卡口模板配置；</w:t>
      </w:r>
    </w:p>
    <w:p w14:paraId="71B7D1E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支持根据卡口信息进行过滤查询。</w:t>
      </w:r>
    </w:p>
    <w:p w14:paraId="36FF6069">
      <w:pPr>
        <w:pageBreakBefore w:val="0"/>
        <w:widowControl/>
        <w:numPr>
          <w:ilvl w:val="0"/>
          <w:numId w:val="8"/>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31" w:name="_Toc187416087"/>
      <w:r>
        <w:rPr>
          <w:rFonts w:hint="eastAsia" w:ascii="宋体" w:hAnsi="宋体" w:eastAsia="宋体" w:cs="宋体"/>
          <w:b/>
          <w:bCs/>
          <w:color w:val="auto"/>
          <w:sz w:val="24"/>
          <w:szCs w:val="24"/>
          <w:highlight w:val="none"/>
        </w:rPr>
        <w:t>监控告警</w:t>
      </w:r>
      <w:bookmarkEnd w:id="331"/>
    </w:p>
    <w:p w14:paraId="5612B86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针对所管理的服务器、组件和服务的运行状态进行监控，如果有异常则会产生告警。支持在“状态监控”模块查看各资源的运行状态，包括服务器的在线状态、CPU、内存、磁盘IO；组件、服务实例的运行状态、CPU、内存、句柄数以及线程数；</w:t>
      </w:r>
    </w:p>
    <w:p w14:paraId="133ED3D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支持查看各服务器、组件及服务的监控详情（服务器信息、服务器监控指标、关键进程）、告警详情（支持告警数据导出）以及维护记录（信息包括时间、用户、操作、结果及终端地址）；</w:t>
      </w:r>
    </w:p>
    <w:p w14:paraId="10A8971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支持查看有未处理告警的资源，支持模糊搜索；</w:t>
      </w:r>
    </w:p>
    <w:p w14:paraId="240E746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告警是监管系统及软件本身运行异常情况的一种展现方式，为运维人员快速定位排除故障提供参考与帮助， 提升排查处理效率。运管中心提供了告警展示、查询、处理、策略配置功能，实现了对告警的全生命周期管理。支持在“告警处理”模块，进行异常告警的查看和处理、导出告警以及配置告警策略；</w:t>
      </w:r>
    </w:p>
    <w:p w14:paraId="2485E3D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系统当前服务器、组件、服务和驱动发生异常时，支持在告警处理模块查看它们所产生的异常告警及详细信息，支持展示每条告警的告警级、最新告警时间、告警来源、告警策略、告警次数及处理状态；</w:t>
      </w:r>
    </w:p>
    <w:p w14:paraId="6F1A03A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支持针对告警消息进行“解决”。解决告警时，支持查看告警详情的”处理建议“，帮助用户处理告警，同时支持新增”追加处理建议”；解决的告警可在“已解决”告警中查看。支持告警批量解决；</w:t>
      </w:r>
    </w:p>
    <w:p w14:paraId="5FF49F2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支持用户忽略告警，支持忽略时设置再次提醒时间，到时系统会再次发出告警。支持告警批量忽略；</w:t>
      </w:r>
    </w:p>
    <w:p w14:paraId="30ACEC1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支持导出全部或部分告警记录；</w:t>
      </w:r>
    </w:p>
    <w:p w14:paraId="2B94FE3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支持用户根据不同场景灵活设置告警监控规则，包括：支持设置屏蔽规则，屏蔽待产生、不关注的告警； 支持告警修改，重定义告警级，告警的触发规则； 支持对组件错误码告警的新增，并定义告警的策略名称、规则、级、描述与建议；支持对新增组件错误告警的删除，且对于已发生但未处理的告警会自动处理。</w:t>
      </w:r>
    </w:p>
    <w:p w14:paraId="4F1555D6">
      <w:pPr>
        <w:pageBreakBefore w:val="0"/>
        <w:widowControl/>
        <w:numPr>
          <w:ilvl w:val="0"/>
          <w:numId w:val="8"/>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32" w:name="_Toc187416088"/>
      <w:r>
        <w:rPr>
          <w:rFonts w:hint="eastAsia" w:ascii="宋体" w:hAnsi="宋体" w:eastAsia="宋体" w:cs="宋体"/>
          <w:b/>
          <w:bCs/>
          <w:color w:val="auto"/>
          <w:sz w:val="24"/>
          <w:szCs w:val="24"/>
          <w:highlight w:val="none"/>
        </w:rPr>
        <w:t>应用部署</w:t>
      </w:r>
      <w:bookmarkEnd w:id="332"/>
    </w:p>
    <w:p w14:paraId="4B5EBF8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支持查看当前产品的所有信息，包括：产品名称、产品版本、功能简介、升级记录、添加到运管的所有服务器信息、服务器下安装的组件、补丁、资源包，并支持导出所有的产品信息；</w:t>
      </w:r>
    </w:p>
    <w:p w14:paraId="53236C9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服务器的信息，包括服务器名称、IP地址、在线/离线状态、本机代理版本、组件数量和服务器所属群组；同时支持针对服务器进行管理，包括添加和删除服务器、创建和编辑服务器分组、编辑服务器展示名称；</w:t>
      </w:r>
    </w:p>
    <w:p w14:paraId="03A2CBD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支持进行平台安装部署操作，包括软件安装包、资源包、补丁包的安装与管理；</w:t>
      </w:r>
    </w:p>
    <w:p w14:paraId="3C99319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支持添加外部服务，包括组件信息、服务类型、实例名称、IP地址/域名；支持通过组件/服务、服务器、关键字信息查询外部服务；</w:t>
      </w:r>
    </w:p>
    <w:p w14:paraId="6D1A4C1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多级域资源包分发；支持中心域向下级域完成资源包下发、取消下发，以及上传和下发软件包信息列表查看；支持下级域自动和手动方式获取上级域分发包并进行组件安装、升级以及补丁安装；支持软件包上传添加用途和附件。</w:t>
      </w:r>
    </w:p>
    <w:p w14:paraId="11BC3878">
      <w:pPr>
        <w:pageBreakBefore w:val="0"/>
        <w:widowControl/>
        <w:numPr>
          <w:ilvl w:val="0"/>
          <w:numId w:val="8"/>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33" w:name="_Toc187416089"/>
      <w:r>
        <w:rPr>
          <w:rFonts w:hint="eastAsia" w:ascii="宋体" w:hAnsi="宋体" w:eastAsia="宋体" w:cs="宋体"/>
          <w:b/>
          <w:bCs/>
          <w:color w:val="auto"/>
          <w:sz w:val="24"/>
          <w:szCs w:val="24"/>
          <w:highlight w:val="none"/>
        </w:rPr>
        <w:t>日志管理</w:t>
      </w:r>
      <w:bookmarkEnd w:id="333"/>
    </w:p>
    <w:p w14:paraId="3A7C6E3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支持按照时间范围以及关键字搜索各组件的日志文件；</w:t>
      </w:r>
    </w:p>
    <w:p w14:paraId="1DC44D8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支持各组件的日志文件下载；</w:t>
      </w:r>
    </w:p>
    <w:p w14:paraId="7DF8D03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支持根据条件查询操作日志；支持列表查看日志记录，包括日志时间，操作用户名，登录IP 地址，操作动作，操作对象类型，操作对象，操作结果，操作内容详情以及操作（查看详情和调用链）信息，支持导出操作日志；</w:t>
      </w:r>
    </w:p>
    <w:p w14:paraId="74222B7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支持查看日志的详细信息，如日志时间、用户所属组织、操作用户名、用户姓名、登录 IP 地址、调用链 ID 信息；</w:t>
      </w:r>
    </w:p>
    <w:p w14:paraId="63554A0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支持查看对应服务器、组件和服务的系统日志信息，支持查看日志中的错误码（一串由数字和英文字母组成的蓝色字符）详细了解系统错误内容及解决建议；</w:t>
      </w:r>
    </w:p>
    <w:p w14:paraId="6D3311C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支持查看操作日志及系统日志中的调用链，以了解一次业务操中涉及到的所有组件之间的调用关系，以及这些组件的异常状况及其相关日志，快速定位异常问题的原因；</w:t>
      </w:r>
    </w:p>
    <w:p w14:paraId="6E45639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支持查询错误码，展示错误码的相关信息；支持导入错误码；</w:t>
      </w:r>
    </w:p>
    <w:p w14:paraId="63C04B2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支持查看系统的SSH访问日志，可以通过操作时间、用户IP、操作命令进行查询，结果展示操作时间、远程用户IP、远程用户名、服务器IP以及操作命令。</w:t>
      </w:r>
    </w:p>
    <w:p w14:paraId="2B630971">
      <w:pPr>
        <w:pageBreakBefore w:val="0"/>
        <w:widowControl/>
        <w:numPr>
          <w:ilvl w:val="0"/>
          <w:numId w:val="8"/>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34" w:name="_Toc187416090"/>
      <w:r>
        <w:rPr>
          <w:rFonts w:hint="eastAsia" w:ascii="宋体" w:hAnsi="宋体" w:eastAsia="宋体" w:cs="宋体"/>
          <w:b/>
          <w:bCs/>
          <w:color w:val="auto"/>
          <w:sz w:val="24"/>
          <w:szCs w:val="24"/>
          <w:highlight w:val="none"/>
        </w:rPr>
        <w:t>配置管理</w:t>
      </w:r>
      <w:bookmarkEnd w:id="334"/>
    </w:p>
    <w:p w14:paraId="30757A0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支持针对了服务参数、客户端参数、告警策略、校时、多线路和防火墙策略进行配置，并支持配置下发。</w:t>
      </w:r>
    </w:p>
    <w:p w14:paraId="3448A73C">
      <w:pPr>
        <w:pageBreakBefore w:val="0"/>
        <w:widowControl/>
        <w:numPr>
          <w:ilvl w:val="0"/>
          <w:numId w:val="8"/>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35" w:name="_Toc187416091"/>
      <w:r>
        <w:rPr>
          <w:rFonts w:hint="eastAsia" w:ascii="宋体" w:hAnsi="宋体" w:eastAsia="宋体" w:cs="宋体"/>
          <w:b/>
          <w:bCs/>
          <w:color w:val="auto"/>
          <w:sz w:val="24"/>
          <w:szCs w:val="24"/>
          <w:highlight w:val="none"/>
        </w:rPr>
        <w:t>系统管理</w:t>
      </w:r>
      <w:bookmarkEnd w:id="335"/>
    </w:p>
    <w:p w14:paraId="231C2CE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支持添加、注销用户，支持设置用户密码安全级，针对密码最低强度及密码有效期进行调整；</w:t>
      </w:r>
    </w:p>
    <w:p w14:paraId="0F0E3C9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支持启用及禁用用户，并支持用户密码重置；</w:t>
      </w:r>
    </w:p>
    <w:p w14:paraId="49CF555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支持添加、编辑、删除指定下载项，以及下载项展示顺序的调整；</w:t>
      </w:r>
    </w:p>
    <w:p w14:paraId="6B91509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当组件新增、升级后有菜单更新，或需要调整菜单排列顺序时，支持针对菜单进行添加、编辑、删除、移动操作；</w:t>
      </w:r>
    </w:p>
    <w:p w14:paraId="4CC4871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支持根据输入的16位AK生成SK的能力；</w:t>
      </w:r>
    </w:p>
    <w:p w14:paraId="6AB2E0F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支持查看所有通过CA SDK接入了CA证书的服务，以及对应服务的重启；支持查看当前服务使用的证书详情；</w:t>
      </w:r>
    </w:p>
    <w:p w14:paraId="6E61B17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支持用户上传指定证书，并应用到对应服务；支持修改服务使用的证书。</w:t>
      </w:r>
    </w:p>
    <w:p w14:paraId="5C470466">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b/>
          <w:bCs/>
          <w:color w:val="auto"/>
          <w:spacing w:val="-4"/>
          <w:sz w:val="28"/>
          <w:szCs w:val="24"/>
          <w:highlight w:val="none"/>
        </w:rPr>
      </w:pPr>
      <w:bookmarkStart w:id="336" w:name="_Toc187416092"/>
      <w:r>
        <w:rPr>
          <w:rFonts w:hint="eastAsia" w:ascii="宋体" w:hAnsi="宋体" w:eastAsia="宋体" w:cs="宋体"/>
          <w:b/>
          <w:bCs/>
          <w:color w:val="auto"/>
          <w:spacing w:val="-4"/>
          <w:sz w:val="28"/>
          <w:szCs w:val="24"/>
          <w:highlight w:val="none"/>
        </w:rPr>
        <w:t>视频监控应用</w:t>
      </w:r>
      <w:bookmarkEnd w:id="336"/>
    </w:p>
    <w:p w14:paraId="5A1E37B3">
      <w:pPr>
        <w:pageBreakBefore w:val="0"/>
        <w:widowControl/>
        <w:numPr>
          <w:ilvl w:val="0"/>
          <w:numId w:val="9"/>
        </w:numPr>
        <w:shd w:val="clear"/>
        <w:kinsoku/>
        <w:wordWrap/>
        <w:overflowPunct/>
        <w:topLinePunct w:val="0"/>
        <w:autoSpaceDE w:val="0"/>
        <w:autoSpaceDN w:val="0"/>
        <w:bidi w:val="0"/>
        <w:adjustRightInd w:val="0"/>
        <w:snapToGrid w:val="0"/>
        <w:spacing w:line="240" w:lineRule="auto"/>
        <w:ind w:left="425" w:leftChars="0" w:hanging="425" w:firstLineChars="0"/>
        <w:rPr>
          <w:rFonts w:hint="eastAsia" w:ascii="宋体" w:hAnsi="宋体" w:eastAsia="宋体" w:cs="宋体"/>
          <w:b/>
          <w:bCs/>
          <w:color w:val="auto"/>
          <w:sz w:val="24"/>
          <w:szCs w:val="24"/>
          <w:highlight w:val="none"/>
        </w:rPr>
      </w:pPr>
      <w:bookmarkStart w:id="337" w:name="_Toc187416093"/>
      <w:r>
        <w:rPr>
          <w:rFonts w:hint="eastAsia" w:ascii="宋体" w:hAnsi="宋体" w:eastAsia="宋体" w:cs="宋体"/>
          <w:b/>
          <w:bCs/>
          <w:color w:val="auto"/>
          <w:sz w:val="24"/>
          <w:szCs w:val="24"/>
          <w:highlight w:val="none"/>
        </w:rPr>
        <w:t>视频监控</w:t>
      </w:r>
      <w:bookmarkEnd w:id="337"/>
    </w:p>
    <w:p w14:paraId="10B64FC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color w:val="auto"/>
          <w:sz w:val="24"/>
          <w:szCs w:val="24"/>
          <w:highlight w:val="none"/>
        </w:rPr>
        <w:t>支持切换查看基础目录及业务目录，资源以资源树形式展示，点击可查看下层资源及点位；</w:t>
      </w:r>
    </w:p>
    <w:p w14:paraId="7A70683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支持目录刷新的按钮变成常显，方便用户进行手动刷新；</w:t>
      </w:r>
    </w:p>
    <w:p w14:paraId="6EEF3C5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支持点位预览、收藏、录像回放，支持查看点位属性详情；</w:t>
      </w:r>
    </w:p>
    <w:p w14:paraId="538C425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支持针对点位进行周边搜索，点击后支持在弹出的地图页面上进行点位选择；</w:t>
      </w:r>
    </w:p>
    <w:p w14:paraId="42A024F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支持根据关键字及拼音字母进行点位模糊搜索，支持对检索点位进行定位到资源树；</w:t>
      </w:r>
    </w:p>
    <w:p w14:paraId="276D418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支持收藏夹点位展示，支持查看我的收藏及分享给我的收藏；</w:t>
      </w:r>
    </w:p>
    <w:p w14:paraId="7490E26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支持创建新的收藏夹分组，并支持编辑、修改排序以及删除个人收藏夹分组，支持收藏夹刷新</w:t>
      </w:r>
    </w:p>
    <w:p w14:paraId="741E527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支持查看收藏夹内点位，支持针对收藏夹内点位进行查看详情、预览及回放，并支持添加及删除收藏夹内点位</w:t>
      </w:r>
    </w:p>
    <w:p w14:paraId="3BF4FB7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支持针对收藏夹内进行区域广播</w:t>
      </w:r>
    </w:p>
    <w:p w14:paraId="61AC646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支持将创建的分组分享给其他用户，支持统计收藏夹被分享的用户数；</w:t>
      </w:r>
    </w:p>
    <w:p w14:paraId="3091895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支持查看其他用户共享的收藏夹分组，并支持查看分享人及分享时间；</w:t>
      </w:r>
    </w:p>
    <w:p w14:paraId="4C80208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支持分享点位在关联用户配置以及分享到用户同时支持展示用户名和真实姓名，并且支持真实姓名和用户名进行检索；</w:t>
      </w:r>
    </w:p>
    <w:p w14:paraId="5336ABA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支持根据关键字及拼音字母对收藏内点位进行模糊搜索，支持对检索点位进行定位到资源树；</w:t>
      </w:r>
    </w:p>
    <w:p w14:paraId="248EA4E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支持创建公有预案及私有预案，新增预案时需配置预案详细信息，编辑预案名称、预案类型、轮巡间隔、是否自动执行预案及时间；</w:t>
      </w:r>
    </w:p>
    <w:p w14:paraId="2CA6AA0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支持编辑、删除预案，并支持添加或删除预案内点位，支持调整点位顺序、设置预案点位的主子码流及关联预置点信息，支持预案轮巡预览；</w:t>
      </w:r>
    </w:p>
    <w:p w14:paraId="07B346D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支持查看预案创建者及创建时间；</w:t>
      </w:r>
    </w:p>
    <w:p w14:paraId="48D9545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按时间顺序显示近期查看过的点位，支持对近期查看过的点位视频快速进行播放，支持清空历史列表；</w:t>
      </w:r>
    </w:p>
    <w:p w14:paraId="19B4645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color w:val="auto"/>
          <w:sz w:val="24"/>
          <w:szCs w:val="24"/>
          <w:highlight w:val="none"/>
        </w:rPr>
        <w:t>支持视频实时预览，支持重新取流；（提供公安部检测机构或其他经国家认可的第三方检测机构出具的检测报告复印件并加盖投标人公章）</w:t>
      </w:r>
    </w:p>
    <w:p w14:paraId="4E937E2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支持预览画面电子放大；</w:t>
      </w:r>
    </w:p>
    <w:p w14:paraId="770FC90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支持在预览界面对单个画面或对全部画面分别抓图并保存至本地，支持对所抓图片利用自带图片 编辑工具标注名称、类型、备注信息；</w:t>
      </w:r>
    </w:p>
    <w:p w14:paraId="765188D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支持控制播放声音；</w:t>
      </w:r>
    </w:p>
    <w:p w14:paraId="1FD1D6A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支持实时预览切换主码流或子码流；</w:t>
      </w:r>
    </w:p>
    <w:p w14:paraId="13789CA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支持在多画面显示模式下，支持鼠标拖拽调换播放窗口上的视频源，双击任一监控画面可全屏显示该画面；</w:t>
      </w:r>
    </w:p>
    <w:p w14:paraId="763D7ED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支持将当前预览点位添加支选定收藏夹；</w:t>
      </w:r>
    </w:p>
    <w:p w14:paraId="7A376A5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支持轮巡功能；</w:t>
      </w:r>
    </w:p>
    <w:p w14:paraId="7F126DD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支持设置预览画面水印内容，包括用户名、IP地址、MAC地址，同时支持修改水印颜色；</w:t>
      </w:r>
    </w:p>
    <w:p w14:paraId="5DEC98E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支持对预览视频进行录像，可设置录像文件是否分包保存，可设置录像包大小、录像保存路径；</w:t>
      </w:r>
    </w:p>
    <w:p w14:paraId="310D77A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支持设置预览时开启/关闭自动连续抓图，支持设置自动连续抓图时间间隔和张数、自动连续抓图文件保存格式和路径；</w:t>
      </w:r>
    </w:p>
    <w:p w14:paraId="39EF0D7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支持多画面保存为预案，支持多画面同时抓图、同时录像、全部关闭、批量收藏功能；</w:t>
      </w:r>
    </w:p>
    <w:p w14:paraId="6FB2441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支持多屏播放，支持切换画面为1、4、6、8、9、16、25、36、48、64、1+5、1+7、1+8、1+9、1+11、1+15、1+16、3+4、1+1、1+2、1+4屏幕分屏，支持画面以4:3或16:9展示，支持全屏播放；</w:t>
      </w:r>
    </w:p>
    <w:p w14:paraId="753568D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支持分享点位至指定用户，并支持设置点位分享有效时间。接收到点位的用户可在移动设备上进行点位查看；</w:t>
      </w:r>
    </w:p>
    <w:p w14:paraId="1BA941C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针对实时预览画面，支持右键进行抓图、录像、电子放大、云台控制、打开声音、打开对讲、切换主子码流、打开码流信息、上墙展示、打开录像回放、关闭窗口功能；</w:t>
      </w:r>
    </w:p>
    <w:p w14:paraId="10015B9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支持实时视频云台控制，可以在视频上直接控制；</w:t>
      </w:r>
    </w:p>
    <w:p w14:paraId="08145B1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支持设置云台转动速度；</w:t>
      </w:r>
    </w:p>
    <w:p w14:paraId="4A06649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支持调节镜头焦距、光圈；</w:t>
      </w:r>
    </w:p>
    <w:p w14:paraId="1AF88C6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支持3D定位功能；</w:t>
      </w:r>
    </w:p>
    <w:p w14:paraId="28EA57A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支持设置、修改及快速选择预置点，自动扫描、自动巡航、模式路径；</w:t>
      </w:r>
    </w:p>
    <w:p w14:paraId="53A2C9E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支持控制灯光开关、雨刷开关；</w:t>
      </w:r>
    </w:p>
    <w:p w14:paraId="0A1F065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支持云台锁定与解锁，支持自动解锁，支持设置锁定时间；</w:t>
      </w:r>
    </w:p>
    <w:p w14:paraId="2D7ED53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支持提供便捷地检索（日期、通道、记录模式）和回放（正常速度、快进、快退、慢进、慢退、单帧进和/或退、暂停、单路全屏）的方式； 可按 1/16、1/8、1/4、1/2、1、2、4、8、16 倍速回放；</w:t>
      </w:r>
    </w:p>
    <w:p w14:paraId="22E6D07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支持对录像回放视频进行抓图并保存至本地，支持对所抓图片利用自带图片 编辑工具标注名称、类型、备注信息；</w:t>
      </w:r>
    </w:p>
    <w:p w14:paraId="76A9883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支持回放画面电子放大；</w:t>
      </w:r>
    </w:p>
    <w:p w14:paraId="11DDD8B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支持开启/关闭音频播放设置选项；</w:t>
      </w:r>
    </w:p>
    <w:p w14:paraId="6216A95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支持录像时间轴缩放， 在时间轴上以 4种不同的颜色分别显示计划录像、移动录 像、手动录像、报警录像；</w:t>
      </w:r>
    </w:p>
    <w:p w14:paraId="6046539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支持多画面同步或异步回放；</w:t>
      </w:r>
    </w:p>
    <w:p w14:paraId="735ACAE3">
      <w:pPr>
        <w:shd w:val="clear"/>
        <w:kinsoku/>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00"/>
          <w:lang w:val="en-US" w:eastAsia="zh-CN"/>
        </w:rPr>
        <w:t>3.</w:t>
      </w:r>
      <w:r>
        <w:rPr>
          <w:rFonts w:hint="eastAsia" w:ascii="宋体" w:hAnsi="宋体" w:eastAsia="宋体" w:cs="宋体"/>
          <w:color w:val="auto"/>
          <w:sz w:val="20"/>
          <w:szCs w:val="20"/>
          <w:highlight w:val="none"/>
          <w:lang w:bidi="ar"/>
        </w:rPr>
        <w:t>▲</w:t>
      </w:r>
      <w:r>
        <w:rPr>
          <w:rFonts w:hint="eastAsia" w:ascii="宋体" w:hAnsi="宋体" w:eastAsia="宋体" w:cs="宋体"/>
          <w:color w:val="auto"/>
          <w:sz w:val="24"/>
          <w:szCs w:val="24"/>
          <w:highlight w:val="none"/>
        </w:rPr>
        <w:t>支持针对一段录像进行标签标注；（提供公安部检测机构或其他经国家认可的第三方检测机构出具的检测报告复印件并加盖投标人公章）</w:t>
      </w:r>
    </w:p>
    <w:p w14:paraId="095C726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支持将当前回放点位添加至选定收藏夹；</w:t>
      </w:r>
    </w:p>
    <w:p w14:paraId="28ECC8E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支持设置回放画面水印内容，包括用户名、IP 地址、MAC 地址，同时支持修改水印颜色；</w:t>
      </w:r>
    </w:p>
    <w:p w14:paraId="5BF1B67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支持设置回放时开启/关闭自动连续抓图，支持设置自动连续抓图时间间隔和张数、自动连续抓图文件保存格式和路径；</w:t>
      </w:r>
    </w:p>
    <w:p w14:paraId="0BE2182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支持对回放视频进行录像，可设置录像文件是否分包保存， 可设置录像包大小、录像保存路径；</w:t>
      </w:r>
    </w:p>
    <w:p w14:paraId="68597EC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支持针对一段录像进行标签标注。</w:t>
      </w:r>
    </w:p>
    <w:p w14:paraId="52181355">
      <w:pPr>
        <w:pageBreakBefore w:val="0"/>
        <w:widowControl/>
        <w:numPr>
          <w:ilvl w:val="0"/>
          <w:numId w:val="9"/>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38" w:name="_Toc187416094"/>
      <w:r>
        <w:rPr>
          <w:rFonts w:hint="eastAsia" w:ascii="宋体" w:hAnsi="宋体" w:eastAsia="宋体" w:cs="宋体"/>
          <w:b/>
          <w:bCs/>
          <w:color w:val="auto"/>
          <w:sz w:val="24"/>
          <w:szCs w:val="24"/>
          <w:highlight w:val="none"/>
        </w:rPr>
        <w:t>电子地图</w:t>
      </w:r>
      <w:bookmarkEnd w:id="338"/>
    </w:p>
    <w:p w14:paraId="70B7036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1.支</w:t>
      </w:r>
      <w:r>
        <w:rPr>
          <w:rFonts w:hint="eastAsia" w:ascii="宋体" w:hAnsi="宋体" w:eastAsia="宋体" w:cs="宋体"/>
          <w:color w:val="auto"/>
          <w:sz w:val="24"/>
          <w:szCs w:val="24"/>
          <w:highlight w:val="none"/>
        </w:rPr>
        <w:t>持根据地图缩放级别，将包含经纬度信息的视频监控资源点位通过聚合方式展示在电子地图上；</w:t>
      </w:r>
    </w:p>
    <w:p w14:paraId="5B1D408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支持在地图上查看选中点位的详情，如点位名称、类型；支持点位视频预览、回放、周边信息检索；</w:t>
      </w:r>
    </w:p>
    <w:p w14:paraId="5E128C1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支持修改监控点、卡口、录入平台的第三方监控点位的经纬度信息；</w:t>
      </w:r>
    </w:p>
    <w:p w14:paraId="415AD8A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支持列表展示未定位在地图中的点位资源；</w:t>
      </w:r>
    </w:p>
    <w:p w14:paraId="121568A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支持通过关键字对视频监控点位进行模糊匹配检索，支持分类型检索；</w:t>
      </w:r>
    </w:p>
    <w:p w14:paraId="6D3093A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支持对地图上的点位、卡口、录入平台的第三方监控点位、报警输入资源进行收藏；</w:t>
      </w:r>
    </w:p>
    <w:p w14:paraId="026383A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支持监控资源在各平台之间同步；</w:t>
      </w:r>
    </w:p>
    <w:p w14:paraId="76E675E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支持查看基础目录，并支持根据业务需求切换相应的自定义业务目录，资源以资源树形式展示，点击可查看下层资源及点位；</w:t>
      </w:r>
    </w:p>
    <w:p w14:paraId="5431BB8A">
      <w:pPr>
        <w:shd w:val="clear"/>
        <w:kinsoku/>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color w:val="auto"/>
          <w:sz w:val="24"/>
          <w:szCs w:val="24"/>
          <w:highlight w:val="none"/>
        </w:rPr>
        <w:t>支持查看基础目录，并支持根据业务需求切换相应的自定义业务目录，资源以资源树形式展示，点击可查看下层资源及点位；（提供公安部检测机构或其他经国家认可的第三方检测机构出具的检测报告复印件并加盖投标人公章）</w:t>
      </w:r>
    </w:p>
    <w:p w14:paraId="200291F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地图支持拖动、滚轮放大缩小、截屏；</w:t>
      </w:r>
    </w:p>
    <w:p w14:paraId="18D9945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支持重置恢复至地图初始化时的原始中心位置和地图层级，并可清除初始图层以外的所有操作内容；</w:t>
      </w:r>
    </w:p>
    <w:p w14:paraId="557650E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支持在地图上测量距离、面积；</w:t>
      </w:r>
    </w:p>
    <w:p w14:paraId="33D5F7F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支持获取地图上已录入数据库点位的地址信息（该功能需地理资源数据支持）；</w:t>
      </w:r>
    </w:p>
    <w:p w14:paraId="7392033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支持矢量地图、影像地图切换；</w:t>
      </w:r>
    </w:p>
    <w:p w14:paraId="4F18619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系统支持矢量地图、影像图两种地图之间的切换；</w:t>
      </w:r>
    </w:p>
    <w:p w14:paraId="58F3504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支持框选、圆选、点选、线选、多边形选多种方式进行地图空间查询，支持针对查询结果进行按类过滤展示，并支持针对不同类型点位进行预览、回放、批量收藏、预览上墙、跳转查询操作。</w:t>
      </w:r>
    </w:p>
    <w:p w14:paraId="120D5FC8">
      <w:pPr>
        <w:pageBreakBefore w:val="0"/>
        <w:widowControl/>
        <w:numPr>
          <w:ilvl w:val="0"/>
          <w:numId w:val="9"/>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39" w:name="_Toc187416095"/>
      <w:r>
        <w:rPr>
          <w:rFonts w:hint="eastAsia" w:ascii="宋体" w:hAnsi="宋体" w:eastAsia="宋体" w:cs="宋体"/>
          <w:b/>
          <w:bCs/>
          <w:color w:val="auto"/>
          <w:sz w:val="24"/>
          <w:szCs w:val="24"/>
          <w:highlight w:val="none"/>
        </w:rPr>
        <w:t>电视墙</w:t>
      </w:r>
      <w:bookmarkEnd w:id="339"/>
    </w:p>
    <w:p w14:paraId="7D7115C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1.支</w:t>
      </w:r>
      <w:r>
        <w:rPr>
          <w:rFonts w:hint="eastAsia" w:ascii="宋体" w:hAnsi="宋体" w:eastAsia="宋体" w:cs="宋体"/>
          <w:color w:val="auto"/>
          <w:sz w:val="24"/>
          <w:szCs w:val="24"/>
          <w:highlight w:val="none"/>
        </w:rPr>
        <w:t>持多机部署，即不同服务器上分别安装一个电视墙服务，在电视墙客户端上支持用户选择要操作的电视墙服务并且支持选择不同解码器添加到不同服务上；</w:t>
      </w:r>
    </w:p>
    <w:p w14:paraId="4A78615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支持电视墙预览轮巡，并支持进行轮巡播放控制（暂停/启用所有轮巡，执行轮巡上/下一页）；</w:t>
      </w:r>
    </w:p>
    <w:p w14:paraId="4B57668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支持桌面上墙功能，即客户端所在 PC 机的系统桌面上墙至窗口上显示；</w:t>
      </w:r>
    </w:p>
    <w:p w14:paraId="4E5B1E4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支持配置模拟通道监控点实时监控画面上墙；</w:t>
      </w:r>
    </w:p>
    <w:p w14:paraId="015094C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支持对正在上墙的窗口设置上墙码流，支持进行主/子码流切换；</w:t>
      </w:r>
    </w:p>
    <w:p w14:paraId="22937E1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支持打开输出通道的声音输出及关闭声音；</w:t>
      </w:r>
    </w:p>
    <w:p w14:paraId="0AE65DE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支持创建虚拟LED，并支持自定义LED内容；</w:t>
      </w:r>
    </w:p>
    <w:p w14:paraId="11BC536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支持模糊搜索监控点位；</w:t>
      </w:r>
    </w:p>
    <w:p w14:paraId="2DF514A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支持设置电视墙窗口通道解码分辨率为D1分辨率、720P、1080P；</w:t>
      </w:r>
    </w:p>
    <w:p w14:paraId="6D66B5C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支持直连前端设备取流上墙配置，针对每个监控点配置其取流来源；</w:t>
      </w:r>
    </w:p>
    <w:p w14:paraId="12E0BBE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当拖动点位上墙失败提示窗口资源不存在，可能是电视墙客户端显示的窗口和大屏实际窗口不同步，支持通过“同步设备窗口”进行同步；</w:t>
      </w:r>
    </w:p>
    <w:p w14:paraId="316E8A3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支持画面点位单个下墙及全部下墙控制；当电视墙画面放大至最大时，支持通过快速定位进行窗口切换；</w:t>
      </w:r>
    </w:p>
    <w:p w14:paraId="70A0532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支持针对窗口的分割、拼接布局，及窗口上的监控点、预览轮巡、告警窗口、是否自动启停及启停时间进行配置形成电视墙场景；</w:t>
      </w:r>
    </w:p>
    <w:p w14:paraId="2271D52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支持针对某电视墙的场景进行增加、修改及删除，支持查看电视墙场景详情，支持配置电视墙场景切换计划；</w:t>
      </w:r>
    </w:p>
    <w:p w14:paraId="5D117EC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视墙场景支持平台及设备两种场景类型。平台场景为电视墙服务场景，由电视墙服务提供数据，切换较慢但较稳定；设备场景使用设备内置场景，设备内部进行场景切换，电视墙服务从设备同步数据，切换较快但需要依赖设备；</w:t>
      </w:r>
    </w:p>
    <w:p w14:paraId="523F637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支持针对某电视墙场景进行增加、修改、删除轮巡计划，支持设置关联的监控点及其轮巡间隔；</w:t>
      </w:r>
    </w:p>
    <w:p w14:paraId="5DFFF0D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支持针对某电视墙场景进行监控点与窗口的关联，让该监控点保持持续在该窗口上墙；支持从资源树及历史操作点位中选择关联的监控点；</w:t>
      </w:r>
    </w:p>
    <w:p w14:paraId="07E1D2C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支持在场景中针对模拟信号源进行配置；</w:t>
      </w:r>
    </w:p>
    <w:p w14:paraId="6F1CA25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支持在场景中按高、中、低设为报警窗口，当有相应级的报警产生时可在该窗口自动上墙；</w:t>
      </w:r>
    </w:p>
    <w:p w14:paraId="6109227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支持设置窗口编号，支持修改或清除编号，支持设置窗口名称，支持修改和清除窗口名称；</w:t>
      </w:r>
    </w:p>
    <w:p w14:paraId="595100A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在全彩LED电视墙下，可以实现指定划分成几行几列布局，按网格来开窗，若干相邻网格可以拼接，方便全彩屏布局；支持取消虚拟分屏恢复默认窗口状态；</w:t>
      </w:r>
    </w:p>
    <w:p w14:paraId="59D81BA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电视墙客户端支持增加、修改、删除、刷新解码器；</w:t>
      </w:r>
    </w:p>
    <w:p w14:paraId="7602DC2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支持根据电视墙名称、电视墙类型添加LCD电视墙，支持框选电视墙规格；</w:t>
      </w:r>
    </w:p>
    <w:p w14:paraId="2F12ACF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支持根据电视墙名称、电视墙类型及屏幕宽高，添加LED电视墙，支持框选电视墙规格；</w:t>
      </w:r>
    </w:p>
    <w:p w14:paraId="185DD31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支持修改、删除、刷新电视墙；</w:t>
      </w:r>
    </w:p>
    <w:p w14:paraId="1868F14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支持根据启用向导来指引用户添加解码设备、添加电视墙及资源关联；</w:t>
      </w:r>
    </w:p>
    <w:p w14:paraId="2BCA77F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支持新建、取消电视墙与解码器通道的关联关系，支持全部取消关联；</w:t>
      </w:r>
    </w:p>
    <w:p w14:paraId="4D5C825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解码器输出通道与窗口关联后，支持针对该通道设置视频制式；</w:t>
      </w:r>
    </w:p>
    <w:p w14:paraId="28EA2D7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支持修改电视墙全局分辨率；</w:t>
      </w:r>
    </w:p>
    <w:p w14:paraId="524B1E3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新2016新国标解码设备管理，支持查看国标设备信息（设备型号、软件版本及设备通道数），支持查看国标设备状态（在线状态及解码状态），支持国标设备重启，支持国标设备配置（设备名称、注册过期时间、心跳间隔时间和心跳超时次数）；</w:t>
      </w:r>
    </w:p>
    <w:p w14:paraId="7271ED0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支持检测设备上输出口关联关系与电视墙上是否一致；</w:t>
      </w:r>
    </w:p>
    <w:p w14:paraId="7DF3684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支持根据输入的关键字模糊搜索监控点名字、标签名字和报警名字包含该关键字的录像；</w:t>
      </w:r>
    </w:p>
    <w:p w14:paraId="61FF26F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支持从资源树中选择一个监控点，查询该监控点下选定时间段内的录像；</w:t>
      </w:r>
    </w:p>
    <w:p w14:paraId="68592C5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支持批量下载、锁定或解锁录像，录像被锁定时在存储设备中不会被覆盖；</w:t>
      </w:r>
    </w:p>
    <w:p w14:paraId="7F2DCA6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支持以颜色区分录像类型。红色为报警录像，蓝色为计划录像；</w:t>
      </w:r>
    </w:p>
    <w:p w14:paraId="0B65CE2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支持查看监控点信息及录像片段，并支持录像播放；</w:t>
      </w:r>
    </w:p>
    <w:p w14:paraId="0D9D35E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针对查询所得的标签录像，支持查看录像的标签内容、点位名称、录像开始时间及结束时间；</w:t>
      </w:r>
    </w:p>
    <w:p w14:paraId="3925F65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支持播放及下载标签录像；</w:t>
      </w:r>
    </w:p>
    <w:p w14:paraId="11072BB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支持用户打开视频实时报警界面后，当有新报警记录产生时，页面将自动调用平台播放器，播放报警产生设备的实时预览画面。该功能可在视频实时报警配置中关闭；</w:t>
      </w:r>
    </w:p>
    <w:p w14:paraId="3E14917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支持查看历史视频报警信息，包括报警名称、优先级、报警源、报警类型及报警时间，其中优先级支持以不同颜色标明其紧急程度；</w:t>
      </w:r>
    </w:p>
    <w:p w14:paraId="4B26633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支持根据报警名称、报警类型、优先级及报警时间进行报警查询。</w:t>
      </w:r>
    </w:p>
    <w:p w14:paraId="4B8FD690">
      <w:pPr>
        <w:pageBreakBefore w:val="0"/>
        <w:widowControl/>
        <w:numPr>
          <w:ilvl w:val="0"/>
          <w:numId w:val="9"/>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40" w:name="_Toc187416096"/>
      <w:r>
        <w:rPr>
          <w:rFonts w:hint="eastAsia" w:ascii="宋体" w:hAnsi="宋体" w:eastAsia="宋体" w:cs="宋体"/>
          <w:b/>
          <w:bCs/>
          <w:color w:val="auto"/>
          <w:sz w:val="24"/>
          <w:szCs w:val="24"/>
          <w:highlight w:val="none"/>
        </w:rPr>
        <w:t>视频搜索</w:t>
      </w:r>
      <w:bookmarkEnd w:id="340"/>
    </w:p>
    <w:p w14:paraId="646E5AB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00"/>
          <w:lang w:val="en-US" w:eastAsia="zh-CN"/>
        </w:rPr>
        <w:t>1.</w:t>
      </w:r>
      <w:r>
        <w:rPr>
          <w:rFonts w:hint="eastAsia" w:ascii="宋体" w:hAnsi="宋体" w:eastAsia="宋体" w:cs="宋体"/>
          <w:color w:val="auto"/>
          <w:sz w:val="24"/>
          <w:szCs w:val="24"/>
          <w:highlight w:val="none"/>
        </w:rPr>
        <w:t>支持按时间（今天、昨天、最近7天）和监控点对录像片段查询；</w:t>
      </w:r>
    </w:p>
    <w:p w14:paraId="22A448F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录像片段点击支持回放；</w:t>
      </w:r>
    </w:p>
    <w:p w14:paraId="1B06983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回放支持截图、剪辑、锁定、电子放大、导出、开启声音、标签、码流切换、倒放、单帧、倍数。</w:t>
      </w:r>
    </w:p>
    <w:p w14:paraId="55CD0494">
      <w:pPr>
        <w:pageBreakBefore w:val="0"/>
        <w:widowControl/>
        <w:numPr>
          <w:ilvl w:val="0"/>
          <w:numId w:val="9"/>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41" w:name="_Toc187416097"/>
      <w:r>
        <w:rPr>
          <w:rFonts w:hint="eastAsia" w:ascii="宋体" w:hAnsi="宋体" w:eastAsia="宋体" w:cs="宋体"/>
          <w:b/>
          <w:bCs/>
          <w:color w:val="auto"/>
          <w:sz w:val="24"/>
          <w:szCs w:val="24"/>
          <w:highlight w:val="none"/>
        </w:rPr>
        <w:t>视频回放</w:t>
      </w:r>
      <w:bookmarkEnd w:id="341"/>
    </w:p>
    <w:p w14:paraId="74A9DDB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00"/>
          <w:lang w:val="en-US" w:eastAsia="zh-CN"/>
        </w:rPr>
        <w:t>1.</w:t>
      </w:r>
      <w:r>
        <w:rPr>
          <w:rFonts w:hint="eastAsia" w:ascii="宋体" w:hAnsi="宋体" w:eastAsia="宋体" w:cs="宋体"/>
          <w:color w:val="auto"/>
          <w:sz w:val="24"/>
          <w:szCs w:val="24"/>
          <w:highlight w:val="none"/>
        </w:rPr>
        <w:t>视频预览方式主要分直连预览、非直连预览、级联预览。直连预览为平台直连设备进行预览；非直连预览为平台过设备接入组件进行预览；级联预览为平台通过视频联网网关进行预览；</w:t>
      </w:r>
    </w:p>
    <w:p w14:paraId="7542A93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支持选择回放时间段，对录像进行查询回放；</w:t>
      </w:r>
    </w:p>
    <w:p w14:paraId="59B922D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支持抓拍、电子放大、声音、抓拍截图、紧急录像、连续抓拍功能；</w:t>
      </w:r>
    </w:p>
    <w:p w14:paraId="499C8D9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进度条缩放，并支持滚轮控制，支持在时间轴上切换画面播放时间；支持针对录像进行下载，支持多路同时下；支持画面暂停、逐帧倒放、逐帧前进，支持调整画面播放倍速，支持1倍、2倍、4倍、8倍、16倍快速播放。</w:t>
      </w:r>
    </w:p>
    <w:p w14:paraId="4D8C2E3B">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b/>
          <w:bCs/>
          <w:color w:val="auto"/>
          <w:spacing w:val="-4"/>
          <w:highlight w:val="none"/>
        </w:rPr>
      </w:pPr>
      <w:bookmarkStart w:id="342" w:name="_Toc187416098"/>
      <w:r>
        <w:rPr>
          <w:rFonts w:hint="eastAsia" w:ascii="宋体" w:hAnsi="宋体" w:eastAsia="宋体" w:cs="宋体"/>
          <w:b/>
          <w:bCs/>
          <w:color w:val="auto"/>
          <w:spacing w:val="-4"/>
          <w:highlight w:val="none"/>
        </w:rPr>
        <w:t>视频级联网关</w:t>
      </w:r>
      <w:bookmarkEnd w:id="342"/>
    </w:p>
    <w:p w14:paraId="518782A7">
      <w:pPr>
        <w:pageBreakBefore w:val="0"/>
        <w:widowControl/>
        <w:shd w:val="clear"/>
        <w:kinsoku/>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color w:val="auto"/>
          <w:sz w:val="24"/>
          <w:szCs w:val="24"/>
          <w:highlight w:val="none"/>
        </w:rPr>
        <w:t>应用于为视频监控业务提供级联服务，专注于平台域间视频联网，基于视频通用标准协议（GB/T28181-2011,GB/T28181-2016）与外域平台互联互通，实现上级平台对下级平台视频资源点位的操作控制。</w:t>
      </w:r>
    </w:p>
    <w:p w14:paraId="02AC301E">
      <w:pPr>
        <w:pageBreakBefore w:val="0"/>
        <w:widowControl/>
        <w:shd w:val="clear"/>
        <w:kinsoku/>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支持上下级域注册管理能力，实现平台级联；</w:t>
      </w:r>
    </w:p>
    <w:p w14:paraId="04472A71">
      <w:pPr>
        <w:pageBreakBefore w:val="0"/>
        <w:widowControl/>
        <w:shd w:val="clear"/>
        <w:kinsoku/>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支持资源同步能力；</w:t>
      </w:r>
    </w:p>
    <w:p w14:paraId="3E557ECD">
      <w:pPr>
        <w:pageBreakBefore w:val="0"/>
        <w:widowControl/>
        <w:shd w:val="clear"/>
        <w:kinsoku/>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支持级联视频点位实时预览、录像回放、录像下载、语音对讲能力；</w:t>
      </w:r>
    </w:p>
    <w:p w14:paraId="2A0A1D07">
      <w:pPr>
        <w:pageBreakBefore w:val="0"/>
        <w:widowControl/>
        <w:shd w:val="clear"/>
        <w:kinsoku/>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支持级联视频点位设备操作控制能力；</w:t>
      </w:r>
    </w:p>
    <w:p w14:paraId="3921B278">
      <w:pPr>
        <w:pageBreakBefore w:val="0"/>
        <w:widowControl/>
        <w:shd w:val="clear"/>
        <w:kinsoku/>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支持下级平台推送到本级平台视频点位路数控制能力，通过级联点位授权路数控制。</w:t>
      </w:r>
    </w:p>
    <w:p w14:paraId="0EBC3ADA">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b/>
          <w:bCs/>
          <w:color w:val="auto"/>
          <w:spacing w:val="-4"/>
          <w:highlight w:val="none"/>
        </w:rPr>
      </w:pPr>
      <w:bookmarkStart w:id="343" w:name="_Toc187416099"/>
      <w:r>
        <w:rPr>
          <w:rFonts w:hint="eastAsia" w:ascii="宋体" w:hAnsi="宋体" w:eastAsia="宋体" w:cs="宋体"/>
          <w:b/>
          <w:bCs/>
          <w:color w:val="auto"/>
          <w:spacing w:val="-4"/>
          <w:highlight w:val="none"/>
        </w:rPr>
        <w:t>视频运维应用</w:t>
      </w:r>
      <w:bookmarkEnd w:id="343"/>
    </w:p>
    <w:p w14:paraId="7426BED3">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color w:val="auto"/>
          <w:sz w:val="24"/>
          <w:szCs w:val="24"/>
          <w:highlight w:val="none"/>
        </w:rPr>
        <w:t>提供基础运维功能，包括设备运行状态采集、视频质量检测、录像质量检测、运维告警查询与处理、运维报表。</w:t>
      </w:r>
    </w:p>
    <w:p w14:paraId="7253A83E">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设备运行状态采集：检测前端设备在线情况。</w:t>
      </w:r>
    </w:p>
    <w:p w14:paraId="25D3E11A">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视频质量检测：检测视频的图像质量。</w:t>
      </w:r>
    </w:p>
    <w:p w14:paraId="50CF859F">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录像质量检测：检测视频录像的完整性。</w:t>
      </w:r>
    </w:p>
    <w:p w14:paraId="11D86A6A">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运维告警查询与处理：提供运维告警的查询和处理功能。</w:t>
      </w:r>
    </w:p>
    <w:p w14:paraId="5ADF4F30">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运维结果报表展示：按月、时间区间统计各区域监控点在线率、图像正常率、录像完整率。</w:t>
      </w:r>
    </w:p>
    <w:p w14:paraId="0F15B75B">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b/>
          <w:bCs/>
          <w:color w:val="auto"/>
          <w:spacing w:val="-4"/>
          <w:highlight w:val="none"/>
        </w:rPr>
      </w:pPr>
      <w:bookmarkStart w:id="344" w:name="_Toc187416100"/>
      <w:r>
        <w:rPr>
          <w:rFonts w:hint="eastAsia" w:ascii="宋体" w:hAnsi="宋体" w:eastAsia="宋体" w:cs="宋体"/>
          <w:b/>
          <w:bCs/>
          <w:color w:val="auto"/>
          <w:spacing w:val="-4"/>
          <w:highlight w:val="none"/>
        </w:rPr>
        <w:t>地图应用</w:t>
      </w:r>
      <w:bookmarkEnd w:id="344"/>
    </w:p>
    <w:p w14:paraId="1C5660D8">
      <w:pPr>
        <w:pStyle w:val="4"/>
        <w:pageBreakBefore w:val="0"/>
        <w:widowControl/>
        <w:numPr>
          <w:ilvl w:val="3"/>
          <w:numId w:val="0"/>
        </w:numPr>
        <w:shd w:val="clear"/>
        <w:tabs>
          <w:tab w:val="left" w:pos="425"/>
        </w:tabs>
        <w:kinsoku/>
        <w:wordWrap/>
        <w:overflowPunct/>
        <w:topLinePunct w:val="0"/>
        <w:autoSpaceDE w:val="0"/>
        <w:autoSpaceDN w:val="0"/>
        <w:bidi w:val="0"/>
        <w:adjustRightInd w:val="0"/>
        <w:snapToGrid w:val="0"/>
        <w:spacing w:before="20" w:after="326" w:afterLines="100" w:line="240" w:lineRule="auto"/>
        <w:ind w:leftChars="0"/>
        <w:textAlignment w:val="baseline"/>
        <w:rPr>
          <w:rFonts w:hint="eastAsia" w:ascii="宋体" w:hAnsi="宋体" w:eastAsia="宋体" w:cs="宋体"/>
          <w:b/>
          <w:bCs/>
          <w:color w:val="auto"/>
          <w:spacing w:val="-4"/>
          <w:highlight w:val="none"/>
        </w:rPr>
      </w:pPr>
      <w:r>
        <w:rPr>
          <w:rFonts w:hint="eastAsia" w:ascii="宋体" w:hAnsi="宋体" w:eastAsia="宋体" w:cs="宋体"/>
          <w:b/>
          <w:bCs/>
          <w:snapToGrid w:val="0"/>
          <w:color w:val="auto"/>
          <w:kern w:val="0"/>
          <w:sz w:val="24"/>
          <w:szCs w:val="24"/>
          <w:highlight w:val="none"/>
          <w:lang w:val="en-US" w:eastAsia="zh-CN"/>
        </w:rPr>
        <w:t>1.</w:t>
      </w:r>
      <w:r>
        <w:rPr>
          <w:rFonts w:hint="eastAsia" w:ascii="宋体" w:hAnsi="宋体" w:eastAsia="宋体" w:cs="宋体"/>
          <w:b/>
          <w:bCs/>
          <w:color w:val="auto"/>
          <w:spacing w:val="-4"/>
          <w:highlight w:val="none"/>
        </w:rPr>
        <w:t>地图应用</w:t>
      </w:r>
    </w:p>
    <w:p w14:paraId="3F74E4BF">
      <w:pPr>
        <w:pageBreakBefore w:val="0"/>
        <w:widowControl/>
        <w:shd w:val="clear"/>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rPr>
      </w:pPr>
      <w:bookmarkStart w:id="345" w:name="_Toc187416101"/>
      <w:r>
        <w:rPr>
          <w:rFonts w:hint="eastAsia" w:ascii="宋体" w:hAnsi="宋体" w:eastAsia="宋体" w:cs="宋体"/>
          <w:b/>
          <w:bCs/>
          <w:color w:val="auto"/>
          <w:sz w:val="24"/>
          <w:szCs w:val="24"/>
          <w:highlight w:val="none"/>
        </w:rPr>
        <w:t>地图功能</w:t>
      </w:r>
      <w:bookmarkEnd w:id="345"/>
    </w:p>
    <w:p w14:paraId="3872E0A9">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地图支持拖动至地图初始化时的原始中心位置和地图层级；</w:t>
      </w:r>
    </w:p>
    <w:p w14:paraId="71B14129">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地图支持滚轮放大缩小至地图初始化时的原始中心位置和地图层级；</w:t>
      </w:r>
    </w:p>
    <w:p w14:paraId="53B84946">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地图支持重置恢复至地图初始化时的原始中心位置和地图层级；</w:t>
      </w:r>
    </w:p>
    <w:p w14:paraId="0F0361ED">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除了支持矢量地图展示外，还支持切换到影像图模式。切换到影像图模式后，仍然支持地图基本操作以及各种功能；</w:t>
      </w:r>
    </w:p>
    <w:p w14:paraId="10F2D277">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测量分为测距和侧面积两种测量方式。支持用户对地图上某段路段进行测距或计算某个面积的大小，为指挥决策提供数据支撑。支持测距、测面积数据的清除；</w:t>
      </w:r>
    </w:p>
    <w:p w14:paraId="7D8EAE3F">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对当前地图及其上的要素进行截图，支持保存为本地图片；</w:t>
      </w:r>
    </w:p>
    <w:p w14:paraId="49083EDD">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支持地图的全屏功能，可在保证地图视野的同时，用户操作也更加便捷；</w:t>
      </w:r>
    </w:p>
    <w:p w14:paraId="47806587">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通过绘制图形进行空间资源的查询，可在地图上绘制矩形、圆形、多边形、线状缓冲区作为空间查询范围，并可多次绘制取交集、并集、差集，绘制结束后展示设备（监控点、卡口、报警输入/输出）点位或场所点位；</w:t>
      </w:r>
    </w:p>
    <w:p w14:paraId="2C5A3F01">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支持通过绘制图形进行空间资源的查询，可在地图上绘制圆形缓冲区作为空间查询范围，并可多次绘制取交集、并集、差集，绘制结束后展示设备（监控点、卡口、报警输入/输出）点位或场所点位；</w:t>
      </w:r>
    </w:p>
    <w:p w14:paraId="6FD1B033">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支持通过绘制图形进行空间资源的查询，可在地图上绘制线状缓冲区作为空间查询范围，并可多次绘制取交集、并集、差集，绘制结束后展示设备（监控点、卡口、报警输入/输出）点位或场所点位；</w:t>
      </w:r>
    </w:p>
    <w:p w14:paraId="5925FFB3">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支持通过绘制图形进行空间资源的查询，可在地图上绘制多边形缓冲区作为空间查询范围，并可多次绘制取交集、并集、差集，绘制结束后展示设备（监控点、卡口、报警输入/输出）点位或场所点位；</w:t>
      </w:r>
    </w:p>
    <w:p w14:paraId="0874A53D">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监控设备与场所都以点位的形式展示在地图上，支持通过关键字查询和常用标签对这些资源进行查询（不支持地名），查询结果以分页列表的形式展示；</w:t>
      </w:r>
    </w:p>
    <w:p w14:paraId="0785C72C">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其中支持对常用标签进行编辑，并可从标签树中选择标签添加到常用标签中。</w:t>
      </w:r>
    </w:p>
    <w:p w14:paraId="68CBF2C7">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346" w:name="_Toc187416102"/>
      <w:r>
        <w:rPr>
          <w:rFonts w:hint="eastAsia" w:ascii="宋体" w:hAnsi="宋体" w:eastAsia="宋体" w:cs="宋体"/>
          <w:b/>
          <w:bCs/>
          <w:color w:val="auto"/>
          <w:sz w:val="24"/>
          <w:szCs w:val="24"/>
          <w:highlight w:val="none"/>
        </w:rPr>
        <w:t>资源查询</w:t>
      </w:r>
      <w:bookmarkEnd w:id="346"/>
    </w:p>
    <w:p w14:paraId="5CD4C87A">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支持查看基础目录及自定义的业务目录树下，监控点、卡口、车载、单兵、无人机类型资源；</w:t>
      </w:r>
    </w:p>
    <w:p w14:paraId="4C73B8FF">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支持在地图上，根据地图聚合级别以不同样式图标展示卡口资源；</w:t>
      </w:r>
    </w:p>
    <w:p w14:paraId="336D14A8">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支持在地图上，根据地图聚合级别以不同样式图标展示电警资源；</w:t>
      </w:r>
    </w:p>
    <w:p w14:paraId="4DB4F528">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支持在地图上，根据地图聚合级别以不同样式图标展示监控点资源；</w:t>
      </w:r>
    </w:p>
    <w:p w14:paraId="4D42497E">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支持在地图上，根据地图聚合级别以不同样式图标展示信号机资源；</w:t>
      </w:r>
    </w:p>
    <w:p w14:paraId="0724C49F">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支持在地图上，根据地图聚合级别以不同样式图标展示诱导屏资源；</w:t>
      </w:r>
    </w:p>
    <w:p w14:paraId="6A56535B">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支持在地图上，根据地图聚合级别以不同样式图标展示定安县公安局、学校、商场、火车站、景点、停车场、收费站等社会资源；</w:t>
      </w:r>
    </w:p>
    <w:p w14:paraId="6CC883FC">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支持资源定位至地图所在位置，并展示点位详细信息，如点位名称、像素、类型；</w:t>
      </w:r>
    </w:p>
    <w:p w14:paraId="0E4DBAFF">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支持点位视频预览、回放、收藏、周边查询、标注经纬度、打标签、可视域；</w:t>
      </w:r>
    </w:p>
    <w:p w14:paraId="5D4776A3">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支持点位经纬度修改；</w:t>
      </w:r>
    </w:p>
    <w:p w14:paraId="3E8DE6C8">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支持仅展示未标注经纬度的点位资源；</w:t>
      </w:r>
    </w:p>
    <w:p w14:paraId="209CC195">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支持分资源类型进行关键字模糊匹配检索，同时支持对资源进行全局搜索。</w:t>
      </w:r>
    </w:p>
    <w:p w14:paraId="399AB7B1">
      <w:pPr>
        <w:pageBreakBefore w:val="0"/>
        <w:widowControl/>
        <w:numPr>
          <w:ilvl w:val="0"/>
          <w:numId w:val="0"/>
        </w:numPr>
        <w:shd w:val="clear"/>
        <w:kinsoku/>
        <w:wordWrap/>
        <w:overflowPunct/>
        <w:topLinePunct w:val="0"/>
        <w:autoSpaceDE w:val="0"/>
        <w:autoSpaceDN w:val="0"/>
        <w:bidi w:val="0"/>
        <w:adjustRightInd w:val="0"/>
        <w:snapToGrid w:val="0"/>
        <w:spacing w:line="360" w:lineRule="auto"/>
        <w:ind w:leftChars="0"/>
        <w:rPr>
          <w:rFonts w:hint="eastAsia" w:ascii="宋体" w:hAnsi="宋体" w:eastAsia="宋体" w:cs="宋体"/>
          <w:b/>
          <w:bCs/>
          <w:color w:val="auto"/>
          <w:sz w:val="24"/>
          <w:szCs w:val="24"/>
          <w:highlight w:val="none"/>
        </w:rPr>
      </w:pPr>
      <w:bookmarkStart w:id="347" w:name="_Toc187416103"/>
      <w:r>
        <w:rPr>
          <w:rFonts w:hint="eastAsia" w:ascii="宋体" w:hAnsi="宋体" w:eastAsia="宋体" w:cs="宋体"/>
          <w:b/>
          <w:bCs/>
          <w:color w:val="auto"/>
          <w:sz w:val="24"/>
          <w:szCs w:val="24"/>
          <w:highlight w:val="none"/>
        </w:rPr>
        <w:t>收藏夹</w:t>
      </w:r>
      <w:bookmarkEnd w:id="347"/>
    </w:p>
    <w:p w14:paraId="41601A3F">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支持对感兴趣的点位进行收藏或分享，用户可以根据自己的需求来创建收藏目录，以便下次直接调用，查看；</w:t>
      </w:r>
    </w:p>
    <w:p w14:paraId="52EFBB73">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支持按关键字对收藏点位进行搜索，支持添加、编辑、查看、分享、删除收藏夹；</w:t>
      </w:r>
    </w:p>
    <w:p w14:paraId="034D2349">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支持按关键字对收藏点位进行搜索，点击后在地图上显示点位位置。</w:t>
      </w:r>
    </w:p>
    <w:p w14:paraId="64BD6B3B">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b/>
          <w:bCs/>
          <w:color w:val="auto"/>
          <w:spacing w:val="-4"/>
          <w:sz w:val="24"/>
          <w:szCs w:val="24"/>
          <w:highlight w:val="none"/>
        </w:rPr>
      </w:pPr>
      <w:bookmarkStart w:id="348" w:name="_Toc187416104"/>
      <w:r>
        <w:rPr>
          <w:rFonts w:hint="eastAsia" w:ascii="宋体" w:hAnsi="宋体" w:eastAsia="宋体" w:cs="宋体"/>
          <w:b/>
          <w:bCs/>
          <w:color w:val="auto"/>
          <w:spacing w:val="-4"/>
          <w:sz w:val="24"/>
          <w:szCs w:val="24"/>
          <w:highlight w:val="none"/>
        </w:rPr>
        <w:t>违法查询</w:t>
      </w:r>
      <w:bookmarkEnd w:id="348"/>
    </w:p>
    <w:p w14:paraId="76140821">
      <w:pPr>
        <w:pStyle w:val="4"/>
        <w:pageBreakBefore w:val="0"/>
        <w:widowControl/>
        <w:numPr>
          <w:ilvl w:val="3"/>
          <w:numId w:val="0"/>
        </w:numPr>
        <w:shd w:val="clear"/>
        <w:tabs>
          <w:tab w:val="left" w:pos="425"/>
        </w:tabs>
        <w:kinsoku/>
        <w:wordWrap/>
        <w:overflowPunct/>
        <w:topLinePunct w:val="0"/>
        <w:autoSpaceDE w:val="0"/>
        <w:autoSpaceDN w:val="0"/>
        <w:bidi w:val="0"/>
        <w:adjustRightInd w:val="0"/>
        <w:snapToGrid w:val="0"/>
        <w:spacing w:line="360" w:lineRule="auto"/>
        <w:ind w:leftChars="0"/>
        <w:textAlignment w:val="baseline"/>
        <w:rPr>
          <w:rFonts w:hint="eastAsia"/>
          <w:color w:val="auto"/>
          <w:highlight w:val="none"/>
        </w:rPr>
      </w:pPr>
      <w:r>
        <w:rPr>
          <w:rFonts w:hint="eastAsia" w:ascii="宋体" w:hAnsi="宋体" w:eastAsia="宋体" w:cs="宋体"/>
          <w:b/>
          <w:bCs/>
          <w:snapToGrid w:val="0"/>
          <w:color w:val="auto"/>
          <w:kern w:val="0"/>
          <w:sz w:val="24"/>
          <w:szCs w:val="24"/>
          <w:highlight w:val="none"/>
          <w:lang w:val="en-US" w:eastAsia="zh-CN"/>
        </w:rPr>
        <w:t>1.</w:t>
      </w:r>
      <w:r>
        <w:rPr>
          <w:rFonts w:hint="eastAsia" w:ascii="宋体" w:hAnsi="宋体" w:eastAsia="宋体" w:cs="宋体"/>
          <w:b/>
          <w:bCs/>
          <w:color w:val="auto"/>
          <w:spacing w:val="-4"/>
          <w:sz w:val="24"/>
          <w:szCs w:val="24"/>
          <w:highlight w:val="none"/>
        </w:rPr>
        <w:t>违法查询</w:t>
      </w:r>
    </w:p>
    <w:p w14:paraId="47CA7F8A">
      <w:pPr>
        <w:pageBreakBefore w:val="0"/>
        <w:widowControl/>
        <w:numPr>
          <w:ilvl w:val="0"/>
          <w:numId w:val="10"/>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49" w:name="_Toc187416105"/>
      <w:r>
        <w:rPr>
          <w:rFonts w:hint="eastAsia" w:ascii="宋体" w:hAnsi="宋体" w:eastAsia="宋体" w:cs="宋体"/>
          <w:b/>
          <w:bCs/>
          <w:color w:val="auto"/>
          <w:sz w:val="24"/>
          <w:szCs w:val="24"/>
          <w:highlight w:val="none"/>
        </w:rPr>
        <w:t>基础查询</w:t>
      </w:r>
      <w:bookmarkEnd w:id="349"/>
    </w:p>
    <w:p w14:paraId="0B96CFDC">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支持违法数据查询功能。</w:t>
      </w:r>
    </w:p>
    <w:p w14:paraId="108A0D32">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查询结果支持进行过车详情查看、机动车信息查看、过车录像回放、违法地点在地图上联动查看。</w:t>
      </w:r>
    </w:p>
    <w:p w14:paraId="369542F5">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支持在地图上标注搜索结果图片的抓拍设备。</w:t>
      </w:r>
    </w:p>
    <w:p w14:paraId="183B9CD7">
      <w:pPr>
        <w:pageBreakBefore w:val="0"/>
        <w:widowControl/>
        <w:numPr>
          <w:ilvl w:val="0"/>
          <w:numId w:val="10"/>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50" w:name="_Toc187416106"/>
      <w:r>
        <w:rPr>
          <w:rFonts w:hint="eastAsia" w:ascii="宋体" w:hAnsi="宋体" w:eastAsia="宋体" w:cs="宋体"/>
          <w:b/>
          <w:bCs/>
          <w:color w:val="auto"/>
          <w:sz w:val="24"/>
          <w:szCs w:val="24"/>
          <w:highlight w:val="none"/>
        </w:rPr>
        <w:t>详情展示</w:t>
      </w:r>
      <w:bookmarkEnd w:id="350"/>
    </w:p>
    <w:p w14:paraId="3D22544B">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查询结果支持以图片或列表形式展示。</w:t>
      </w:r>
    </w:p>
    <w:p w14:paraId="48E5946F">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支持查询结果快捷操作，链接到查看详情，地图定位，视频回放功能。</w:t>
      </w:r>
    </w:p>
    <w:p w14:paraId="3D9CC8D5">
      <w:pPr>
        <w:pageBreakBefore w:val="0"/>
        <w:widowControl/>
        <w:numPr>
          <w:ilvl w:val="0"/>
          <w:numId w:val="10"/>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51" w:name="_Toc187416107"/>
      <w:r>
        <w:rPr>
          <w:rFonts w:hint="eastAsia" w:ascii="宋体" w:hAnsi="宋体" w:eastAsia="宋体" w:cs="宋体"/>
          <w:b/>
          <w:bCs/>
          <w:color w:val="auto"/>
          <w:sz w:val="24"/>
          <w:szCs w:val="24"/>
          <w:highlight w:val="none"/>
        </w:rPr>
        <w:t>详情导出</w:t>
      </w:r>
      <w:bookmarkEnd w:id="351"/>
    </w:p>
    <w:p w14:paraId="6217DCA1">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支持将检索结果的车辆图像及相关结构化信息全部或部分导出成csv/excel。</w:t>
      </w:r>
    </w:p>
    <w:p w14:paraId="4A028F84">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b/>
          <w:bCs/>
          <w:color w:val="auto"/>
          <w:spacing w:val="-4"/>
          <w:sz w:val="28"/>
          <w:szCs w:val="24"/>
          <w:highlight w:val="none"/>
        </w:rPr>
      </w:pPr>
      <w:bookmarkStart w:id="352" w:name="_Toc187416108"/>
      <w:r>
        <w:rPr>
          <w:rFonts w:hint="eastAsia" w:ascii="宋体" w:hAnsi="宋体" w:eastAsia="宋体" w:cs="宋体"/>
          <w:b/>
          <w:bCs/>
          <w:color w:val="auto"/>
          <w:spacing w:val="-4"/>
          <w:sz w:val="28"/>
          <w:szCs w:val="24"/>
          <w:highlight w:val="none"/>
        </w:rPr>
        <w:t>基础车辆应用</w:t>
      </w:r>
      <w:bookmarkEnd w:id="352"/>
    </w:p>
    <w:p w14:paraId="110DBE44">
      <w:pPr>
        <w:pStyle w:val="4"/>
        <w:pageBreakBefore w:val="0"/>
        <w:widowControl/>
        <w:numPr>
          <w:ilvl w:val="3"/>
          <w:numId w:val="0"/>
        </w:numPr>
        <w:shd w:val="clear"/>
        <w:tabs>
          <w:tab w:val="left" w:pos="425"/>
        </w:tabs>
        <w:kinsoku/>
        <w:wordWrap/>
        <w:overflowPunct/>
        <w:topLinePunct w:val="0"/>
        <w:autoSpaceDE w:val="0"/>
        <w:autoSpaceDN w:val="0"/>
        <w:bidi w:val="0"/>
        <w:adjustRightInd w:val="0"/>
        <w:snapToGrid w:val="0"/>
        <w:spacing w:before="20" w:after="326" w:afterLines="100" w:line="240" w:lineRule="auto"/>
        <w:ind w:leftChars="0"/>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snapToGrid w:val="0"/>
          <w:color w:val="auto"/>
          <w:kern w:val="0"/>
          <w:sz w:val="24"/>
          <w:szCs w:val="24"/>
          <w:highlight w:val="none"/>
          <w:lang w:val="en-US" w:eastAsia="zh-CN"/>
        </w:rPr>
        <w:t>1.基</w:t>
      </w:r>
      <w:r>
        <w:rPr>
          <w:rFonts w:hint="eastAsia" w:ascii="宋体" w:hAnsi="宋体" w:eastAsia="宋体" w:cs="宋体"/>
          <w:b/>
          <w:bCs/>
          <w:color w:val="auto"/>
          <w:spacing w:val="-4"/>
          <w:sz w:val="28"/>
          <w:szCs w:val="24"/>
          <w:highlight w:val="none"/>
        </w:rPr>
        <w:t>础车辆应用</w:t>
      </w:r>
    </w:p>
    <w:p w14:paraId="24AFA69E">
      <w:pPr>
        <w:pageBreakBefore w:val="0"/>
        <w:widowControl/>
        <w:numPr>
          <w:ilvl w:val="0"/>
          <w:numId w:val="11"/>
        </w:numPr>
        <w:shd w:val="clear"/>
        <w:kinsoku/>
        <w:wordWrap/>
        <w:overflowPunct/>
        <w:topLinePunct w:val="0"/>
        <w:autoSpaceDE w:val="0"/>
        <w:autoSpaceDN w:val="0"/>
        <w:bidi w:val="0"/>
        <w:adjustRightInd w:val="0"/>
        <w:snapToGrid w:val="0"/>
        <w:spacing w:line="240" w:lineRule="auto"/>
        <w:ind w:left="425" w:leftChars="0" w:hanging="425" w:firstLineChars="0"/>
        <w:rPr>
          <w:rFonts w:hint="eastAsia" w:ascii="宋体" w:hAnsi="宋体" w:eastAsia="宋体" w:cs="宋体"/>
          <w:b/>
          <w:bCs/>
          <w:color w:val="auto"/>
          <w:sz w:val="24"/>
          <w:szCs w:val="24"/>
          <w:highlight w:val="none"/>
        </w:rPr>
      </w:pPr>
      <w:bookmarkStart w:id="353" w:name="_Toc187416109"/>
      <w:r>
        <w:rPr>
          <w:rFonts w:hint="eastAsia" w:ascii="宋体" w:hAnsi="宋体" w:eastAsia="宋体" w:cs="宋体"/>
          <w:b/>
          <w:bCs/>
          <w:color w:val="auto"/>
          <w:sz w:val="24"/>
          <w:szCs w:val="24"/>
          <w:highlight w:val="none"/>
        </w:rPr>
        <w:t>基础查询</w:t>
      </w:r>
      <w:bookmarkEnd w:id="353"/>
    </w:p>
    <w:p w14:paraId="2C5BFD3E">
      <w:pPr>
        <w:pageBreakBefore w:val="0"/>
        <w:widowControl/>
        <w:shd w:val="clear"/>
        <w:kinsoku/>
        <w:wordWrap/>
        <w:overflowPunct/>
        <w:topLinePunct w:val="0"/>
        <w:autoSpaceDE w:val="0"/>
        <w:autoSpaceDN w:val="0"/>
        <w:bidi w:val="0"/>
        <w:adjustRightInd w:val="0"/>
        <w:snapToGrid w:val="0"/>
        <w:spacing w:line="24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支持正常过车查询功能。</w:t>
      </w:r>
    </w:p>
    <w:p w14:paraId="290A367A">
      <w:pPr>
        <w:pageBreakBefore w:val="0"/>
        <w:widowControl/>
        <w:shd w:val="clear"/>
        <w:kinsoku/>
        <w:wordWrap/>
        <w:overflowPunct/>
        <w:topLinePunct w:val="0"/>
        <w:autoSpaceDE w:val="0"/>
        <w:autoSpaceDN w:val="0"/>
        <w:bidi w:val="0"/>
        <w:adjustRightInd w:val="0"/>
        <w:snapToGrid w:val="0"/>
        <w:spacing w:line="24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支持选择时段、点位范围、方向及车道，根据车牌号码 、结果关联、车辆颜色、车辆品牌、车辆类型、车牌类型、车牌颜色进行过车记录检索。</w:t>
      </w:r>
    </w:p>
    <w:p w14:paraId="408B985C">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支持不分组或者按车牌和卡口分组展示查询结果。</w:t>
      </w:r>
    </w:p>
    <w:p w14:paraId="174922C0">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支持按车辆特征信息（包括拍照角度 、车辆特征、前车窗特征、主副驾人员特征、是否渣土车、速度区间）进行过车记录检索。</w:t>
      </w:r>
    </w:p>
    <w:p w14:paraId="71CDD447">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查询结果支持显示车辆与人脸的关联关系，当结果图片左上角出现关联人脸标志时表示搜索结果可关联人脸。</w:t>
      </w:r>
    </w:p>
    <w:p w14:paraId="75CAF2DC">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支持查看配置中的号牌归属。</w:t>
      </w:r>
    </w:p>
    <w:p w14:paraId="6C8BA9EF">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支持查看检索结果详情。</w:t>
      </w:r>
    </w:p>
    <w:p w14:paraId="6597E514">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支持在地图上标注搜索结果图片的抓拍设备。</w:t>
      </w:r>
    </w:p>
    <w:p w14:paraId="794B8FE1">
      <w:pPr>
        <w:pageBreakBefore w:val="0"/>
        <w:widowControl/>
        <w:numPr>
          <w:ilvl w:val="0"/>
          <w:numId w:val="11"/>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54" w:name="_Toc187416110"/>
      <w:r>
        <w:rPr>
          <w:rFonts w:hint="eastAsia" w:ascii="宋体" w:hAnsi="宋体" w:eastAsia="宋体" w:cs="宋体"/>
          <w:b/>
          <w:bCs/>
          <w:color w:val="auto"/>
          <w:sz w:val="24"/>
          <w:szCs w:val="24"/>
          <w:highlight w:val="none"/>
        </w:rPr>
        <w:t>详情展示</w:t>
      </w:r>
      <w:bookmarkEnd w:id="354"/>
    </w:p>
    <w:p w14:paraId="07B2B67A">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支持过车详情显示当前车辆车牌信息、抓拍卡口信息以及抓拍时间。</w:t>
      </w:r>
    </w:p>
    <w:p w14:paraId="3E04FE80">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支持查询结果快捷操作，链接到查看详情，地图定位，视频回放，以车搜车功能。</w:t>
      </w:r>
    </w:p>
    <w:p w14:paraId="016DCB25">
      <w:pPr>
        <w:pageBreakBefore w:val="0"/>
        <w:widowControl/>
        <w:numPr>
          <w:ilvl w:val="0"/>
          <w:numId w:val="11"/>
        </w:numPr>
        <w:shd w:val="clear"/>
        <w:kinsoku/>
        <w:wordWrap/>
        <w:overflowPunct/>
        <w:topLinePunct w:val="0"/>
        <w:autoSpaceDE w:val="0"/>
        <w:autoSpaceDN w:val="0"/>
        <w:bidi w:val="0"/>
        <w:adjustRightInd w:val="0"/>
        <w:snapToGrid w:val="0"/>
        <w:spacing w:line="360" w:lineRule="auto"/>
        <w:ind w:left="425" w:leftChars="0" w:hanging="425" w:firstLineChars="0"/>
        <w:rPr>
          <w:rFonts w:hint="eastAsia" w:ascii="宋体" w:hAnsi="宋体" w:eastAsia="宋体" w:cs="宋体"/>
          <w:b/>
          <w:bCs/>
          <w:color w:val="auto"/>
          <w:sz w:val="24"/>
          <w:szCs w:val="24"/>
          <w:highlight w:val="none"/>
        </w:rPr>
      </w:pPr>
      <w:bookmarkStart w:id="355" w:name="_Toc187416111"/>
      <w:r>
        <w:rPr>
          <w:rFonts w:hint="eastAsia" w:ascii="宋体" w:hAnsi="宋体" w:eastAsia="宋体" w:cs="宋体"/>
          <w:b/>
          <w:bCs/>
          <w:color w:val="auto"/>
          <w:sz w:val="24"/>
          <w:szCs w:val="24"/>
          <w:highlight w:val="none"/>
        </w:rPr>
        <w:t>详情导出</w:t>
      </w:r>
      <w:bookmarkEnd w:id="355"/>
    </w:p>
    <w:p w14:paraId="2F410BCF">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支持将检索结果的车辆图像及相关结构化信息全部或部分导出成csv格式文件。</w:t>
      </w:r>
    </w:p>
    <w:p w14:paraId="76AF148C">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b/>
          <w:bCs/>
          <w:color w:val="auto"/>
          <w:spacing w:val="-4"/>
          <w:highlight w:val="none"/>
        </w:rPr>
      </w:pPr>
      <w:bookmarkStart w:id="356" w:name="_Toc187416112"/>
      <w:r>
        <w:rPr>
          <w:rFonts w:hint="eastAsia" w:ascii="宋体" w:hAnsi="宋体" w:eastAsia="宋体" w:cs="宋体"/>
          <w:b/>
          <w:bCs/>
          <w:color w:val="auto"/>
          <w:spacing w:val="-4"/>
          <w:highlight w:val="none"/>
        </w:rPr>
        <w:t>车辆轨迹查询</w:t>
      </w:r>
      <w:bookmarkEnd w:id="356"/>
    </w:p>
    <w:p w14:paraId="2F89A705">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00"/>
          <w:lang w:val="en-US" w:eastAsia="zh-CN"/>
        </w:rPr>
        <w:t>1.</w:t>
      </w:r>
      <w:r>
        <w:rPr>
          <w:rFonts w:hint="eastAsia" w:ascii="宋体" w:hAnsi="宋体" w:eastAsia="宋体" w:cs="宋体"/>
          <w:color w:val="auto"/>
          <w:sz w:val="24"/>
          <w:szCs w:val="24"/>
          <w:highlight w:val="none"/>
        </w:rPr>
        <w:t>支持按照车牌号码、车牌颜色、过车时间和选择范围查询，结果在地图上展示，并可进行轨迹回放；</w:t>
      </w:r>
    </w:p>
    <w:p w14:paraId="01DC4EF3">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支持对某条过车数据进行视频回放；</w:t>
      </w:r>
    </w:p>
    <w:p w14:paraId="6D630DCC">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支持车辆轨迹信息的顺序、倒序排列。</w:t>
      </w:r>
    </w:p>
    <w:p w14:paraId="02D372D3">
      <w:pPr>
        <w:shd w:val="clear"/>
        <w:bidi w:val="0"/>
        <w:rPr>
          <w:rFonts w:hint="eastAsia" w:ascii="Arial" w:hAnsi="Arial" w:eastAsia="Arial" w:cs="Arial"/>
          <w:snapToGrid w:val="0"/>
          <w:color w:val="auto"/>
          <w:kern w:val="0"/>
          <w:sz w:val="21"/>
          <w:szCs w:val="21"/>
          <w:highlight w:val="none"/>
        </w:rPr>
      </w:pPr>
    </w:p>
    <w:p w14:paraId="5EE0CBD2">
      <w:pPr>
        <w:shd w:val="clear"/>
        <w:bidi w:val="0"/>
        <w:rPr>
          <w:rFonts w:hint="eastAsia"/>
          <w:color w:val="auto"/>
          <w:highlight w:val="none"/>
        </w:rPr>
      </w:pPr>
    </w:p>
    <w:p w14:paraId="423BC932">
      <w:pPr>
        <w:shd w:val="clear"/>
        <w:bidi w:val="0"/>
        <w:rPr>
          <w:rFonts w:hint="eastAsia"/>
          <w:color w:val="auto"/>
          <w:highlight w:val="none"/>
        </w:rPr>
      </w:pPr>
    </w:p>
    <w:p w14:paraId="17B6CAB4">
      <w:pPr>
        <w:shd w:val="clear"/>
        <w:tabs>
          <w:tab w:val="left" w:pos="2471"/>
        </w:tabs>
        <w:bidi w:val="0"/>
        <w:jc w:val="left"/>
        <w:rPr>
          <w:rFonts w:hint="eastAsia" w:eastAsia="宋体"/>
          <w:color w:val="auto"/>
          <w:highlight w:val="none"/>
          <w:lang w:eastAsia="zh-CN"/>
        </w:rPr>
      </w:pPr>
      <w:r>
        <w:rPr>
          <w:rFonts w:hint="eastAsia" w:eastAsia="宋体"/>
          <w:color w:val="auto"/>
          <w:highlight w:val="none"/>
          <w:lang w:eastAsia="zh-CN"/>
        </w:rPr>
        <w:tab/>
      </w:r>
    </w:p>
    <w:p w14:paraId="524A6363">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color w:val="auto"/>
          <w:spacing w:val="-4"/>
          <w:sz w:val="28"/>
          <w:szCs w:val="28"/>
          <w:highlight w:val="none"/>
        </w:rPr>
      </w:pPr>
      <w:bookmarkStart w:id="357" w:name="_Toc11397"/>
      <w:bookmarkStart w:id="358" w:name="_Toc195735545"/>
      <w:bookmarkStart w:id="359" w:name="_Toc7089"/>
      <w:bookmarkStart w:id="360" w:name="_Toc29579"/>
      <w:bookmarkStart w:id="361" w:name="_Toc12150"/>
      <w:bookmarkStart w:id="362" w:name="_Toc155621657"/>
      <w:r>
        <w:rPr>
          <w:rFonts w:hint="eastAsia" w:ascii="宋体" w:hAnsi="宋体" w:eastAsia="宋体" w:cs="宋体"/>
          <w:color w:val="auto"/>
          <w:spacing w:val="-4"/>
          <w:sz w:val="28"/>
          <w:szCs w:val="28"/>
          <w:highlight w:val="none"/>
        </w:rPr>
        <w:t>杆件及配套设施</w:t>
      </w:r>
      <w:bookmarkEnd w:id="357"/>
      <w:bookmarkEnd w:id="358"/>
      <w:bookmarkEnd w:id="359"/>
      <w:bookmarkEnd w:id="360"/>
      <w:bookmarkEnd w:id="361"/>
      <w:bookmarkEnd w:id="362"/>
      <w:r>
        <w:rPr>
          <w:rFonts w:hint="eastAsia" w:ascii="宋体" w:hAnsi="宋体" w:eastAsia="宋体" w:cs="宋体"/>
          <w:color w:val="auto"/>
          <w:spacing w:val="-4"/>
          <w:sz w:val="28"/>
          <w:szCs w:val="28"/>
          <w:highlight w:val="none"/>
        </w:rPr>
        <w:t>要求</w:t>
      </w:r>
    </w:p>
    <w:p w14:paraId="770B4B94">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杆件及立杆基础要求</w:t>
      </w:r>
    </w:p>
    <w:p w14:paraId="739F4D46">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color w:val="auto"/>
          <w:sz w:val="24"/>
          <w:szCs w:val="24"/>
          <w:highlight w:val="none"/>
        </w:rPr>
        <w:t>该项目新立杆件根据安装环境和信号控制系统设置规范和电子警察卡口系统抓拍要求，选取高6.5米立杆避免出现树木遮挡、光线不足的情况，须完全满足相关系统功能要求。</w:t>
      </w:r>
    </w:p>
    <w:p w14:paraId="17F6642E">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监控立杆及立杆支臂</w:t>
      </w:r>
    </w:p>
    <w:p w14:paraId="4D3C40C3">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杆杆体材料为镀锌锥形八角钢，立杆壁厚度不小于6mm，横臂厚度不小于5mm立杆高度为6.5m。杆体材料为镀锌锥形八角钢，立杆连接选用高强度螺栓,表面热镀锌处理，采用双螺母自锁方式锁紧，螺丝、螺母等配件必须使用镀锌材料，并做防锈处理。</w:t>
      </w:r>
    </w:p>
    <w:p w14:paraId="732D0A01">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材质Q235，杆体与法兰连接处采用双面焊接，外焊加强筋。</w:t>
      </w:r>
    </w:p>
    <w:p w14:paraId="4266CCCE">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热镀锌喷塑白色，杆体表面全部热浸镀锌（要求双面镀锌）,构件热镀锌之前必须进行酸洗除锈，锌层厚度不小于90μm,偏差应小于10µｍ，表面无发黑、粗糙、流痕、锌粒、锌渣现象。</w:t>
      </w:r>
    </w:p>
    <w:p w14:paraId="74F25A4B">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外表面采用室外耐候性纯聚酯粉末，经高压静电喷涂，要求表面颜色一致、光滑、无微粒、无桔皮现象，塑层平均厚度在70µｍ以上，无粉化、脱落、剥离现象。</w:t>
      </w:r>
    </w:p>
    <w:p w14:paraId="2510B2FD">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锌层厚度大于80微米，喷塑厚度大于100微米。要求横臂末端承重不小于150Kg，抗风能力设计不低于14级（45m/s）抗风能力。</w:t>
      </w:r>
    </w:p>
    <w:p w14:paraId="3922288C">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本次建设采用6.5米高杆件，横臂长度分别为6米、8米、10米、12米横臂，具体要求如下。</w:t>
      </w:r>
    </w:p>
    <w:p w14:paraId="4B8F660F">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6.5米杆，6米横臂</w:t>
      </w:r>
    </w:p>
    <w:p w14:paraId="1231FB2A">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悬臂式八棱锥形、热镀锌钢质灯杆，银灰色，圆形法兰底座，杆件立杆高度不低于6.5米，悬臂长度6米。安装后净空高度不得低于5.5米，杆件规格及安装位置和数量根据图纸和实际需求确定，采用双层组合式悬臂杆件形式设计。</w:t>
      </w:r>
    </w:p>
    <w:p w14:paraId="29ADABA3">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适配立杆基础：</w:t>
      </w:r>
    </w:p>
    <w:p w14:paraId="41054834">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规格不小于：1200mm×1400mm×1600mm；</w:t>
      </w:r>
    </w:p>
    <w:p w14:paraId="5671D0EE">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基础需落至老土或满足承载力的回填上;地基承载力特征值应不小于90KPa，覆土换土需用粘性土分层夯实，夯实系数不小于0.96。基底应先平整、夯实，控制好标高；</w:t>
      </w:r>
    </w:p>
    <w:p w14:paraId="782BF21A">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基础混凝土标号不低于C30；</w:t>
      </w:r>
    </w:p>
    <w:p w14:paraId="3DA3480C">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在浇注基础混凝土时，应注意使基础笼与基础对中，基础螺栓垂直放置，控制好预埋件的标高和水平，并根据路况调整基础笼的方向；</w:t>
      </w:r>
    </w:p>
    <w:p w14:paraId="5231A522">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在浇注基础混凝土前要对螺纹部分涂上黄油并包裹防。</w:t>
      </w:r>
    </w:p>
    <w:p w14:paraId="00C1E292">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6.5米杆，8米横臂</w:t>
      </w:r>
    </w:p>
    <w:p w14:paraId="7FA83A3F">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悬臂式八棱锥形、热镀锌钢质灯杆，银灰色，圆形法兰底座，杆件立杆高度不低于6.5米，悬臂长度8米，安装后净空高度不得低于5.5米，杆件规格及安装位置和数量根据图纸和实际需求确定，采用双层组合式悬臂杆件形式设计。</w:t>
      </w:r>
    </w:p>
    <w:p w14:paraId="4B2DEEC4">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适配立杆基础：</w:t>
      </w:r>
    </w:p>
    <w:p w14:paraId="5CC001FE">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规格不小于：1400mm×1600mm×1800mm；</w:t>
      </w:r>
    </w:p>
    <w:p w14:paraId="7742ACED">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 xml:space="preserve"> 基础需落至老土或满足承载力的回填上;地基承载力特征值应不小于90KPa，覆土换土需用粘性土分层夯实，夯实系数不小于0.96。基底应先平整、夯实，控制好标高；</w:t>
      </w:r>
    </w:p>
    <w:p w14:paraId="200ED74E">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基础混凝土标号不低于C30；</w:t>
      </w:r>
    </w:p>
    <w:p w14:paraId="18EF1ED0">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在浇注基础混凝土时，应注意使基础笼与基础对中，基础螺栓垂直放置，控制好预埋件的标高和水平，并根据路况调整基础笼的方向；</w:t>
      </w:r>
    </w:p>
    <w:p w14:paraId="270F1556">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在浇注基础混凝土前要对螺纹部分涂上黄油并包裹防。</w:t>
      </w:r>
    </w:p>
    <w:p w14:paraId="3BCDA310">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6.5米杆，10米横臂</w:t>
      </w:r>
    </w:p>
    <w:p w14:paraId="0B20955E">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悬臂式八棱锥形、热镀锌钢质灯杆，银灰色，圆形法兰底座，杆件立杆高度不低于6.5米，悬臂长度10米，安装后净空高度不得低于5.5米，杆件规格及安装位置和数量根据图纸和实际需求确定，采用双层组合式悬臂杆件形式设计。</w:t>
      </w:r>
    </w:p>
    <w:p w14:paraId="24E79033">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适配立杆基础：</w:t>
      </w:r>
    </w:p>
    <w:p w14:paraId="382201B0">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规格不小于：1600mm×1800mm×2000mm；</w:t>
      </w:r>
    </w:p>
    <w:p w14:paraId="3AB1537B">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 xml:space="preserve"> 基础需落至老土或满足承载力的回填上;地基承载力特征值应不小于90KPa，覆土换土需用粘性土分层夯实，夯实系数不小于0.96。基底应先平整、夯实，控制好标高；</w:t>
      </w:r>
    </w:p>
    <w:p w14:paraId="08A5986A">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基础混凝土标号不低于C30；</w:t>
      </w:r>
    </w:p>
    <w:p w14:paraId="079E37C2">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在浇注基础混凝土时，应注意使基础笼与基础对中，基础螺栓垂直放置，控制好预埋件的标高和水平，并根据路况调整基础笼的方向；</w:t>
      </w:r>
    </w:p>
    <w:p w14:paraId="3A32196E">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在浇注基础混凝土前要对螺纹部分涂上黄油并包裹防。</w:t>
      </w:r>
    </w:p>
    <w:p w14:paraId="27A13ADC">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6.5米杆，12横臂</w:t>
      </w:r>
    </w:p>
    <w:p w14:paraId="4FC665F6">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悬臂式八棱锥形、热镀锌钢质灯杆，银灰色，圆形法兰底座，杆件立杆高度不低于6.5米，悬臂长度12米，安装后净空高度不得低于5.5米，杆件规格及安装位置和数量根据图纸和实际需求确定，采用双层组合式悬臂杆件形式设计。</w:t>
      </w:r>
    </w:p>
    <w:p w14:paraId="1536719A">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适配立杆基础：</w:t>
      </w:r>
    </w:p>
    <w:p w14:paraId="51912A44">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规格不小于1800mm×2000mm×2500mm；</w:t>
      </w:r>
    </w:p>
    <w:p w14:paraId="209726E6">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基础需落至老土或满足承载力的回填上;地基承载力特征值应不小于90KPa，覆土换土需用粘性土分层夯实，夯实系数不小于0.96。基底应先平整、夯实，控制好标高；</w:t>
      </w:r>
    </w:p>
    <w:p w14:paraId="271AF04A">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基础混凝土标号不低于C30；</w:t>
      </w:r>
    </w:p>
    <w:p w14:paraId="3E4C9BC5">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在浇注基础混凝土时，应注意使基础笼与基础对中，基础螺栓垂直放置，控制好预埋件的标高和水平，并根据路况调整基础笼的方向；</w:t>
      </w:r>
    </w:p>
    <w:p w14:paraId="31EB858E">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在浇注基础混凝土前要对螺纹部分涂上黄油并包裹防护。</w:t>
      </w:r>
    </w:p>
    <w:p w14:paraId="72A2E9B7">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特殊点位处理</w:t>
      </w:r>
    </w:p>
    <w:p w14:paraId="55B47F1E">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对于前端特殊点位，如回填土或护坡坡度</w:t>
      </w:r>
      <w:r>
        <w:rPr>
          <w:rFonts w:hint="eastAsia" w:ascii="宋体" w:hAnsi="宋体" w:eastAsia="宋体" w:cs="宋体"/>
          <w:color w:val="auto"/>
          <w:sz w:val="24"/>
          <w:szCs w:val="24"/>
          <w:highlight w:val="none"/>
          <w:lang w:val="en-US" w:eastAsia="zh-CN"/>
        </w:rPr>
        <w:t>较</w:t>
      </w:r>
      <w:r>
        <w:rPr>
          <w:rFonts w:hint="eastAsia" w:ascii="宋体" w:hAnsi="宋体" w:eastAsia="宋体" w:cs="宋体"/>
          <w:color w:val="auto"/>
          <w:sz w:val="24"/>
          <w:szCs w:val="24"/>
          <w:highlight w:val="none"/>
        </w:rPr>
        <w:t>大，在满足需求的条件下优先采用位置调整的方式，将点位调整到土质坚固的地面。</w:t>
      </w:r>
    </w:p>
    <w:p w14:paraId="4D5ACEEC">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对于不具备位置调整条件的点位，采用增大立杆基础的方式。</w:t>
      </w:r>
    </w:p>
    <w:p w14:paraId="54FAAD72">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预埋杆件基础要求</w:t>
      </w:r>
    </w:p>
    <w:p w14:paraId="29A16BCF">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00"/>
          <w:lang w:val="en-US" w:eastAsia="zh-CN"/>
        </w:rPr>
        <w:t>1.</w:t>
      </w:r>
      <w:r>
        <w:rPr>
          <w:rFonts w:hint="eastAsia" w:ascii="宋体" w:hAnsi="宋体" w:eastAsia="宋体" w:cs="宋体"/>
          <w:color w:val="auto"/>
          <w:sz w:val="24"/>
          <w:szCs w:val="24"/>
          <w:highlight w:val="none"/>
        </w:rPr>
        <w:t>本期工程采用地锚混凝土式基础，地脚螺栓上端为螺纹，下端为夹角小于60°的折弯，地脚螺栓焊接在下法兰盘上。混凝土的配比和最小水泥用量符合《普通混凝土配合比设计规程》（JGJ55-2011）的规定。基础的浇注、混凝土强度等级应符合 GB50204-2015的要求。基础混凝土标号不低于C30。为防止积水现象，预埋件法兰低于周围地面 50～80mm 或高出周围地面 100～300mm。</w:t>
      </w:r>
    </w:p>
    <w:p w14:paraId="640DD2F0">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在杆件安装前，为防止预埋件地脚螺栓法兰盘以上的螺纹被损坏，应对预埋件地脚螺栓法兰盘以上的螺纹进行紧密包扎。采用立杆吊装的方式进行立杆，在安装杆件时保证杆体垂直，垂直误差不应超过 10mm。基础位置确保基础及安装后杆件不侵入机动车道建筑界限以内。</w:t>
      </w:r>
    </w:p>
    <w:p w14:paraId="7ECBC0B0">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36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设备机箱及配套设施要求</w:t>
      </w:r>
    </w:p>
    <w:p w14:paraId="1691AED4">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color w:val="auto"/>
          <w:sz w:val="24"/>
          <w:szCs w:val="24"/>
          <w:highlight w:val="none"/>
        </w:rPr>
        <w:t>本次新建前端点位配备前端设备机箱，考虑到本次前端点位的具体安装位置，存在现场高温、高湿、高腐蚀、高盐雾等环境特点，传统监控设备机箱采用的光传输设备、网络交换设备、电源设备、防雷设备等众多零散设备连接组装，存在着防护能力差、多点故障等问题。本次建设项目选用的智能机箱，需采用具备集成化、智能化特点的智能机箱。用于箱体的金属材料应具备抵抗腐蚀、防酸雨能力，监控箱 结构为露天环境使用，应具有良好的防水、防尘、散热、防盗、防曝晒、防虫害等能力。箱体表面按业主要求喷涂相关标识并预留编号牌安装位置。</w:t>
      </w:r>
    </w:p>
    <w:p w14:paraId="01F29285">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监控类机箱主要安装方式为杆装，相应的机箱与立杆应做好对接接口，便于安装。</w:t>
      </w:r>
    </w:p>
    <w:p w14:paraId="0FC7BEC6">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24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杆件防雷接地要求</w:t>
      </w:r>
    </w:p>
    <w:p w14:paraId="49F8CD12">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00"/>
          <w:lang w:val="en-US" w:eastAsia="zh-CN"/>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立杆防雷接地</w:t>
      </w:r>
    </w:p>
    <w:p w14:paraId="0180D8F7">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本方案防雷设计严格执行国家的有关标准和规范，立杆防雷接地电阻≦10Ω。</w:t>
      </w:r>
    </w:p>
    <w:p w14:paraId="345D0C19">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地网布置依据地形进行设计。立杆的基础由钢筋网加混凝土构成，首先用四根Ф12毫米的钢管或50×50×4mm的角钢作为接地极，同时用镀锌扁钢把四根接地极焊接形成接地网的一部分，再此接地网与法兰盘进行焊接，钢管或角钢需经过热镀锌工艺处理，以增加抗腐性能和提高其导电性能。</w:t>
      </w:r>
    </w:p>
    <w:p w14:paraId="2F0C4461">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当土壤电阻率太高而不能满足要求时，应采用接地网来降低接地电阻。</w:t>
      </w:r>
    </w:p>
    <w:p w14:paraId="76ED9837">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color w:val="auto"/>
          <w:sz w:val="24"/>
          <w:szCs w:val="24"/>
          <w:highlight w:val="none"/>
        </w:rPr>
        <w:t>前端设备防雷</w:t>
      </w:r>
    </w:p>
    <w:p w14:paraId="4BE99DBB">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保护摄像机不受到直接雷击而在立杆上设计安装避雷针，避雷针采用不小于φ12㎜的镀锌圆钢，并和立杆一次成型。</w:t>
      </w:r>
    </w:p>
    <w:p w14:paraId="49FA06B4">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设备箱内我们对电源、信号线及控制线路安装相应的防感应雷措施，型号选用合格名牌避雷器。为避免在现场产生感应雷高电位闪络放电和雷电波磁场而损坏设备，在安装现场所有的信号线路做屏蔽等电位接地处理。</w:t>
      </w:r>
    </w:p>
    <w:p w14:paraId="10791B3A">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前端摄像机的视频信号、控制信号、网络信号加装信号避雷器。每个监控点设备箱电源进线做好电源避雷。</w:t>
      </w:r>
    </w:p>
    <w:p w14:paraId="1D36CA78">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前端摄像机电源使用AC24V或DC12V，由变压器供电的，单相电源避雷器串联或并联在变压器前端，如直流电源传输距离大于15米，则摄像机端还应串接低压直流避雷器。</w:t>
      </w:r>
    </w:p>
    <w:p w14:paraId="262CA57A">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考虑到摄像头大部分是室外裸露安装，容易受到直击雷的影响。本项目应选用C级电源浪涌保护器，除了能够防止间接雷8/20μs的能力，还具备防止直击雷10/350μs的能力。</w:t>
      </w:r>
    </w:p>
    <w:p w14:paraId="119CF281">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36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供电要求</w:t>
      </w:r>
    </w:p>
    <w:p w14:paraId="1D38C092">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fill="FFFF00"/>
          <w:lang w:val="en-US" w:eastAsia="zh-CN"/>
        </w:rPr>
        <w:t>1.</w:t>
      </w:r>
      <w:r>
        <w:rPr>
          <w:rFonts w:hint="eastAsia" w:ascii="宋体" w:hAnsi="宋体" w:eastAsia="宋体" w:cs="宋体"/>
          <w:color w:val="auto"/>
          <w:sz w:val="24"/>
          <w:szCs w:val="24"/>
          <w:highlight w:val="none"/>
        </w:rPr>
        <w:t>前端取电由电力部门负责提供已开户的电表，承建单位负责由电表后线路敷设至前端设备。</w:t>
      </w:r>
    </w:p>
    <w:p w14:paraId="615F6A46">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前端监控点位采用直联取电的供电方式，取电点配置电表，监控杆配置二合一防雷器，监控杆应做接地处理，采用黄色ZA-RVV 1×16mm²地线，监控杆接地电阻不得大于10欧姆。</w:t>
      </w:r>
    </w:p>
    <w:p w14:paraId="70CC88B0">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系统前端设备视工程实际情况，采用就近供电，重要点位可选配相应的备用电源装置。</w:t>
      </w:r>
    </w:p>
    <w:p w14:paraId="5DBD6CEC">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在前端设备的安装位置附近就近接取电源，适用于本次建设较分散的前端监控点供电。</w:t>
      </w:r>
    </w:p>
    <w:p w14:paraId="7B1C00A2">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在取电点、监控点位处设置接线井，从取电点到监控点位每50米需增加1个接线井，如遇过路，转弯需增设接线井。</w:t>
      </w:r>
    </w:p>
    <w:p w14:paraId="59729AFE">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取电点到监控点位的供电方式根据现场实际情况确定，尽量采用地下走线方式，通过管沟敷设，对于个别不适合开挖管沟的点位，可采用架空线缆的方式。</w:t>
      </w:r>
    </w:p>
    <w:p w14:paraId="52725638">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36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取网要求</w:t>
      </w:r>
    </w:p>
    <w:p w14:paraId="7797210E">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color w:val="auto"/>
          <w:sz w:val="24"/>
          <w:szCs w:val="24"/>
          <w:highlight w:val="none"/>
        </w:rPr>
        <w:t>本项目中的网络链路敷设主要由运营商负责。</w:t>
      </w:r>
    </w:p>
    <w:p w14:paraId="3EA0C871">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工作界面的划分为：运营商负责将网络链路敷设至监控点位的设备机箱，本项目承建单位负责由设备机箱至监控设备的网线连接。承建单位需考虑运营商线路自手井至设备机箱的走线空间。</w:t>
      </w:r>
    </w:p>
    <w:p w14:paraId="6C2BDD8F">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36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线缆选型与敷设要求</w:t>
      </w:r>
    </w:p>
    <w:p w14:paraId="28B4A5F8">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shd w:val="clear" w:fill="FFFF00"/>
          <w:lang w:val="en-US" w:eastAsia="zh-CN"/>
        </w:rPr>
        <w:t xml:space="preserve"> 1.</w:t>
      </w:r>
      <w:r>
        <w:rPr>
          <w:rFonts w:hint="eastAsia" w:ascii="宋体" w:hAnsi="宋体" w:eastAsia="宋体" w:cs="宋体"/>
          <w:b/>
          <w:bCs/>
          <w:color w:val="auto"/>
          <w:sz w:val="24"/>
          <w:szCs w:val="24"/>
          <w:highlight w:val="none"/>
        </w:rPr>
        <w:t>供电电缆</w:t>
      </w:r>
    </w:p>
    <w:p w14:paraId="4E1FC443">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从取电点至监控点位供电用的主供电源线需采用铜芯阻燃交联聚乙烯绝缘聚氯乙烯护套电力电缆，线径不小于4×6.0mm²,落地柜至设备箱进行供电的分支电源线需采用铜芯阻燃交联聚乙烯绝缘聚氯乙烯护套电力电缆，线径3×2.5mm²，上杆对监控设备进行供电的分支电源线需采用铜芯阻燃交联聚乙烯绝缘聚氯乙烯护套电力电缆，线径2×1.5mm²；通信光纤由运营商负责从前端基站接入；摄像机至设备机箱内交换机采用室外六类屏蔽网线连接。</w:t>
      </w:r>
    </w:p>
    <w:p w14:paraId="1A9137E4">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对于线缆的敷设采用穿管保护、挖沟直埋方式进行敷设。主供电源线保护线管采用PE32管。管与管的接头处使用套管固定，每隔小于3米处进行固定。</w:t>
      </w:r>
    </w:p>
    <w:p w14:paraId="51191F67">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 2.</w:t>
      </w:r>
      <w:r>
        <w:rPr>
          <w:rFonts w:hint="eastAsia" w:ascii="宋体" w:hAnsi="宋体" w:eastAsia="宋体" w:cs="宋体"/>
          <w:b/>
          <w:bCs/>
          <w:color w:val="auto"/>
          <w:sz w:val="24"/>
          <w:szCs w:val="24"/>
          <w:highlight w:val="none"/>
        </w:rPr>
        <w:t>交通信号控制电缆</w:t>
      </w:r>
    </w:p>
    <w:p w14:paraId="27EB3DB5">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、符合国家相关行业技术标准;</w:t>
      </w:r>
    </w:p>
    <w:p w14:paraId="38F88B8D">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、信号灯至控制箱采用铠装4芯×l.5mm2 、8芯×l.5mm2或14芯×l.5mm2铜芯控制电缆（每芯截面不得小于l.5mm2下同）；原则上主干线路采用14芯电缆，支线采用4芯或8芯电缆。且保证每个方向至少有2~3股备用芯线。</w:t>
      </w:r>
    </w:p>
    <w:p w14:paraId="1B20676C">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、市电开关至控制机箱的电缆采用铠装4芯×4mm2或4芯×6mm2铜芯电力电缆（根据现场情况和取电距离确定，供电电压须稳定在220V至240V之间）；</w:t>
      </w:r>
    </w:p>
    <w:p w14:paraId="3B492DBD">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、信号控制机、灯杆安全接地。要求控制机及所有灯杆共地，接地电阻不大于10Ω。</w:t>
      </w:r>
    </w:p>
    <w:p w14:paraId="60DEF154">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、信号灯控制线接入控制机箱时必须用标签标明对应方向、对应流向及对应灯色。</w:t>
      </w:r>
    </w:p>
    <w:p w14:paraId="0CE7B387">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、信号机箱至电源电表段的电源线线路走向必须标识，特别是拐角处地表要喷涂明显的指向标识。</w:t>
      </w:r>
    </w:p>
    <w:p w14:paraId="231EA813">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0" w:after="326" w:afterLines="100" w:line="36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手井及管沟敷设要求</w:t>
      </w:r>
    </w:p>
    <w:p w14:paraId="7D8DFBF8">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1.手</w:t>
      </w:r>
      <w:r>
        <w:rPr>
          <w:rFonts w:hint="eastAsia" w:ascii="宋体" w:hAnsi="宋体" w:eastAsia="宋体" w:cs="宋体"/>
          <w:color w:val="auto"/>
          <w:sz w:val="24"/>
          <w:szCs w:val="24"/>
          <w:highlight w:val="none"/>
        </w:rPr>
        <w:t>井技术规范</w:t>
      </w:r>
    </w:p>
    <w:p w14:paraId="62D48BCA">
      <w:pPr>
        <w:pStyle w:val="6"/>
        <w:pageBreakBefore w:val="0"/>
        <w:widowControl/>
        <w:shd w:val="clear"/>
        <w:kinsoku/>
        <w:wordWrap/>
        <w:overflowPunct/>
        <w:topLinePunct w:val="0"/>
        <w:autoSpaceDE w:val="0"/>
        <w:autoSpaceDN w:val="0"/>
        <w:bidi w:val="0"/>
        <w:adjustRightInd w:val="0"/>
        <w:snapToGrid w:val="0"/>
        <w:spacing w:line="360" w:lineRule="auto"/>
        <w:ind w:left="480"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在取电点、监控点位处设置手井，从取电点到监控点位每50米需增加1个手井，如遇过路，转弯需增设手井。</w:t>
      </w:r>
    </w:p>
    <w:p w14:paraId="7D12D921">
      <w:pPr>
        <w:pageBreakBefore w:val="0"/>
        <w:widowControl/>
        <w:shd w:val="clear"/>
        <w:kinsoku/>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color w:val="auto"/>
          <w:sz w:val="24"/>
          <w:szCs w:val="24"/>
          <w:highlight w:val="none"/>
        </w:rPr>
        <w:t>本工程的管道敷设涉及：绿化、水泥路面。</w:t>
      </w:r>
    </w:p>
    <w:p w14:paraId="14EEE2DC">
      <w:pPr>
        <w:pageBreakBefore w:val="0"/>
        <w:widowControl/>
        <w:shd w:val="clear"/>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绿化带、水泥路面开挖深度不少于60cm深，特殊路段不足深度须采用水泥包封的方式对管线进行保护，在管道端口处使用防鼠护套。管道施工路面恢复材料与道路建设材料一致，恢复后施工作业面平整度与路面平整度保持一致。</w:t>
      </w:r>
    </w:p>
    <w:p w14:paraId="052EDD56">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start="1"/>
          <w:cols w:space="720" w:num="1"/>
          <w:docGrid w:type="lines" w:linePitch="326" w:charSpace="0"/>
        </w:sectPr>
      </w:pPr>
    </w:p>
    <w:p w14:paraId="4615F21B">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240" w:afterLines="100" w:line="240" w:lineRule="auto"/>
        <w:textAlignment w:val="baseline"/>
        <w:rPr>
          <w:rFonts w:hint="eastAsia" w:ascii="宋体" w:hAnsi="宋体" w:eastAsia="宋体" w:cs="宋体"/>
          <w:color w:val="auto"/>
          <w:spacing w:val="-4"/>
          <w:sz w:val="28"/>
          <w:szCs w:val="28"/>
          <w:highlight w:val="none"/>
          <w:lang w:val="zh-CN"/>
        </w:rPr>
      </w:pPr>
      <w:bookmarkStart w:id="363" w:name="_Toc22138"/>
      <w:r>
        <w:rPr>
          <w:rFonts w:hint="eastAsia" w:ascii="宋体" w:hAnsi="宋体" w:eastAsia="宋体" w:cs="宋体"/>
          <w:color w:val="auto"/>
          <w:spacing w:val="-4"/>
          <w:sz w:val="28"/>
          <w:szCs w:val="28"/>
          <w:highlight w:val="none"/>
        </w:rPr>
        <w:t>采购</w:t>
      </w:r>
      <w:r>
        <w:rPr>
          <w:rFonts w:hint="eastAsia" w:ascii="宋体" w:hAnsi="宋体" w:eastAsia="宋体" w:cs="宋体"/>
          <w:color w:val="auto"/>
          <w:spacing w:val="-4"/>
          <w:sz w:val="28"/>
          <w:szCs w:val="28"/>
          <w:highlight w:val="none"/>
          <w:lang w:val="zh-CN"/>
        </w:rPr>
        <w:t>清单</w:t>
      </w:r>
      <w:bookmarkEnd w:id="363"/>
    </w:p>
    <w:p w14:paraId="0E3E192B">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color w:val="auto"/>
          <w:spacing w:val="-4"/>
          <w:sz w:val="28"/>
          <w:szCs w:val="28"/>
          <w:highlight w:val="none"/>
        </w:rPr>
      </w:pPr>
      <w:bookmarkStart w:id="364" w:name="_Ref28751"/>
      <w:r>
        <w:rPr>
          <w:rFonts w:hint="eastAsia" w:ascii="宋体" w:hAnsi="宋体" w:eastAsia="宋体" w:cs="宋体"/>
          <w:b/>
          <w:bCs/>
          <w:color w:val="auto"/>
          <w:spacing w:val="-4"/>
          <w:sz w:val="28"/>
          <w:szCs w:val="28"/>
          <w:highlight w:val="none"/>
        </w:rPr>
        <w:t>软硬件采购清单</w:t>
      </w:r>
      <w:bookmarkEnd w:id="364"/>
    </w:p>
    <w:tbl>
      <w:tblPr>
        <w:tblStyle w:val="11"/>
        <w:tblW w:w="5048" w:type="pct"/>
        <w:tblInd w:w="-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1045"/>
        <w:gridCol w:w="5075"/>
        <w:gridCol w:w="600"/>
        <w:gridCol w:w="636"/>
        <w:gridCol w:w="547"/>
      </w:tblGrid>
      <w:tr w14:paraId="7F27D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07" w:type="pct"/>
            <w:vMerge w:val="restart"/>
            <w:noWrap w:val="0"/>
            <w:vAlign w:val="center"/>
          </w:tcPr>
          <w:p w14:paraId="30CFBB66">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snapToGrid w:val="0"/>
                <w:color w:val="auto"/>
                <w:sz w:val="21"/>
                <w:szCs w:val="21"/>
                <w:highlight w:val="none"/>
                <w:lang w:bidi="ar"/>
              </w:rPr>
              <w:t>序号</w:t>
            </w:r>
          </w:p>
        </w:tc>
        <w:tc>
          <w:tcPr>
            <w:tcW w:w="607" w:type="pct"/>
            <w:vMerge w:val="restart"/>
            <w:noWrap w:val="0"/>
            <w:vAlign w:val="center"/>
          </w:tcPr>
          <w:p w14:paraId="45627A6A">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snapToGrid w:val="0"/>
                <w:color w:val="auto"/>
                <w:sz w:val="21"/>
                <w:szCs w:val="21"/>
                <w:highlight w:val="none"/>
                <w:lang w:bidi="ar"/>
              </w:rPr>
              <w:t>名称</w:t>
            </w:r>
          </w:p>
        </w:tc>
        <w:tc>
          <w:tcPr>
            <w:tcW w:w="2949" w:type="pct"/>
            <w:vMerge w:val="restart"/>
            <w:noWrap w:val="0"/>
            <w:vAlign w:val="center"/>
          </w:tcPr>
          <w:p w14:paraId="29F33A4E">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技术参数</w:t>
            </w:r>
          </w:p>
        </w:tc>
        <w:tc>
          <w:tcPr>
            <w:tcW w:w="348" w:type="pct"/>
            <w:vMerge w:val="restart"/>
            <w:noWrap w:val="0"/>
            <w:vAlign w:val="center"/>
          </w:tcPr>
          <w:p w14:paraId="2A3D0C0A">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snapToGrid w:val="0"/>
                <w:color w:val="auto"/>
                <w:sz w:val="21"/>
                <w:szCs w:val="21"/>
                <w:highlight w:val="none"/>
                <w:lang w:bidi="ar"/>
              </w:rPr>
              <w:t>单位</w:t>
            </w:r>
          </w:p>
        </w:tc>
        <w:tc>
          <w:tcPr>
            <w:tcW w:w="369" w:type="pct"/>
            <w:vMerge w:val="restart"/>
            <w:noWrap w:val="0"/>
            <w:vAlign w:val="center"/>
          </w:tcPr>
          <w:p w14:paraId="02ED8E16">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snapToGrid w:val="0"/>
                <w:color w:val="auto"/>
                <w:sz w:val="21"/>
                <w:szCs w:val="21"/>
                <w:highlight w:val="none"/>
                <w:lang w:bidi="ar"/>
              </w:rPr>
              <w:t>数量</w:t>
            </w:r>
          </w:p>
        </w:tc>
        <w:tc>
          <w:tcPr>
            <w:tcW w:w="317" w:type="pct"/>
            <w:vMerge w:val="restart"/>
            <w:noWrap w:val="0"/>
            <w:vAlign w:val="center"/>
          </w:tcPr>
          <w:p w14:paraId="772F550D">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snapToGrid w:val="0"/>
                <w:color w:val="auto"/>
                <w:sz w:val="21"/>
                <w:szCs w:val="21"/>
                <w:highlight w:val="none"/>
                <w:lang w:bidi="ar"/>
              </w:rPr>
              <w:t>备注</w:t>
            </w:r>
          </w:p>
        </w:tc>
      </w:tr>
      <w:tr w14:paraId="08DA5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07" w:type="pct"/>
            <w:vMerge w:val="continue"/>
            <w:noWrap w:val="0"/>
            <w:vAlign w:val="center"/>
          </w:tcPr>
          <w:p w14:paraId="28EBF4C4">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607" w:type="pct"/>
            <w:vMerge w:val="continue"/>
            <w:noWrap w:val="0"/>
            <w:vAlign w:val="center"/>
          </w:tcPr>
          <w:p w14:paraId="2DA1A82F">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2949" w:type="pct"/>
            <w:vMerge w:val="continue"/>
            <w:noWrap w:val="0"/>
            <w:vAlign w:val="center"/>
          </w:tcPr>
          <w:p w14:paraId="5A4E9058">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348" w:type="pct"/>
            <w:vMerge w:val="continue"/>
            <w:noWrap w:val="0"/>
            <w:vAlign w:val="center"/>
          </w:tcPr>
          <w:p w14:paraId="34A241F9">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369" w:type="pct"/>
            <w:vMerge w:val="continue"/>
            <w:noWrap w:val="0"/>
            <w:vAlign w:val="center"/>
          </w:tcPr>
          <w:p w14:paraId="5BAEEAB3">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317" w:type="pct"/>
            <w:vMerge w:val="continue"/>
            <w:noWrap w:val="0"/>
            <w:vAlign w:val="center"/>
          </w:tcPr>
          <w:p w14:paraId="5FD32D92">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r>
      <w:tr w14:paraId="4D116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07" w:type="pct"/>
            <w:vMerge w:val="continue"/>
            <w:noWrap w:val="0"/>
            <w:vAlign w:val="center"/>
          </w:tcPr>
          <w:p w14:paraId="30CAB2C9">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607" w:type="pct"/>
            <w:vMerge w:val="continue"/>
            <w:noWrap w:val="0"/>
            <w:vAlign w:val="center"/>
          </w:tcPr>
          <w:p w14:paraId="00267F9E">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2949" w:type="pct"/>
            <w:vMerge w:val="continue"/>
            <w:noWrap w:val="0"/>
            <w:vAlign w:val="center"/>
          </w:tcPr>
          <w:p w14:paraId="280B1CF9">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348" w:type="pct"/>
            <w:vMerge w:val="continue"/>
            <w:noWrap w:val="0"/>
            <w:vAlign w:val="center"/>
          </w:tcPr>
          <w:p w14:paraId="07CA281B">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369" w:type="pct"/>
            <w:vMerge w:val="continue"/>
            <w:noWrap w:val="0"/>
            <w:vAlign w:val="center"/>
          </w:tcPr>
          <w:p w14:paraId="127401F5">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317" w:type="pct"/>
            <w:vMerge w:val="continue"/>
            <w:noWrap w:val="0"/>
            <w:vAlign w:val="center"/>
          </w:tcPr>
          <w:p w14:paraId="1E105BD2">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r>
      <w:tr w14:paraId="69D9F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407" w:type="pct"/>
            <w:noWrap w:val="0"/>
            <w:vAlign w:val="center"/>
          </w:tcPr>
          <w:p w14:paraId="1EF2CC34">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snapToGrid w:val="0"/>
                <w:color w:val="auto"/>
                <w:sz w:val="21"/>
                <w:szCs w:val="21"/>
                <w:highlight w:val="none"/>
                <w:lang w:bidi="ar"/>
              </w:rPr>
              <w:t>一</w:t>
            </w:r>
          </w:p>
        </w:tc>
        <w:tc>
          <w:tcPr>
            <w:tcW w:w="3556" w:type="pct"/>
            <w:gridSpan w:val="2"/>
            <w:noWrap w:val="0"/>
            <w:vAlign w:val="center"/>
          </w:tcPr>
          <w:p w14:paraId="20F78ECE">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b/>
                <w:bCs/>
                <w:color w:val="auto"/>
                <w:sz w:val="21"/>
                <w:szCs w:val="21"/>
                <w:highlight w:val="none"/>
              </w:rPr>
            </w:pPr>
            <w:r>
              <w:rPr>
                <w:rFonts w:hint="eastAsia" w:ascii="宋体" w:hAnsi="宋体" w:eastAsia="宋体" w:cs="宋体"/>
                <w:b/>
                <w:bCs/>
                <w:snapToGrid w:val="0"/>
                <w:color w:val="auto"/>
                <w:sz w:val="21"/>
                <w:szCs w:val="21"/>
                <w:highlight w:val="none"/>
                <w:lang w:bidi="ar"/>
              </w:rPr>
              <w:t>交通信号控制、电子警察及测速卡口系统</w:t>
            </w:r>
          </w:p>
        </w:tc>
        <w:tc>
          <w:tcPr>
            <w:tcW w:w="348" w:type="pct"/>
            <w:noWrap w:val="0"/>
            <w:vAlign w:val="center"/>
          </w:tcPr>
          <w:p w14:paraId="73941E2B">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369" w:type="pct"/>
            <w:noWrap w:val="0"/>
            <w:vAlign w:val="center"/>
          </w:tcPr>
          <w:p w14:paraId="27B43A86">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317" w:type="pct"/>
            <w:noWrap w:val="0"/>
            <w:vAlign w:val="center"/>
          </w:tcPr>
          <w:p w14:paraId="578B3265">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r>
      <w:tr w14:paraId="5DB8F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308310D1">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snapToGrid w:val="0"/>
                <w:color w:val="auto"/>
                <w:sz w:val="21"/>
                <w:szCs w:val="21"/>
                <w:highlight w:val="none"/>
                <w:lang w:bidi="ar"/>
              </w:rPr>
              <w:t>1</w:t>
            </w:r>
          </w:p>
        </w:tc>
        <w:tc>
          <w:tcPr>
            <w:tcW w:w="607" w:type="pct"/>
            <w:noWrap w:val="0"/>
            <w:vAlign w:val="center"/>
          </w:tcPr>
          <w:p w14:paraId="51A8EE4A">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b/>
                <w:bCs/>
                <w:color w:val="auto"/>
                <w:sz w:val="21"/>
                <w:szCs w:val="21"/>
                <w:highlight w:val="none"/>
              </w:rPr>
            </w:pPr>
            <w:r>
              <w:rPr>
                <w:rFonts w:hint="eastAsia" w:ascii="宋体" w:hAnsi="宋体" w:eastAsia="宋体" w:cs="宋体"/>
                <w:b/>
                <w:bCs/>
                <w:snapToGrid w:val="0"/>
                <w:color w:val="auto"/>
                <w:sz w:val="21"/>
                <w:szCs w:val="21"/>
                <w:highlight w:val="none"/>
                <w:lang w:bidi="ar"/>
              </w:rPr>
              <w:t>拆除工程</w:t>
            </w:r>
          </w:p>
        </w:tc>
        <w:tc>
          <w:tcPr>
            <w:tcW w:w="2949" w:type="pct"/>
            <w:noWrap w:val="0"/>
            <w:vAlign w:val="center"/>
          </w:tcPr>
          <w:p w14:paraId="3F083903">
            <w:pPr>
              <w:pageBreakBefore w:val="0"/>
              <w:widowControl/>
              <w:numPr>
                <w:ilvl w:val="0"/>
                <w:numId w:val="1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拆除1个路口的交通信号控制及电子警察系统，5个点位的卡口测速系统，1个点位的治安监控系统</w:t>
            </w:r>
            <w:r>
              <w:rPr>
                <w:rFonts w:hint="eastAsia" w:ascii="宋体" w:hAnsi="宋体" w:eastAsia="宋体" w:cs="宋体"/>
                <w:snapToGrid w:val="0"/>
                <w:color w:val="auto"/>
                <w:sz w:val="21"/>
                <w:szCs w:val="21"/>
                <w:highlight w:val="none"/>
                <w:lang w:eastAsia="zh-CN" w:bidi="ar"/>
              </w:rPr>
              <w:t>；</w:t>
            </w:r>
          </w:p>
          <w:p w14:paraId="2CE29782">
            <w:pPr>
              <w:pageBreakBefore w:val="0"/>
              <w:widowControl/>
              <w:numPr>
                <w:ilvl w:val="0"/>
                <w:numId w:val="1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napToGrid w:val="0"/>
                <w:color w:val="auto"/>
                <w:sz w:val="21"/>
                <w:szCs w:val="21"/>
                <w:highlight w:val="none"/>
                <w:lang w:bidi="ar"/>
              </w:rPr>
              <w:t>包括设备杆件拆除、打包保护措施、运输、堆放</w:t>
            </w:r>
            <w:r>
              <w:rPr>
                <w:rFonts w:hint="eastAsia" w:ascii="宋体" w:hAnsi="宋体" w:eastAsia="宋体" w:cs="宋体"/>
                <w:snapToGrid w:val="0"/>
                <w:color w:val="auto"/>
                <w:sz w:val="21"/>
                <w:szCs w:val="21"/>
                <w:highlight w:val="none"/>
                <w:lang w:eastAsia="zh-CN" w:bidi="ar"/>
              </w:rPr>
              <w:t>。</w:t>
            </w:r>
          </w:p>
        </w:tc>
        <w:tc>
          <w:tcPr>
            <w:tcW w:w="348" w:type="pct"/>
            <w:noWrap w:val="0"/>
            <w:vAlign w:val="center"/>
          </w:tcPr>
          <w:p w14:paraId="56002A91">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项</w:t>
            </w:r>
          </w:p>
        </w:tc>
        <w:tc>
          <w:tcPr>
            <w:tcW w:w="369" w:type="pct"/>
            <w:noWrap w:val="0"/>
            <w:vAlign w:val="center"/>
          </w:tcPr>
          <w:p w14:paraId="4C808018">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1</w:t>
            </w:r>
          </w:p>
        </w:tc>
        <w:tc>
          <w:tcPr>
            <w:tcW w:w="317" w:type="pct"/>
            <w:noWrap w:val="0"/>
            <w:vAlign w:val="center"/>
          </w:tcPr>
          <w:p w14:paraId="061A25C2">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503B3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407" w:type="pct"/>
            <w:noWrap w:val="0"/>
            <w:vAlign w:val="center"/>
          </w:tcPr>
          <w:p w14:paraId="622545B6">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snapToGrid w:val="0"/>
                <w:color w:val="auto"/>
                <w:sz w:val="21"/>
                <w:szCs w:val="21"/>
                <w:highlight w:val="none"/>
                <w:lang w:bidi="ar"/>
              </w:rPr>
              <w:t>2</w:t>
            </w:r>
          </w:p>
        </w:tc>
        <w:tc>
          <w:tcPr>
            <w:tcW w:w="3556" w:type="pct"/>
            <w:gridSpan w:val="2"/>
            <w:noWrap w:val="0"/>
            <w:vAlign w:val="center"/>
          </w:tcPr>
          <w:p w14:paraId="78502FF6">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b/>
                <w:bCs/>
                <w:color w:val="auto"/>
                <w:sz w:val="21"/>
                <w:szCs w:val="21"/>
                <w:highlight w:val="none"/>
              </w:rPr>
            </w:pPr>
            <w:r>
              <w:rPr>
                <w:rFonts w:hint="eastAsia" w:ascii="宋体" w:hAnsi="宋体" w:eastAsia="宋体" w:cs="宋体"/>
                <w:b/>
                <w:bCs/>
                <w:snapToGrid w:val="0"/>
                <w:color w:val="auto"/>
                <w:sz w:val="21"/>
                <w:szCs w:val="21"/>
                <w:highlight w:val="none"/>
                <w:lang w:bidi="ar"/>
              </w:rPr>
              <w:t>交通信号控制系统</w:t>
            </w:r>
          </w:p>
        </w:tc>
        <w:tc>
          <w:tcPr>
            <w:tcW w:w="348" w:type="pct"/>
            <w:noWrap w:val="0"/>
            <w:vAlign w:val="center"/>
          </w:tcPr>
          <w:p w14:paraId="7C292B6F">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369" w:type="pct"/>
            <w:noWrap w:val="0"/>
            <w:vAlign w:val="center"/>
          </w:tcPr>
          <w:p w14:paraId="7A5887D5">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317" w:type="pct"/>
            <w:noWrap w:val="0"/>
            <w:vAlign w:val="center"/>
          </w:tcPr>
          <w:p w14:paraId="23567E6A">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r>
      <w:tr w14:paraId="6EC5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6EDF4263">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2.1</w:t>
            </w:r>
          </w:p>
        </w:tc>
        <w:tc>
          <w:tcPr>
            <w:tcW w:w="607" w:type="pct"/>
            <w:noWrap w:val="0"/>
            <w:vAlign w:val="center"/>
          </w:tcPr>
          <w:p w14:paraId="096B2795">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道路交通信号控制机</w:t>
            </w:r>
          </w:p>
        </w:tc>
        <w:tc>
          <w:tcPr>
            <w:tcW w:w="2949" w:type="pct"/>
            <w:noWrap w:val="0"/>
            <w:vAlign w:val="center"/>
          </w:tcPr>
          <w:p w14:paraId="08EF2E09">
            <w:pPr>
              <w:pageBreakBefore w:val="0"/>
              <w:widowControl/>
              <w:numPr>
                <w:ilvl w:val="0"/>
                <w:numId w:val="1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相位：支持不少于64个相位</w:t>
            </w:r>
          </w:p>
          <w:p w14:paraId="2B8FF90D">
            <w:pPr>
              <w:pageBreakBefore w:val="0"/>
              <w:widowControl/>
              <w:numPr>
                <w:ilvl w:val="0"/>
                <w:numId w:val="1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val="en-US" w:eastAsia="zh-CN" w:bidi="ar"/>
              </w:rPr>
              <w:t>不少于1个</w:t>
            </w:r>
            <w:r>
              <w:rPr>
                <w:rFonts w:hint="eastAsia" w:ascii="宋体" w:hAnsi="宋体" w:eastAsia="宋体" w:cs="宋体"/>
                <w:snapToGrid w:val="0"/>
                <w:color w:val="auto"/>
                <w:sz w:val="21"/>
                <w:szCs w:val="21"/>
                <w:highlight w:val="none"/>
                <w:lang w:bidi="ar"/>
              </w:rPr>
              <w:t>RJ45 10M/100M自适应以太网口</w:t>
            </w:r>
          </w:p>
          <w:p w14:paraId="71B3B1EA">
            <w:pPr>
              <w:pageBreakBefore w:val="0"/>
              <w:widowControl/>
              <w:numPr>
                <w:ilvl w:val="0"/>
                <w:numId w:val="1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灯控输出路数：不少于44路，最大可扩展至不少于55路</w:t>
            </w:r>
          </w:p>
          <w:p w14:paraId="22F32668">
            <w:pPr>
              <w:pageBreakBefore w:val="0"/>
              <w:widowControl/>
              <w:numPr>
                <w:ilvl w:val="0"/>
                <w:numId w:val="1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支持接入视频车检器并接收数据，可按固定间隔或信控周期获取每个车道的流量、平均车速、平均车头时距、时间占有率、排队长度数据；</w:t>
            </w:r>
          </w:p>
          <w:p w14:paraId="30FDDB3F">
            <w:pPr>
              <w:pageBreakBefore w:val="0"/>
              <w:widowControl/>
              <w:numPr>
                <w:ilvl w:val="0"/>
                <w:numId w:val="1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支持无缆线绿波协调控制功能，可利用信号机自身的时钟、通过设定相位差实现不同路口之间的离线协调，且支持自动按照时间段切换协调方案；</w:t>
            </w:r>
          </w:p>
          <w:p w14:paraId="76CA6DD3">
            <w:pPr>
              <w:pageBreakBefore w:val="0"/>
              <w:widowControl/>
              <w:numPr>
                <w:ilvl w:val="0"/>
                <w:numId w:val="1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支持自适应感应控制，在自适应感应控制方案中，动态调整最大绿时长；</w:t>
            </w:r>
          </w:p>
          <w:p w14:paraId="464B9970">
            <w:pPr>
              <w:pageBreakBefore w:val="0"/>
              <w:widowControl/>
              <w:numPr>
                <w:ilvl w:val="0"/>
                <w:numId w:val="1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highlight w:val="none"/>
                <w:lang w:val="en-US" w:eastAsia="zh-CN"/>
              </w:rPr>
              <w:t>可</w:t>
            </w:r>
            <w:r>
              <w:rPr>
                <w:rFonts w:hint="eastAsia" w:ascii="宋体" w:hAnsi="宋体" w:eastAsia="宋体" w:cs="宋体"/>
                <w:color w:val="auto"/>
                <w:highlight w:val="none"/>
              </w:rPr>
              <w:t>通过手动面板、信号机配置客户端或无线遥控器等方式可进行手动控制，执行相位转换、应急的黄闪、全红和步进等控制指令</w:t>
            </w:r>
          </w:p>
          <w:p w14:paraId="5FF2F5C2">
            <w:pPr>
              <w:pageBreakBefore w:val="0"/>
              <w:widowControl/>
              <w:numPr>
                <w:ilvl w:val="0"/>
                <w:numId w:val="1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具备闪光控制方式，应针对各信号源对应的通道按照预先设定的闪光模式和一定的频率进行闪光。</w:t>
            </w:r>
          </w:p>
          <w:p w14:paraId="2E369BE2">
            <w:pPr>
              <w:pageBreakBefore w:val="0"/>
              <w:widowControl/>
              <w:numPr>
                <w:ilvl w:val="0"/>
                <w:numId w:val="1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具备全红控制方式，针对各信号源对应的通道输出红灯信号。</w:t>
            </w:r>
          </w:p>
          <w:p w14:paraId="3946C00E">
            <w:pPr>
              <w:pageBreakBefore w:val="0"/>
              <w:widowControl/>
              <w:numPr>
                <w:ilvl w:val="0"/>
                <w:numId w:val="1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具备关灯控制方式，针对各信号源对应的通道无信号输出，各信号灯组表现为关灯。</w:t>
            </w:r>
          </w:p>
          <w:p w14:paraId="2513E817">
            <w:pPr>
              <w:pageBreakBefore w:val="0"/>
              <w:widowControl/>
              <w:numPr>
                <w:ilvl w:val="0"/>
                <w:numId w:val="1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含箱体。机柜柜门正中应喷涂“公安交通专用”及“高压危险”字样及图标用于警示。</w:t>
            </w:r>
          </w:p>
          <w:p w14:paraId="25717EFB">
            <w:pPr>
              <w:pageBreakBefore w:val="0"/>
              <w:widowControl/>
              <w:numPr>
                <w:ilvl w:val="0"/>
                <w:numId w:val="1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val="en-US" w:eastAsia="zh-CN" w:bidi="ar"/>
              </w:rPr>
              <w:t>符合GB25280-2016《道路交通信号控制机》标准</w:t>
            </w:r>
          </w:p>
          <w:p w14:paraId="6EE1D7E4">
            <w:pPr>
              <w:pageBreakBefore w:val="0"/>
              <w:widowControl/>
              <w:numPr>
                <w:ilvl w:val="0"/>
                <w:numId w:val="1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采用与定安县公安局交通管理大队现有交通信号控制系统和规划布局完全兼容的交通信号控制机，并能接入交警信控平台，实现联网协调控制。</w:t>
            </w:r>
          </w:p>
        </w:tc>
        <w:tc>
          <w:tcPr>
            <w:tcW w:w="348" w:type="pct"/>
            <w:noWrap w:val="0"/>
            <w:vAlign w:val="center"/>
          </w:tcPr>
          <w:p w14:paraId="15C2376D">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台</w:t>
            </w:r>
          </w:p>
        </w:tc>
        <w:tc>
          <w:tcPr>
            <w:tcW w:w="369" w:type="pct"/>
            <w:noWrap w:val="0"/>
            <w:vAlign w:val="center"/>
          </w:tcPr>
          <w:p w14:paraId="699DBD0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6</w:t>
            </w:r>
          </w:p>
        </w:tc>
        <w:tc>
          <w:tcPr>
            <w:tcW w:w="317" w:type="pct"/>
            <w:noWrap w:val="0"/>
            <w:vAlign w:val="center"/>
          </w:tcPr>
          <w:p w14:paraId="19590DEE">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硬件设备</w:t>
            </w:r>
          </w:p>
        </w:tc>
      </w:tr>
      <w:tr w14:paraId="24FFF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46F524E0">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2.2</w:t>
            </w:r>
          </w:p>
        </w:tc>
        <w:tc>
          <w:tcPr>
            <w:tcW w:w="607" w:type="pct"/>
            <w:noWrap w:val="0"/>
            <w:vAlign w:val="center"/>
          </w:tcPr>
          <w:p w14:paraId="19E6EBD0">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雷视一体机</w:t>
            </w:r>
          </w:p>
        </w:tc>
        <w:tc>
          <w:tcPr>
            <w:tcW w:w="2949" w:type="pct"/>
            <w:noWrap w:val="0"/>
            <w:vAlign w:val="center"/>
          </w:tcPr>
          <w:p w14:paraId="60F1C619">
            <w:pPr>
              <w:pageBreakBefore w:val="0"/>
              <w:widowControl/>
              <w:numPr>
                <w:ilvl w:val="0"/>
                <w:numId w:val="1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高精度毫米波雷达 &amp; 400万低照度摄像机。</w:t>
            </w:r>
          </w:p>
          <w:p w14:paraId="5695BB62">
            <w:pPr>
              <w:pageBreakBefore w:val="0"/>
              <w:widowControl/>
              <w:numPr>
                <w:ilvl w:val="0"/>
                <w:numId w:val="1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支持全天候环境下工作，不受雨、雾、大风、灰尘、光照等影响。</w:t>
            </w:r>
          </w:p>
          <w:p w14:paraId="1F1CD42F">
            <w:pPr>
              <w:pageBreakBefore w:val="0"/>
              <w:widowControl/>
              <w:numPr>
                <w:ilvl w:val="0"/>
                <w:numId w:val="1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支持多目标的位置，车道，速度、方向等信息检测。</w:t>
            </w:r>
          </w:p>
          <w:p w14:paraId="6B908903">
            <w:pPr>
              <w:pageBreakBefore w:val="0"/>
              <w:widowControl/>
              <w:numPr>
                <w:ilvl w:val="0"/>
                <w:numId w:val="1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支持分车道统计，车流量、速度、状态、队列、时距、间距、区域停车数、平均延误、空间占有率以及时间占有率数据，支持1-3600秒统计上传。</w:t>
            </w:r>
          </w:p>
          <w:p w14:paraId="23DEC2DE">
            <w:pPr>
              <w:pageBreakBefore w:val="0"/>
              <w:widowControl/>
              <w:numPr>
                <w:ilvl w:val="0"/>
                <w:numId w:val="1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支持交通评价数据输出，包括拥堵、排队长度等。</w:t>
            </w:r>
          </w:p>
          <w:p w14:paraId="3ABDE294">
            <w:pPr>
              <w:pageBreakBefore w:val="0"/>
              <w:widowControl/>
              <w:numPr>
                <w:ilvl w:val="0"/>
                <w:numId w:val="1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目标检测功能检验：可对双向最多</w:t>
            </w:r>
            <w:r>
              <w:rPr>
                <w:rFonts w:hint="eastAsia" w:ascii="宋体" w:hAnsi="宋体" w:eastAsia="宋体" w:cs="宋体"/>
                <w:snapToGrid w:val="0"/>
                <w:color w:val="auto"/>
                <w:sz w:val="21"/>
                <w:szCs w:val="21"/>
                <w:highlight w:val="none"/>
                <w:lang w:val="en-US" w:eastAsia="zh-CN" w:bidi="ar"/>
              </w:rPr>
              <w:t>不少于</w:t>
            </w:r>
            <w:r>
              <w:rPr>
                <w:rFonts w:hint="eastAsia" w:ascii="宋体" w:hAnsi="宋体" w:eastAsia="宋体" w:cs="宋体"/>
                <w:snapToGrid w:val="0"/>
                <w:color w:val="auto"/>
                <w:sz w:val="21"/>
                <w:szCs w:val="21"/>
                <w:highlight w:val="none"/>
                <w:lang w:bidi="ar"/>
              </w:rPr>
              <w:t>8车道的128个移动目标（人、车）进行检测并框选跟踪，纵向检测长度≧200m。</w:t>
            </w:r>
          </w:p>
          <w:p w14:paraId="0A31C96E">
            <w:pPr>
              <w:pageBreakBefore w:val="0"/>
              <w:widowControl/>
              <w:numPr>
                <w:ilvl w:val="0"/>
                <w:numId w:val="1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雷达数据列表显示功能检查：雷达数据列表可显示编号(ID)、位置坐标、车道号、速度、航向角、经纬度、角度等，可设置某个ID的信息置顶显示。</w:t>
            </w:r>
          </w:p>
          <w:p w14:paraId="38960FF7">
            <w:pPr>
              <w:pageBreakBefore w:val="0"/>
              <w:widowControl/>
              <w:numPr>
                <w:ilvl w:val="0"/>
                <w:numId w:val="1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目标跟踪功能检查：视频预览画面内可叠加车辆跟踪框，实时显示每个目标的运行情况，包含车牌号码、速度、车型、位置坐标。</w:t>
            </w:r>
          </w:p>
          <w:p w14:paraId="37299202">
            <w:pPr>
              <w:pageBreakBefore w:val="0"/>
              <w:widowControl/>
              <w:numPr>
                <w:ilvl w:val="0"/>
                <w:numId w:val="1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检测目标数量试验：支持对不少于260个车辆目标进行检测，可对车辆目标进行轨迹跟踪。</w:t>
            </w:r>
          </w:p>
          <w:p w14:paraId="6EC8AD64">
            <w:pPr>
              <w:pageBreakBefore w:val="0"/>
              <w:widowControl/>
              <w:numPr>
                <w:ilvl w:val="0"/>
                <w:numId w:val="1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检测器宜支持网络时间协议（NTP）或精确时间协议（PTP）时间同步功能，从外部时间同步系统获得授时，时间同步误差不大于10ms；</w:t>
            </w:r>
          </w:p>
          <w:p w14:paraId="0922E8D6">
            <w:pPr>
              <w:pageBreakBefore w:val="0"/>
              <w:widowControl/>
              <w:numPr>
                <w:ilvl w:val="0"/>
                <w:numId w:val="1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距离检测精度功能检查：距离检测精度0.25米。</w:t>
            </w:r>
          </w:p>
        </w:tc>
        <w:tc>
          <w:tcPr>
            <w:tcW w:w="348" w:type="pct"/>
            <w:noWrap w:val="0"/>
            <w:vAlign w:val="center"/>
          </w:tcPr>
          <w:p w14:paraId="2D9CE8B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台</w:t>
            </w:r>
          </w:p>
        </w:tc>
        <w:tc>
          <w:tcPr>
            <w:tcW w:w="369" w:type="pct"/>
            <w:noWrap w:val="0"/>
            <w:vAlign w:val="center"/>
          </w:tcPr>
          <w:p w14:paraId="39CD57D1">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24</w:t>
            </w:r>
          </w:p>
        </w:tc>
        <w:tc>
          <w:tcPr>
            <w:tcW w:w="317" w:type="pct"/>
            <w:noWrap w:val="0"/>
            <w:vAlign w:val="center"/>
          </w:tcPr>
          <w:p w14:paraId="74357A28">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硬件设备</w:t>
            </w:r>
          </w:p>
        </w:tc>
      </w:tr>
      <w:tr w14:paraId="2BEB3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0EA58FE9">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2.3</w:t>
            </w:r>
          </w:p>
        </w:tc>
        <w:tc>
          <w:tcPr>
            <w:tcW w:w="607" w:type="pct"/>
            <w:noWrap w:val="0"/>
            <w:vAlign w:val="center"/>
          </w:tcPr>
          <w:p w14:paraId="50778EEE">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雷视一体机配套线缆敷设</w:t>
            </w:r>
          </w:p>
        </w:tc>
        <w:tc>
          <w:tcPr>
            <w:tcW w:w="2949" w:type="pct"/>
            <w:noWrap w:val="0"/>
            <w:vAlign w:val="center"/>
          </w:tcPr>
          <w:p w14:paraId="2FB40E6D">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val="en-US" w:eastAsia="zh-CN" w:bidi="ar"/>
              </w:rPr>
              <w:t>1.</w:t>
            </w:r>
            <w:r>
              <w:rPr>
                <w:rFonts w:hint="eastAsia" w:ascii="宋体" w:hAnsi="宋体" w:eastAsia="宋体" w:cs="宋体"/>
                <w:snapToGrid w:val="0"/>
                <w:color w:val="auto"/>
                <w:sz w:val="21"/>
                <w:szCs w:val="21"/>
                <w:highlight w:val="none"/>
                <w:lang w:bidi="ar"/>
              </w:rPr>
              <w:t>雷视一体机配套线缆敷设，含电源线、网线、光缆</w:t>
            </w:r>
          </w:p>
        </w:tc>
        <w:tc>
          <w:tcPr>
            <w:tcW w:w="348" w:type="pct"/>
            <w:noWrap w:val="0"/>
            <w:vAlign w:val="center"/>
          </w:tcPr>
          <w:p w14:paraId="6987BBB9">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项</w:t>
            </w:r>
          </w:p>
        </w:tc>
        <w:tc>
          <w:tcPr>
            <w:tcW w:w="369" w:type="pct"/>
            <w:noWrap w:val="0"/>
            <w:vAlign w:val="center"/>
          </w:tcPr>
          <w:p w14:paraId="65E92B22">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24</w:t>
            </w:r>
          </w:p>
        </w:tc>
        <w:tc>
          <w:tcPr>
            <w:tcW w:w="317" w:type="pct"/>
            <w:noWrap w:val="0"/>
            <w:vAlign w:val="center"/>
          </w:tcPr>
          <w:p w14:paraId="26048047">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56403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44738706">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2.4</w:t>
            </w:r>
          </w:p>
        </w:tc>
        <w:tc>
          <w:tcPr>
            <w:tcW w:w="607" w:type="pct"/>
            <w:noWrap w:val="0"/>
            <w:vAlign w:val="center"/>
          </w:tcPr>
          <w:p w14:paraId="4A842ED4">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车道灯（直径400带倒计时）</w:t>
            </w:r>
          </w:p>
        </w:tc>
        <w:tc>
          <w:tcPr>
            <w:tcW w:w="2949" w:type="pct"/>
            <w:noWrap w:val="0"/>
            <w:vAlign w:val="center"/>
          </w:tcPr>
          <w:p w14:paraId="24463EF6">
            <w:pPr>
              <w:pageBreakBefore w:val="0"/>
              <w:widowControl/>
              <w:numPr>
                <w:ilvl w:val="0"/>
                <w:numId w:val="15"/>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按红、黄、绿三色排列的几何位置分立的单元，圆形外观，4排LED发光单元，变压器降压，直径400毫米，机动车倒计时应嵌入至黄灯灯芯内，并对机动车红灯和绿灯信号进行倒计</w:t>
            </w:r>
          </w:p>
          <w:p w14:paraId="712E29AA">
            <w:pPr>
              <w:pageBreakBefore w:val="0"/>
              <w:widowControl/>
              <w:numPr>
                <w:ilvl w:val="0"/>
                <w:numId w:val="15"/>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倒计时：点阵式显示倒计时，数字显示范围199~1；</w:t>
            </w:r>
          </w:p>
          <w:p w14:paraId="2DC6E94B">
            <w:pPr>
              <w:pageBreakBefore w:val="0"/>
              <w:widowControl/>
              <w:numPr>
                <w:ilvl w:val="0"/>
                <w:numId w:val="15"/>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含安装支架、配件</w:t>
            </w:r>
          </w:p>
        </w:tc>
        <w:tc>
          <w:tcPr>
            <w:tcW w:w="348" w:type="pct"/>
            <w:noWrap w:val="0"/>
            <w:vAlign w:val="center"/>
          </w:tcPr>
          <w:p w14:paraId="33C2B1BD">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组</w:t>
            </w:r>
          </w:p>
        </w:tc>
        <w:tc>
          <w:tcPr>
            <w:tcW w:w="369" w:type="pct"/>
            <w:noWrap w:val="0"/>
            <w:vAlign w:val="center"/>
          </w:tcPr>
          <w:p w14:paraId="63E5ED8D">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64</w:t>
            </w:r>
          </w:p>
        </w:tc>
        <w:tc>
          <w:tcPr>
            <w:tcW w:w="317" w:type="pct"/>
            <w:noWrap w:val="0"/>
            <w:vAlign w:val="center"/>
          </w:tcPr>
          <w:p w14:paraId="4A79908F">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硬件设备</w:t>
            </w:r>
          </w:p>
        </w:tc>
      </w:tr>
      <w:tr w14:paraId="1A3D6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49EBD666">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2.5</w:t>
            </w:r>
          </w:p>
        </w:tc>
        <w:tc>
          <w:tcPr>
            <w:tcW w:w="607" w:type="pct"/>
            <w:noWrap w:val="0"/>
            <w:vAlign w:val="center"/>
          </w:tcPr>
          <w:p w14:paraId="17C53CCC">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人行横道信号灯</w:t>
            </w:r>
          </w:p>
        </w:tc>
        <w:tc>
          <w:tcPr>
            <w:tcW w:w="2949" w:type="pct"/>
            <w:noWrap w:val="0"/>
            <w:vAlign w:val="center"/>
          </w:tcPr>
          <w:p w14:paraId="17216C51">
            <w:pPr>
              <w:pageBreakBefore w:val="0"/>
              <w:widowControl/>
              <w:numPr>
                <w:ilvl w:val="0"/>
                <w:numId w:val="1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LED 发光单元，直径不小于</w:t>
            </w:r>
            <w:r>
              <w:rPr>
                <w:rFonts w:hint="eastAsia" w:ascii="宋体" w:hAnsi="宋体" w:eastAsia="宋体" w:cs="宋体"/>
                <w:snapToGrid w:val="0"/>
                <w:color w:val="auto"/>
                <w:sz w:val="21"/>
                <w:szCs w:val="21"/>
                <w:highlight w:val="none"/>
                <w:lang w:val="en-US" w:eastAsia="zh-CN" w:bidi="ar"/>
              </w:rPr>
              <w:t>4</w:t>
            </w:r>
            <w:r>
              <w:rPr>
                <w:rFonts w:hint="eastAsia" w:ascii="宋体" w:hAnsi="宋体" w:eastAsia="宋体" w:cs="宋体"/>
                <w:snapToGrid w:val="0"/>
                <w:color w:val="auto"/>
                <w:sz w:val="21"/>
                <w:szCs w:val="21"/>
                <w:highlight w:val="none"/>
                <w:lang w:bidi="ar"/>
              </w:rPr>
              <w:t>00 毫米</w:t>
            </w:r>
          </w:p>
          <w:p w14:paraId="03151BD4">
            <w:pPr>
              <w:pageBreakBefore w:val="0"/>
              <w:widowControl/>
              <w:numPr>
                <w:ilvl w:val="0"/>
                <w:numId w:val="1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控制电路设计合理，可靠，倒计时行人灯的行人图案显示与倒计时显示的数值同步</w:t>
            </w:r>
          </w:p>
          <w:p w14:paraId="623BED0D">
            <w:pPr>
              <w:pageBreakBefore w:val="0"/>
              <w:widowControl/>
              <w:numPr>
                <w:ilvl w:val="0"/>
                <w:numId w:val="1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灯体外壳采用铝壳灯体，量轻质固，可靠性、稳定性、防水性好，美观耐用</w:t>
            </w:r>
          </w:p>
        </w:tc>
        <w:tc>
          <w:tcPr>
            <w:tcW w:w="348" w:type="pct"/>
            <w:noWrap w:val="0"/>
            <w:vAlign w:val="center"/>
          </w:tcPr>
          <w:p w14:paraId="62FCC6E1">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组</w:t>
            </w:r>
          </w:p>
        </w:tc>
        <w:tc>
          <w:tcPr>
            <w:tcW w:w="369" w:type="pct"/>
            <w:noWrap w:val="0"/>
            <w:vAlign w:val="center"/>
          </w:tcPr>
          <w:p w14:paraId="2188D40E">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48</w:t>
            </w:r>
          </w:p>
        </w:tc>
        <w:tc>
          <w:tcPr>
            <w:tcW w:w="317" w:type="pct"/>
            <w:noWrap w:val="0"/>
            <w:vAlign w:val="center"/>
          </w:tcPr>
          <w:p w14:paraId="2A38ECF7">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硬件设备</w:t>
            </w:r>
          </w:p>
        </w:tc>
      </w:tr>
      <w:tr w14:paraId="1A762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3701920C">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2.6</w:t>
            </w:r>
          </w:p>
        </w:tc>
        <w:tc>
          <w:tcPr>
            <w:tcW w:w="607" w:type="pct"/>
            <w:noWrap w:val="0"/>
            <w:vAlign w:val="center"/>
          </w:tcPr>
          <w:p w14:paraId="43A79B77">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控制机基础墩（含接地体）</w:t>
            </w:r>
          </w:p>
        </w:tc>
        <w:tc>
          <w:tcPr>
            <w:tcW w:w="2949" w:type="pct"/>
            <w:noWrap w:val="0"/>
            <w:vAlign w:val="center"/>
          </w:tcPr>
          <w:p w14:paraId="22D171E8">
            <w:pPr>
              <w:pageBreakBefore w:val="0"/>
              <w:widowControl/>
              <w:numPr>
                <w:ilvl w:val="0"/>
                <w:numId w:val="17"/>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路口交通信号机柜基础高出路面部分高度应充分考虑防泡水，一般不得低于50厘米（注：低洼易积水路段应不低于75厘米，并设置阶梯）；长*宽*深：1200*800*1200mm（地面高度500mm）C25混凝土、地锚</w:t>
            </w:r>
          </w:p>
          <w:p w14:paraId="00B48143">
            <w:pPr>
              <w:pageBreakBefore w:val="0"/>
              <w:widowControl/>
              <w:numPr>
                <w:ilvl w:val="0"/>
                <w:numId w:val="17"/>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接地电阻一般要求小于10欧姆（含接地线不小于16mm2）含2条接地角钢50*5*2000mm，1条直经14mm*2000mm 铜包钢接地棒</w:t>
            </w:r>
          </w:p>
        </w:tc>
        <w:tc>
          <w:tcPr>
            <w:tcW w:w="348" w:type="pct"/>
            <w:noWrap w:val="0"/>
            <w:vAlign w:val="center"/>
          </w:tcPr>
          <w:p w14:paraId="7E4A97F7">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个</w:t>
            </w:r>
          </w:p>
        </w:tc>
        <w:tc>
          <w:tcPr>
            <w:tcW w:w="369" w:type="pct"/>
            <w:noWrap w:val="0"/>
            <w:vAlign w:val="center"/>
          </w:tcPr>
          <w:p w14:paraId="1A15E5A1">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6</w:t>
            </w:r>
          </w:p>
        </w:tc>
        <w:tc>
          <w:tcPr>
            <w:tcW w:w="317" w:type="pct"/>
            <w:noWrap w:val="0"/>
            <w:vAlign w:val="center"/>
          </w:tcPr>
          <w:p w14:paraId="578785B8">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05815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70E93A2D">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2.7</w:t>
            </w:r>
          </w:p>
        </w:tc>
        <w:tc>
          <w:tcPr>
            <w:tcW w:w="607" w:type="pct"/>
            <w:noWrap w:val="0"/>
            <w:vAlign w:val="center"/>
          </w:tcPr>
          <w:p w14:paraId="168206FC">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人行横道信号灯杆安装及基础施工（接地体）</w:t>
            </w:r>
          </w:p>
        </w:tc>
        <w:tc>
          <w:tcPr>
            <w:tcW w:w="2949" w:type="pct"/>
            <w:noWrap w:val="0"/>
            <w:vAlign w:val="center"/>
          </w:tcPr>
          <w:p w14:paraId="1062165A">
            <w:pPr>
              <w:pageBreakBefore w:val="0"/>
              <w:widowControl/>
              <w:numPr>
                <w:ilvl w:val="0"/>
                <w:numId w:val="18"/>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整根杆（含基础）及配件应能抗45m/s以上风力；抗震烈度8级以上。</w:t>
            </w:r>
          </w:p>
          <w:p w14:paraId="04B29151">
            <w:pPr>
              <w:pageBreakBefore w:val="0"/>
              <w:widowControl/>
              <w:numPr>
                <w:ilvl w:val="0"/>
                <w:numId w:val="18"/>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人行横道信号灯杆3.8米及基础墩0.6m*0.6m*0.8m（包含接地）</w:t>
            </w:r>
          </w:p>
          <w:p w14:paraId="120B4B52">
            <w:pPr>
              <w:pageBreakBefore w:val="0"/>
              <w:widowControl/>
              <w:numPr>
                <w:ilvl w:val="0"/>
                <w:numId w:val="18"/>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预制锚栓、钢筋地笼：根据杆件规格定制；</w:t>
            </w:r>
          </w:p>
          <w:p w14:paraId="6F225A11">
            <w:pPr>
              <w:pageBreakBefore w:val="0"/>
              <w:widowControl/>
              <w:numPr>
                <w:ilvl w:val="0"/>
                <w:numId w:val="18"/>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接地体：接地电阻一般要求小于10欧姆（含接地线不小于16mm2）含2条接地角钢50*5*2000mm，1条直经14mm*2000mm 铜包钢接地棒；</w:t>
            </w:r>
          </w:p>
          <w:p w14:paraId="5332D1EE">
            <w:pPr>
              <w:pageBreakBefore w:val="0"/>
              <w:widowControl/>
              <w:numPr>
                <w:ilvl w:val="0"/>
                <w:numId w:val="18"/>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混凝土基础采用商用混凝土C30 含人工及模具；</w:t>
            </w:r>
          </w:p>
          <w:p w14:paraId="1892FBF7">
            <w:pPr>
              <w:pageBreakBefore w:val="0"/>
              <w:widowControl/>
              <w:numPr>
                <w:ilvl w:val="0"/>
                <w:numId w:val="18"/>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杆件基础螺栓混凝土封包处理；</w:t>
            </w:r>
          </w:p>
          <w:p w14:paraId="2F32E069">
            <w:pPr>
              <w:pageBreakBefore w:val="0"/>
              <w:widowControl/>
              <w:numPr>
                <w:ilvl w:val="0"/>
                <w:numId w:val="18"/>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灯杆1米以上位置应喷涂“定安县公安局示”黑色文字,自灯杆基座向上粘贴黄黑相间反光膜（由上至下采用黄—黑—黄—黑—黄共8节各15CM宽度相间）</w:t>
            </w:r>
          </w:p>
        </w:tc>
        <w:tc>
          <w:tcPr>
            <w:tcW w:w="348" w:type="pct"/>
            <w:noWrap w:val="0"/>
            <w:vAlign w:val="center"/>
          </w:tcPr>
          <w:p w14:paraId="1B01B25D">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根</w:t>
            </w:r>
          </w:p>
        </w:tc>
        <w:tc>
          <w:tcPr>
            <w:tcW w:w="369" w:type="pct"/>
            <w:noWrap w:val="0"/>
            <w:vAlign w:val="center"/>
          </w:tcPr>
          <w:p w14:paraId="6D9DF4D9">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26</w:t>
            </w:r>
          </w:p>
        </w:tc>
        <w:tc>
          <w:tcPr>
            <w:tcW w:w="317" w:type="pct"/>
            <w:noWrap w:val="0"/>
            <w:vAlign w:val="center"/>
          </w:tcPr>
          <w:p w14:paraId="71B80029">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64E5E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6249BA64">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2.8</w:t>
            </w:r>
          </w:p>
        </w:tc>
        <w:tc>
          <w:tcPr>
            <w:tcW w:w="607" w:type="pct"/>
            <w:noWrap w:val="0"/>
            <w:vAlign w:val="center"/>
          </w:tcPr>
          <w:p w14:paraId="582928C7">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悬臂式八角杆H6.5*L10安装及基础施工（含接地）</w:t>
            </w:r>
          </w:p>
        </w:tc>
        <w:tc>
          <w:tcPr>
            <w:tcW w:w="2949" w:type="pct"/>
            <w:noWrap w:val="0"/>
            <w:vAlign w:val="center"/>
          </w:tcPr>
          <w:p w14:paraId="6C4A50AA">
            <w:pPr>
              <w:pageBreakBefore w:val="0"/>
              <w:widowControl/>
              <w:numPr>
                <w:ilvl w:val="0"/>
                <w:numId w:val="1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整根杆（含基础）及配件应能抗45m/s以上风力；抗震烈度8级以上。</w:t>
            </w:r>
          </w:p>
          <w:p w14:paraId="710B9CA6">
            <w:pPr>
              <w:pageBreakBefore w:val="0"/>
              <w:widowControl/>
              <w:numPr>
                <w:ilvl w:val="0"/>
                <w:numId w:val="1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悬臂式八角灯杆H6.5*L10及基础施工1.6m*1.8m*2.5m（包含接地）</w:t>
            </w:r>
          </w:p>
          <w:p w14:paraId="42265F48">
            <w:pPr>
              <w:pageBreakBefore w:val="0"/>
              <w:widowControl/>
              <w:numPr>
                <w:ilvl w:val="0"/>
                <w:numId w:val="1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悬臂式八棱锥形、热镀锌喷塑，规格尺寸:杆高6.5m， 悬臂长</w:t>
            </w:r>
            <w:r>
              <w:rPr>
                <w:rFonts w:hint="eastAsia" w:ascii="宋体" w:hAnsi="宋体" w:eastAsia="宋体" w:cs="宋体"/>
                <w:snapToGrid w:val="0"/>
                <w:color w:val="auto"/>
                <w:sz w:val="21"/>
                <w:szCs w:val="21"/>
                <w:highlight w:val="none"/>
                <w:lang w:val="en-US" w:eastAsia="zh-CN" w:bidi="ar"/>
              </w:rPr>
              <w:t>10</w:t>
            </w:r>
            <w:r>
              <w:rPr>
                <w:rFonts w:hint="eastAsia" w:ascii="宋体" w:hAnsi="宋体" w:eastAsia="宋体" w:cs="宋体"/>
                <w:snapToGrid w:val="0"/>
                <w:color w:val="auto"/>
                <w:sz w:val="21"/>
                <w:szCs w:val="21"/>
                <w:highlight w:val="none"/>
                <w:lang w:bidi="ar"/>
              </w:rPr>
              <w:t>m；</w:t>
            </w:r>
            <w:r>
              <w:rPr>
                <w:rFonts w:hint="eastAsia" w:ascii="宋体" w:hAnsi="宋体" w:eastAsia="宋体" w:cs="宋体"/>
                <w:snapToGrid w:val="0"/>
                <w:color w:val="auto"/>
                <w:sz w:val="21"/>
                <w:szCs w:val="21"/>
                <w:highlight w:val="none"/>
                <w:lang w:val="en-US" w:eastAsia="zh-CN" w:bidi="ar"/>
              </w:rPr>
              <w:t>立杆上下对边口径≥280-320mm，横臂上下对边口径≥230-100mm</w:t>
            </w:r>
          </w:p>
          <w:p w14:paraId="06BE80C7">
            <w:pPr>
              <w:pageBreakBefore w:val="0"/>
              <w:widowControl/>
              <w:numPr>
                <w:ilvl w:val="0"/>
                <w:numId w:val="1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预制锚栓、钢筋地笼：根据杆件规格定制；</w:t>
            </w:r>
          </w:p>
          <w:p w14:paraId="4CFB7ED5">
            <w:pPr>
              <w:pageBreakBefore w:val="0"/>
              <w:widowControl/>
              <w:numPr>
                <w:ilvl w:val="0"/>
                <w:numId w:val="1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接地体：接地电阻一般要求小于10欧姆（含接地线不小于16mm2）含2条接地角钢50*5*2000mm，1条直经14mm*2000mm 铜包钢接地棒；</w:t>
            </w:r>
          </w:p>
          <w:p w14:paraId="73BABD96">
            <w:pPr>
              <w:pageBreakBefore w:val="0"/>
              <w:widowControl/>
              <w:numPr>
                <w:ilvl w:val="0"/>
                <w:numId w:val="1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混凝土基础采用商用混凝土C30 含人工及模具；</w:t>
            </w:r>
          </w:p>
          <w:p w14:paraId="0794A96B">
            <w:pPr>
              <w:pageBreakBefore w:val="0"/>
              <w:widowControl/>
              <w:numPr>
                <w:ilvl w:val="0"/>
                <w:numId w:val="1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灯杆1米以上位置应喷涂“定安县公安局示”黑色文字,自灯杆基座向上粘贴黄黑相间反光膜（由上至下采用黄—黑—黄—黑—黄共5节各30CM宽度相间）</w:t>
            </w:r>
          </w:p>
          <w:p w14:paraId="2329F44B">
            <w:pPr>
              <w:pageBreakBefore w:val="0"/>
              <w:widowControl/>
              <w:numPr>
                <w:ilvl w:val="0"/>
                <w:numId w:val="1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杆件吊装，含机械、人工</w:t>
            </w:r>
          </w:p>
        </w:tc>
        <w:tc>
          <w:tcPr>
            <w:tcW w:w="348" w:type="pct"/>
            <w:noWrap w:val="0"/>
            <w:vAlign w:val="center"/>
          </w:tcPr>
          <w:p w14:paraId="056E93AC">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杆</w:t>
            </w:r>
          </w:p>
        </w:tc>
        <w:tc>
          <w:tcPr>
            <w:tcW w:w="369" w:type="pct"/>
            <w:noWrap w:val="0"/>
            <w:vAlign w:val="center"/>
          </w:tcPr>
          <w:p w14:paraId="265D0A9B">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3 </w:t>
            </w:r>
          </w:p>
        </w:tc>
        <w:tc>
          <w:tcPr>
            <w:tcW w:w="317" w:type="pct"/>
            <w:noWrap w:val="0"/>
            <w:vAlign w:val="center"/>
          </w:tcPr>
          <w:p w14:paraId="16EBAFA3">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68CF4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3B067FA2">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2.9</w:t>
            </w:r>
          </w:p>
        </w:tc>
        <w:tc>
          <w:tcPr>
            <w:tcW w:w="607" w:type="pct"/>
            <w:noWrap w:val="0"/>
            <w:vAlign w:val="center"/>
          </w:tcPr>
          <w:p w14:paraId="5BE969A3">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悬臂式八角杆H6.5*L8安装及基础施工（含接地）</w:t>
            </w:r>
          </w:p>
        </w:tc>
        <w:tc>
          <w:tcPr>
            <w:tcW w:w="2949" w:type="pct"/>
            <w:noWrap w:val="0"/>
            <w:vAlign w:val="center"/>
          </w:tcPr>
          <w:p w14:paraId="67CB8878">
            <w:pPr>
              <w:pageBreakBefore w:val="0"/>
              <w:widowControl/>
              <w:numPr>
                <w:ilvl w:val="0"/>
                <w:numId w:val="1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整根杆（含基础）及配件应能抗45m/s以上风力；抗震烈度8级以上。</w:t>
            </w:r>
          </w:p>
          <w:p w14:paraId="08C6D4B1">
            <w:pPr>
              <w:pageBreakBefore w:val="0"/>
              <w:widowControl/>
              <w:numPr>
                <w:ilvl w:val="0"/>
                <w:numId w:val="1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悬臂式八角灯杆H6.5*L8及基础施工1.4m*1.6m*2m（包含接地）</w:t>
            </w:r>
          </w:p>
          <w:p w14:paraId="3049B89C">
            <w:pPr>
              <w:pageBreakBefore w:val="0"/>
              <w:widowControl/>
              <w:numPr>
                <w:ilvl w:val="0"/>
                <w:numId w:val="1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悬臂式八棱锥形、热镀锌喷塑，规格尺寸:杆高6.5m， 悬臂长8m；</w:t>
            </w:r>
            <w:r>
              <w:rPr>
                <w:rFonts w:hint="eastAsia" w:ascii="宋体" w:hAnsi="宋体" w:eastAsia="宋体" w:cs="宋体"/>
                <w:snapToGrid w:val="0"/>
                <w:color w:val="auto"/>
                <w:sz w:val="21"/>
                <w:szCs w:val="21"/>
                <w:highlight w:val="none"/>
                <w:lang w:val="en-US" w:eastAsia="zh-CN" w:bidi="ar"/>
              </w:rPr>
              <w:t>立杆上下对边口径≥280-320mm，横臂上下对边口径≥230-100mm</w:t>
            </w:r>
          </w:p>
          <w:p w14:paraId="26878411">
            <w:pPr>
              <w:pageBreakBefore w:val="0"/>
              <w:widowControl/>
              <w:numPr>
                <w:ilvl w:val="0"/>
                <w:numId w:val="1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预制锚栓、钢筋地笼：根据杆件规格定制；</w:t>
            </w:r>
          </w:p>
          <w:p w14:paraId="16D62041">
            <w:pPr>
              <w:pageBreakBefore w:val="0"/>
              <w:widowControl/>
              <w:numPr>
                <w:ilvl w:val="0"/>
                <w:numId w:val="1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接地体：接地电阻一般要求小于10欧姆（含接地线不小于16mm2）含2条接地角钢50*5*2000mm，1条直经14mm*2000mm 铜包钢接地棒；</w:t>
            </w:r>
          </w:p>
          <w:p w14:paraId="587A951E">
            <w:pPr>
              <w:pageBreakBefore w:val="0"/>
              <w:widowControl/>
              <w:numPr>
                <w:ilvl w:val="0"/>
                <w:numId w:val="1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混凝土基础采用商用混凝土C30 含人工及模具；</w:t>
            </w:r>
          </w:p>
          <w:p w14:paraId="31633774">
            <w:pPr>
              <w:pageBreakBefore w:val="0"/>
              <w:widowControl/>
              <w:numPr>
                <w:ilvl w:val="0"/>
                <w:numId w:val="1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灯杆1米以上位置应喷涂“定安县公安局示”黑色文字,自灯杆基座向上粘贴黄黑相间反光膜（由上至下采用黄—黑—黄—黑—黄共5节各30CM宽度相间）</w:t>
            </w:r>
          </w:p>
          <w:p w14:paraId="723B0CD1">
            <w:pPr>
              <w:pageBreakBefore w:val="0"/>
              <w:widowControl/>
              <w:numPr>
                <w:ilvl w:val="0"/>
                <w:numId w:val="1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杆件吊装，含机械、人工</w:t>
            </w:r>
          </w:p>
        </w:tc>
        <w:tc>
          <w:tcPr>
            <w:tcW w:w="348" w:type="pct"/>
            <w:noWrap w:val="0"/>
            <w:vAlign w:val="center"/>
          </w:tcPr>
          <w:p w14:paraId="565876D1">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杆</w:t>
            </w:r>
          </w:p>
        </w:tc>
        <w:tc>
          <w:tcPr>
            <w:tcW w:w="369" w:type="pct"/>
            <w:noWrap w:val="0"/>
            <w:vAlign w:val="center"/>
          </w:tcPr>
          <w:p w14:paraId="35600062">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7 </w:t>
            </w:r>
          </w:p>
        </w:tc>
        <w:tc>
          <w:tcPr>
            <w:tcW w:w="317" w:type="pct"/>
            <w:noWrap w:val="0"/>
            <w:vAlign w:val="center"/>
          </w:tcPr>
          <w:p w14:paraId="14311C1A">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5CC99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7EDEC02B">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2.10</w:t>
            </w:r>
          </w:p>
        </w:tc>
        <w:tc>
          <w:tcPr>
            <w:tcW w:w="607" w:type="pct"/>
            <w:noWrap w:val="0"/>
            <w:vAlign w:val="center"/>
          </w:tcPr>
          <w:p w14:paraId="1EDF615F">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悬臂式八角杆H6.5*L6安装及基础施工（含接地）</w:t>
            </w:r>
          </w:p>
        </w:tc>
        <w:tc>
          <w:tcPr>
            <w:tcW w:w="2949" w:type="pct"/>
            <w:noWrap w:val="0"/>
            <w:vAlign w:val="center"/>
          </w:tcPr>
          <w:p w14:paraId="62E07CA0">
            <w:pPr>
              <w:pageBreakBefore w:val="0"/>
              <w:widowControl/>
              <w:numPr>
                <w:ilvl w:val="0"/>
                <w:numId w:val="20"/>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整根杆（含基础）及配件应能抗45m/s以上风力；抗震烈度8级以上。</w:t>
            </w:r>
          </w:p>
          <w:p w14:paraId="3FC9A312">
            <w:pPr>
              <w:pageBreakBefore w:val="0"/>
              <w:widowControl/>
              <w:numPr>
                <w:ilvl w:val="0"/>
                <w:numId w:val="20"/>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悬臂式八角灯杆H6.5*L6及基础施工1.2m*1.4m*1.8m（包含接地）</w:t>
            </w:r>
          </w:p>
          <w:p w14:paraId="29BE5880">
            <w:pPr>
              <w:pageBreakBefore w:val="0"/>
              <w:widowControl/>
              <w:numPr>
                <w:ilvl w:val="0"/>
                <w:numId w:val="20"/>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悬臂式八棱锥形、热镀锌喷塑，规格尺寸:杆高6.5m， 悬臂长</w:t>
            </w:r>
            <w:r>
              <w:rPr>
                <w:rFonts w:hint="eastAsia" w:ascii="宋体" w:hAnsi="宋体" w:eastAsia="宋体" w:cs="宋体"/>
                <w:snapToGrid w:val="0"/>
                <w:color w:val="auto"/>
                <w:sz w:val="21"/>
                <w:szCs w:val="21"/>
                <w:highlight w:val="none"/>
                <w:lang w:val="en-US" w:eastAsia="zh-CN" w:bidi="ar"/>
              </w:rPr>
              <w:t>6</w:t>
            </w:r>
            <w:r>
              <w:rPr>
                <w:rFonts w:hint="eastAsia" w:ascii="宋体" w:hAnsi="宋体" w:eastAsia="宋体" w:cs="宋体"/>
                <w:snapToGrid w:val="0"/>
                <w:color w:val="auto"/>
                <w:sz w:val="21"/>
                <w:szCs w:val="21"/>
                <w:highlight w:val="none"/>
                <w:lang w:bidi="ar"/>
              </w:rPr>
              <w:t>m；</w:t>
            </w:r>
            <w:r>
              <w:rPr>
                <w:rFonts w:hint="eastAsia" w:ascii="宋体" w:hAnsi="宋体" w:eastAsia="宋体" w:cs="宋体"/>
                <w:snapToGrid w:val="0"/>
                <w:color w:val="auto"/>
                <w:sz w:val="21"/>
                <w:szCs w:val="21"/>
                <w:highlight w:val="none"/>
                <w:lang w:val="en-US" w:eastAsia="zh-CN" w:bidi="ar"/>
              </w:rPr>
              <w:t>立杆上下对边口径≥220-280mm，横臂上下对边口径≥100-220mm</w:t>
            </w:r>
          </w:p>
          <w:p w14:paraId="04D53946">
            <w:pPr>
              <w:pageBreakBefore w:val="0"/>
              <w:widowControl/>
              <w:numPr>
                <w:ilvl w:val="0"/>
                <w:numId w:val="20"/>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预制锚栓、钢筋地笼：根据杆件规格定制；</w:t>
            </w:r>
          </w:p>
          <w:p w14:paraId="343C7C35">
            <w:pPr>
              <w:pageBreakBefore w:val="0"/>
              <w:widowControl/>
              <w:numPr>
                <w:ilvl w:val="0"/>
                <w:numId w:val="20"/>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接地体：接地电阻一般要求小于10欧姆（含接地线不小于16mm2）含2条接地角钢50*5*2000mm，1条直经14mm*2000mm 铜包钢接地棒；</w:t>
            </w:r>
          </w:p>
          <w:p w14:paraId="11BA5075">
            <w:pPr>
              <w:pageBreakBefore w:val="0"/>
              <w:widowControl/>
              <w:numPr>
                <w:ilvl w:val="0"/>
                <w:numId w:val="20"/>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混凝土基础采用商用混凝土C30 含人工及模具；</w:t>
            </w:r>
          </w:p>
          <w:p w14:paraId="56A9530A">
            <w:pPr>
              <w:pageBreakBefore w:val="0"/>
              <w:widowControl/>
              <w:numPr>
                <w:ilvl w:val="0"/>
                <w:numId w:val="20"/>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灯杆1米以上位置应喷涂“定安县公安局示”黑色文字,自灯杆基座向上粘贴黄黑相间反光膜（由上至下采用黄—黑—黄—黑—黄共5节各30CM宽度相间）</w:t>
            </w:r>
          </w:p>
          <w:p w14:paraId="3CD3580E">
            <w:pPr>
              <w:pageBreakBefore w:val="0"/>
              <w:widowControl/>
              <w:numPr>
                <w:ilvl w:val="0"/>
                <w:numId w:val="20"/>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杆件吊装，含机械、人工</w:t>
            </w:r>
          </w:p>
        </w:tc>
        <w:tc>
          <w:tcPr>
            <w:tcW w:w="348" w:type="pct"/>
            <w:noWrap w:val="0"/>
            <w:vAlign w:val="center"/>
          </w:tcPr>
          <w:p w14:paraId="350D2BBA">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杆</w:t>
            </w:r>
          </w:p>
        </w:tc>
        <w:tc>
          <w:tcPr>
            <w:tcW w:w="369" w:type="pct"/>
            <w:noWrap w:val="0"/>
            <w:vAlign w:val="center"/>
          </w:tcPr>
          <w:p w14:paraId="3B377182">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13 </w:t>
            </w:r>
          </w:p>
        </w:tc>
        <w:tc>
          <w:tcPr>
            <w:tcW w:w="317" w:type="pct"/>
            <w:noWrap w:val="0"/>
            <w:vAlign w:val="center"/>
          </w:tcPr>
          <w:p w14:paraId="646B6302">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14D35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43A506BA">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2.11</w:t>
            </w:r>
          </w:p>
        </w:tc>
        <w:tc>
          <w:tcPr>
            <w:tcW w:w="607" w:type="pct"/>
            <w:noWrap w:val="0"/>
            <w:vAlign w:val="center"/>
          </w:tcPr>
          <w:p w14:paraId="32C8A5E6">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信号灯至控制箱电缆敷设</w:t>
            </w:r>
          </w:p>
        </w:tc>
        <w:tc>
          <w:tcPr>
            <w:tcW w:w="2949" w:type="pct"/>
            <w:noWrap w:val="0"/>
            <w:vAlign w:val="center"/>
          </w:tcPr>
          <w:p w14:paraId="3AA56A57">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val="en-US" w:eastAsia="zh-CN" w:bidi="ar"/>
              </w:rPr>
              <w:t>1.</w:t>
            </w:r>
            <w:r>
              <w:rPr>
                <w:rFonts w:hint="eastAsia" w:ascii="宋体" w:hAnsi="宋体" w:eastAsia="宋体" w:cs="宋体"/>
                <w:snapToGrid w:val="0"/>
                <w:color w:val="auto"/>
                <w:sz w:val="21"/>
                <w:szCs w:val="21"/>
                <w:highlight w:val="none"/>
                <w:lang w:bidi="ar"/>
              </w:rPr>
              <w:t>管道内敷设 铠装KVV22-14芯x1.5mm2 含材料人工</w:t>
            </w:r>
          </w:p>
        </w:tc>
        <w:tc>
          <w:tcPr>
            <w:tcW w:w="348" w:type="pct"/>
            <w:noWrap w:val="0"/>
            <w:vAlign w:val="center"/>
          </w:tcPr>
          <w:p w14:paraId="5E6EBD25">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m</w:t>
            </w:r>
          </w:p>
        </w:tc>
        <w:tc>
          <w:tcPr>
            <w:tcW w:w="369" w:type="pct"/>
            <w:noWrap w:val="0"/>
            <w:vAlign w:val="center"/>
          </w:tcPr>
          <w:p w14:paraId="2D0A0B2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2975 </w:t>
            </w:r>
          </w:p>
        </w:tc>
        <w:tc>
          <w:tcPr>
            <w:tcW w:w="317" w:type="pct"/>
            <w:noWrap w:val="0"/>
            <w:vAlign w:val="center"/>
          </w:tcPr>
          <w:p w14:paraId="6D1A56EA">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21E6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48CBAD78">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2.12</w:t>
            </w:r>
          </w:p>
        </w:tc>
        <w:tc>
          <w:tcPr>
            <w:tcW w:w="607" w:type="pct"/>
            <w:noWrap w:val="0"/>
            <w:vAlign w:val="center"/>
          </w:tcPr>
          <w:p w14:paraId="4FF60E23">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信号灯至控制箱电缆敷设</w:t>
            </w:r>
          </w:p>
        </w:tc>
        <w:tc>
          <w:tcPr>
            <w:tcW w:w="2949" w:type="pct"/>
            <w:noWrap w:val="0"/>
            <w:vAlign w:val="center"/>
          </w:tcPr>
          <w:p w14:paraId="5C18D4DD">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val="en-US" w:eastAsia="zh-CN" w:bidi="ar"/>
              </w:rPr>
              <w:t>1.</w:t>
            </w:r>
            <w:r>
              <w:rPr>
                <w:rFonts w:hint="eastAsia" w:ascii="宋体" w:hAnsi="宋体" w:eastAsia="宋体" w:cs="宋体"/>
                <w:snapToGrid w:val="0"/>
                <w:color w:val="auto"/>
                <w:sz w:val="21"/>
                <w:szCs w:val="21"/>
                <w:highlight w:val="none"/>
                <w:lang w:bidi="ar"/>
              </w:rPr>
              <w:t>管道内敷设 铠装KVV22-8芯x1.5mm2 含材料人工</w:t>
            </w:r>
          </w:p>
        </w:tc>
        <w:tc>
          <w:tcPr>
            <w:tcW w:w="348" w:type="pct"/>
            <w:noWrap w:val="0"/>
            <w:vAlign w:val="center"/>
          </w:tcPr>
          <w:p w14:paraId="656CFF7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m</w:t>
            </w:r>
          </w:p>
        </w:tc>
        <w:tc>
          <w:tcPr>
            <w:tcW w:w="369" w:type="pct"/>
            <w:noWrap w:val="0"/>
            <w:vAlign w:val="center"/>
          </w:tcPr>
          <w:p w14:paraId="3D1BB442">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3110 </w:t>
            </w:r>
          </w:p>
        </w:tc>
        <w:tc>
          <w:tcPr>
            <w:tcW w:w="317" w:type="pct"/>
            <w:noWrap w:val="0"/>
            <w:vAlign w:val="center"/>
          </w:tcPr>
          <w:p w14:paraId="0DE50BC3">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6A489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18FAC932">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2.13</w:t>
            </w:r>
          </w:p>
        </w:tc>
        <w:tc>
          <w:tcPr>
            <w:tcW w:w="607" w:type="pct"/>
            <w:noWrap w:val="0"/>
            <w:vAlign w:val="center"/>
          </w:tcPr>
          <w:p w14:paraId="01D20010">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信号灯至控制箱电缆敷设</w:t>
            </w:r>
          </w:p>
        </w:tc>
        <w:tc>
          <w:tcPr>
            <w:tcW w:w="2949" w:type="pct"/>
            <w:noWrap w:val="0"/>
            <w:vAlign w:val="center"/>
          </w:tcPr>
          <w:p w14:paraId="168A776F">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val="en-US" w:eastAsia="zh-CN" w:bidi="ar"/>
              </w:rPr>
              <w:t>1.</w:t>
            </w:r>
            <w:r>
              <w:rPr>
                <w:rFonts w:hint="eastAsia" w:ascii="宋体" w:hAnsi="宋体" w:eastAsia="宋体" w:cs="宋体"/>
                <w:snapToGrid w:val="0"/>
                <w:color w:val="auto"/>
                <w:sz w:val="21"/>
                <w:szCs w:val="21"/>
                <w:highlight w:val="none"/>
                <w:lang w:bidi="ar"/>
              </w:rPr>
              <w:t>管道内敷设 铠装KVV22-4芯x1.5mm2 含材料人工</w:t>
            </w:r>
          </w:p>
        </w:tc>
        <w:tc>
          <w:tcPr>
            <w:tcW w:w="348" w:type="pct"/>
            <w:noWrap w:val="0"/>
            <w:vAlign w:val="center"/>
          </w:tcPr>
          <w:p w14:paraId="03932589">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m</w:t>
            </w:r>
          </w:p>
        </w:tc>
        <w:tc>
          <w:tcPr>
            <w:tcW w:w="369" w:type="pct"/>
            <w:noWrap w:val="0"/>
            <w:vAlign w:val="center"/>
          </w:tcPr>
          <w:p w14:paraId="2E1702C9">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1344 </w:t>
            </w:r>
          </w:p>
        </w:tc>
        <w:tc>
          <w:tcPr>
            <w:tcW w:w="317" w:type="pct"/>
            <w:noWrap w:val="0"/>
            <w:vAlign w:val="center"/>
          </w:tcPr>
          <w:p w14:paraId="77D965DA">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6E276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6B3DE68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3</w:t>
            </w:r>
          </w:p>
        </w:tc>
        <w:tc>
          <w:tcPr>
            <w:tcW w:w="3556" w:type="pct"/>
            <w:gridSpan w:val="2"/>
            <w:noWrap w:val="0"/>
            <w:vAlign w:val="center"/>
          </w:tcPr>
          <w:p w14:paraId="04308F47">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b/>
                <w:bCs/>
                <w:color w:val="auto"/>
                <w:sz w:val="21"/>
                <w:szCs w:val="21"/>
                <w:highlight w:val="none"/>
              </w:rPr>
            </w:pPr>
            <w:r>
              <w:rPr>
                <w:rFonts w:hint="eastAsia" w:ascii="宋体" w:hAnsi="宋体" w:eastAsia="宋体" w:cs="宋体"/>
                <w:b/>
                <w:bCs/>
                <w:snapToGrid w:val="0"/>
                <w:color w:val="auto"/>
                <w:sz w:val="21"/>
                <w:szCs w:val="21"/>
                <w:highlight w:val="none"/>
                <w:lang w:bidi="ar"/>
              </w:rPr>
              <w:t>多功能电子警察、测速卡口系统</w:t>
            </w:r>
          </w:p>
        </w:tc>
        <w:tc>
          <w:tcPr>
            <w:tcW w:w="348" w:type="pct"/>
            <w:noWrap w:val="0"/>
            <w:vAlign w:val="center"/>
          </w:tcPr>
          <w:p w14:paraId="7CB642F3">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369" w:type="pct"/>
            <w:noWrap w:val="0"/>
            <w:vAlign w:val="center"/>
          </w:tcPr>
          <w:p w14:paraId="4205CE58">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317" w:type="pct"/>
            <w:noWrap w:val="0"/>
            <w:vAlign w:val="center"/>
          </w:tcPr>
          <w:p w14:paraId="3A9ACC6F">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1"/>
                <w:szCs w:val="21"/>
                <w:highlight w:val="none"/>
              </w:rPr>
            </w:pPr>
          </w:p>
        </w:tc>
      </w:tr>
      <w:tr w14:paraId="7DB88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785E2D42">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3.1</w:t>
            </w:r>
          </w:p>
        </w:tc>
        <w:tc>
          <w:tcPr>
            <w:tcW w:w="607" w:type="pct"/>
            <w:noWrap w:val="0"/>
            <w:vAlign w:val="center"/>
          </w:tcPr>
          <w:p w14:paraId="3E1EBCC4">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数字网络高清高速球机</w:t>
            </w:r>
          </w:p>
        </w:tc>
        <w:tc>
          <w:tcPr>
            <w:tcW w:w="2949" w:type="pct"/>
            <w:noWrap w:val="0"/>
            <w:vAlign w:val="center"/>
          </w:tcPr>
          <w:p w14:paraId="2A1AEE2B">
            <w:pPr>
              <w:pageBreakBefore w:val="0"/>
              <w:widowControl/>
              <w:numPr>
                <w:ilvl w:val="0"/>
                <w:numId w:val="2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内置2个镜头，可以输出两路视频图像，1路全景视频图像、1路细节视频图像</w:t>
            </w:r>
          </w:p>
          <w:p w14:paraId="178D7D12">
            <w:pPr>
              <w:pageBreakBefore w:val="0"/>
              <w:widowControl/>
              <w:numPr>
                <w:ilvl w:val="0"/>
                <w:numId w:val="2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全景通道视频图像分辨率不小于2560x1440，细节通道视频图像分辨率不小于1920x1080</w:t>
            </w:r>
          </w:p>
          <w:p w14:paraId="3138B126">
            <w:pPr>
              <w:pageBreakBefore w:val="0"/>
              <w:widowControl/>
              <w:numPr>
                <w:ilvl w:val="0"/>
                <w:numId w:val="2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细节镜头支持不小于23倍光学变倍</w:t>
            </w:r>
          </w:p>
          <w:p w14:paraId="755E70D6">
            <w:pPr>
              <w:pageBreakBefore w:val="0"/>
              <w:widowControl/>
              <w:numPr>
                <w:ilvl w:val="0"/>
                <w:numId w:val="2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支持最低照度可达彩色0.0002Lux，黑白0.0001Lux</w:t>
            </w:r>
          </w:p>
          <w:p w14:paraId="304E2CA6">
            <w:pPr>
              <w:pageBreakBefore w:val="0"/>
              <w:widowControl/>
              <w:numPr>
                <w:ilvl w:val="0"/>
                <w:numId w:val="2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支持水平手控速度不小于160°/S，垂直速度不小于120°/S，云台定位精度≤±0.1°</w:t>
            </w:r>
          </w:p>
          <w:p w14:paraId="5A32C80B">
            <w:pPr>
              <w:pageBreakBefore w:val="0"/>
              <w:widowControl/>
              <w:numPr>
                <w:ilvl w:val="0"/>
                <w:numId w:val="2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水平旋转范围为360°连续旋转，垂直旋转范围≧-15°~90°</w:t>
            </w:r>
          </w:p>
          <w:p w14:paraId="4156B0B1">
            <w:pPr>
              <w:pageBreakBefore w:val="0"/>
              <w:widowControl/>
              <w:numPr>
                <w:ilvl w:val="0"/>
                <w:numId w:val="2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球机应具备本机存储功能，支持SD卡热插拔</w:t>
            </w:r>
            <w:r>
              <w:rPr>
                <w:rFonts w:hint="eastAsia" w:ascii="宋体" w:hAnsi="宋体" w:eastAsia="宋体" w:cs="宋体"/>
                <w:snapToGrid w:val="0"/>
                <w:color w:val="auto"/>
                <w:sz w:val="21"/>
                <w:szCs w:val="21"/>
                <w:highlight w:val="none"/>
                <w:lang w:val="en-US" w:eastAsia="zh-CN" w:bidi="ar"/>
              </w:rPr>
              <w:t>或内置存储芯</w:t>
            </w:r>
            <w:r>
              <w:rPr>
                <w:rFonts w:hint="eastAsia" w:ascii="宋体" w:hAnsi="宋体" w:eastAsia="宋体" w:cs="宋体"/>
                <w:snapToGrid w:val="0"/>
                <w:color w:val="auto"/>
                <w:sz w:val="21"/>
                <w:szCs w:val="21"/>
                <w:highlight w:val="none"/>
                <w:lang w:bidi="ar"/>
              </w:rPr>
              <w:t>，最大支持256GB</w:t>
            </w:r>
          </w:p>
          <w:p w14:paraId="5A5E41D8">
            <w:pPr>
              <w:pageBreakBefore w:val="0"/>
              <w:widowControl/>
              <w:numPr>
                <w:ilvl w:val="0"/>
                <w:numId w:val="2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支持采用H.265、H.264视频编码标准，H.264编码支持Baseline/Main/High Profile，音频编码支持G.711ulaw/G.711alaw/G.726/G.722.1,支持GB28181协议.</w:t>
            </w:r>
          </w:p>
          <w:p w14:paraId="4C641C73">
            <w:pPr>
              <w:pageBreakBefore w:val="0"/>
              <w:widowControl/>
              <w:numPr>
                <w:ilvl w:val="0"/>
                <w:numId w:val="2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highlight w:val="none"/>
              </w:rPr>
              <w:t>支持高效补光阵列，全景白光照射距离最远</w:t>
            </w:r>
            <w:r>
              <w:rPr>
                <w:rFonts w:hint="eastAsia" w:ascii="宋体" w:hAnsi="宋体" w:eastAsia="宋体" w:cs="宋体"/>
                <w:snapToGrid w:val="0"/>
                <w:color w:val="auto"/>
                <w:sz w:val="21"/>
                <w:szCs w:val="21"/>
                <w:highlight w:val="none"/>
                <w:lang w:bidi="ar"/>
              </w:rPr>
              <w:t>不小于</w:t>
            </w:r>
            <w:r>
              <w:rPr>
                <w:rFonts w:hint="eastAsia" w:ascii="宋体" w:hAnsi="宋体" w:eastAsia="宋体" w:cs="宋体"/>
                <w:color w:val="auto"/>
                <w:highlight w:val="none"/>
              </w:rPr>
              <w:t>30 m，细节补光照射距离最远红外可达</w:t>
            </w:r>
            <w:r>
              <w:rPr>
                <w:rFonts w:hint="eastAsia" w:ascii="宋体" w:hAnsi="宋体" w:eastAsia="宋体" w:cs="宋体"/>
                <w:snapToGrid w:val="0"/>
                <w:color w:val="auto"/>
                <w:sz w:val="21"/>
                <w:szCs w:val="21"/>
                <w:highlight w:val="none"/>
                <w:lang w:bidi="ar"/>
              </w:rPr>
              <w:t>不小于</w:t>
            </w:r>
            <w:r>
              <w:rPr>
                <w:rFonts w:hint="eastAsia" w:ascii="宋体" w:hAnsi="宋体" w:eastAsia="宋体" w:cs="宋体"/>
                <w:color w:val="auto"/>
                <w:highlight w:val="none"/>
              </w:rPr>
              <w:t>150 m；</w:t>
            </w:r>
          </w:p>
          <w:p w14:paraId="60ED6391">
            <w:pPr>
              <w:pageBreakBefore w:val="0"/>
              <w:widowControl/>
              <w:numPr>
                <w:ilvl w:val="0"/>
                <w:numId w:val="2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具备较好的防护性能环境适应性，支持IP67，6kV防浪涌，工作温度范围可达-40℃-70℃</w:t>
            </w:r>
          </w:p>
          <w:p w14:paraId="5A7B8517">
            <w:pPr>
              <w:pageBreakBefore w:val="0"/>
              <w:widowControl/>
              <w:numPr>
                <w:ilvl w:val="0"/>
                <w:numId w:val="2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bidi="ar"/>
              </w:rPr>
              <w:t>符合GB/T 28181-2022标准、GB 35114-2017 A级标准、GA/T 1400-2017标准</w:t>
            </w:r>
          </w:p>
          <w:p w14:paraId="7FF034B8">
            <w:pPr>
              <w:pageBreakBefore w:val="0"/>
              <w:widowControl/>
              <w:numPr>
                <w:ilvl w:val="0"/>
                <w:numId w:val="2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val="en-US" w:eastAsia="zh-CN" w:bidi="ar"/>
              </w:rPr>
              <w:t>具备较好的电源适应性，电压在±30%范围内变化时，设备可正常工作</w:t>
            </w:r>
          </w:p>
        </w:tc>
        <w:tc>
          <w:tcPr>
            <w:tcW w:w="348" w:type="pct"/>
            <w:noWrap w:val="0"/>
            <w:vAlign w:val="center"/>
          </w:tcPr>
          <w:p w14:paraId="28770D9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台</w:t>
            </w:r>
          </w:p>
        </w:tc>
        <w:tc>
          <w:tcPr>
            <w:tcW w:w="369" w:type="pct"/>
            <w:noWrap w:val="0"/>
            <w:vAlign w:val="center"/>
          </w:tcPr>
          <w:p w14:paraId="2CC5FC85">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24 </w:t>
            </w:r>
          </w:p>
        </w:tc>
        <w:tc>
          <w:tcPr>
            <w:tcW w:w="317" w:type="pct"/>
            <w:noWrap w:val="0"/>
            <w:vAlign w:val="center"/>
          </w:tcPr>
          <w:p w14:paraId="2031AF1A">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硬件设备</w:t>
            </w:r>
          </w:p>
        </w:tc>
      </w:tr>
      <w:tr w14:paraId="00A0F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2B0DB61B">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3.2</w:t>
            </w:r>
          </w:p>
        </w:tc>
        <w:tc>
          <w:tcPr>
            <w:tcW w:w="607" w:type="pct"/>
            <w:noWrap w:val="0"/>
            <w:vAlign w:val="center"/>
          </w:tcPr>
          <w:p w14:paraId="190B5B2F">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900万电子警察抓拍单元</w:t>
            </w:r>
          </w:p>
        </w:tc>
        <w:tc>
          <w:tcPr>
            <w:tcW w:w="2949" w:type="pct"/>
            <w:noWrap w:val="0"/>
            <w:vAlign w:val="center"/>
          </w:tcPr>
          <w:p w14:paraId="76B39904">
            <w:pPr>
              <w:pageBreakBefore w:val="0"/>
              <w:widowControl/>
              <w:numPr>
                <w:ilvl w:val="0"/>
                <w:numId w:val="2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含高清一体化嵌入式摄像机、高清镜头、室外防护罩、相机内置网络信号防雷器、电源适配器等</w:t>
            </w:r>
          </w:p>
          <w:p w14:paraId="3872CFE2">
            <w:pPr>
              <w:pageBreakBefore w:val="0"/>
              <w:widowControl/>
              <w:numPr>
                <w:ilvl w:val="0"/>
                <w:numId w:val="2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图像传感器：采用1英寸GMOS，支持主码流同时输出不少于30路4096×2160、2Mbps的25帧/s图像以提供客户端浏览</w:t>
            </w:r>
          </w:p>
          <w:p w14:paraId="68CEF9BC">
            <w:pPr>
              <w:pageBreakBefore w:val="0"/>
              <w:widowControl/>
              <w:numPr>
                <w:ilvl w:val="0"/>
                <w:numId w:val="2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最大图像尺寸：≥4096×2160像素；</w:t>
            </w:r>
          </w:p>
          <w:p w14:paraId="1C4F0E3C">
            <w:pPr>
              <w:pageBreakBefore w:val="0"/>
              <w:widowControl/>
              <w:numPr>
                <w:ilvl w:val="0"/>
                <w:numId w:val="2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视频压缩支持H.265、H.264、M-JPEG</w:t>
            </w:r>
          </w:p>
          <w:p w14:paraId="1E94966C">
            <w:pPr>
              <w:pageBreakBefore w:val="0"/>
              <w:widowControl/>
              <w:numPr>
                <w:ilvl w:val="0"/>
                <w:numId w:val="2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外壳防护等级应不低于IP66</w:t>
            </w:r>
          </w:p>
          <w:p w14:paraId="5CC598B6">
            <w:pPr>
              <w:pageBreakBefore w:val="0"/>
              <w:widowControl/>
              <w:numPr>
                <w:ilvl w:val="0"/>
                <w:numId w:val="2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支持车辆捕获抓拍功能，在天气晴朗无雾，号牌无遮挡、无污损，白天环境光照度不低于200lx，晚上辅助光照度不高于30lx的条件下测试，白天和晚上的捕获率均≥99%</w:t>
            </w:r>
          </w:p>
          <w:p w14:paraId="3ECC8366">
            <w:pPr>
              <w:pageBreakBefore w:val="0"/>
              <w:widowControl/>
              <w:numPr>
                <w:ilvl w:val="0"/>
                <w:numId w:val="2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rPr>
              <w:t>支持</w:t>
            </w:r>
            <w:r>
              <w:rPr>
                <w:rFonts w:hint="eastAsia" w:ascii="宋体" w:hAnsi="宋体" w:eastAsia="宋体" w:cs="宋体"/>
                <w:color w:val="auto"/>
                <w:sz w:val="21"/>
                <w:szCs w:val="21"/>
                <w:highlight w:val="none"/>
                <w:lang w:val="en-US" w:eastAsia="zh-CN"/>
              </w:rPr>
              <w:t>对</w:t>
            </w:r>
            <w:r>
              <w:rPr>
                <w:rFonts w:hint="eastAsia" w:ascii="宋体" w:hAnsi="宋体" w:eastAsia="宋体" w:cs="宋体"/>
                <w:color w:val="auto"/>
                <w:sz w:val="21"/>
                <w:szCs w:val="21"/>
                <w:highlight w:val="none"/>
              </w:rPr>
              <w:t>无人驾驶的车辆进行车牌识别；支持自动画线功能，可自动识别并画出车道线和抓拍检测线；支持辅助生成车道线和车道线类型，可人工确认并修改；支持辅助生成电警场景配置线和信号灯检测框，可人工确认并修改；（提供公安部检测机构或其他经国家认可的第三方检测机构出具的检测报告复印件并加盖投标人公章）</w:t>
            </w:r>
          </w:p>
          <w:p w14:paraId="11851795">
            <w:pPr>
              <w:pageBreakBefore w:val="0"/>
              <w:widowControl/>
              <w:numPr>
                <w:ilvl w:val="0"/>
                <w:numId w:val="2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支持对不按导向行驶的车辆进行违法检测抓拍，在天气晴朗无雾，号牌无遮挡、无污损，白天环境光照度不低于200lx，晚上辅助光照度不高于30lx的条件下测试，白天和晚上的捕获率准确均≥98%，白天和晚上的识别准确率均≥98%</w:t>
            </w:r>
          </w:p>
          <w:p w14:paraId="295793EB">
            <w:pPr>
              <w:pageBreakBefore w:val="0"/>
              <w:widowControl/>
              <w:numPr>
                <w:ilvl w:val="0"/>
                <w:numId w:val="2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支持闯红灯抓拍功能，在天气晴朗无雾，号牌无遮挡、无污损，白天环境光照度不低于200lx，晚上辅助光照度不高于30lx的条件下测试，白天和晚上闯红灯的捕获率均≥99%</w:t>
            </w:r>
          </w:p>
          <w:p w14:paraId="12BC4AB0">
            <w:pPr>
              <w:pageBreakBefore w:val="0"/>
              <w:widowControl/>
              <w:numPr>
                <w:ilvl w:val="0"/>
                <w:numId w:val="2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支持民用车牌，警用车牌，军牌和武警车牌及2002式新车民用车双行尾牌、使馆车牌、农用车牌；民航、SPIA等特殊车牌；福鼎电动车牌等车牌进行识别</w:t>
            </w:r>
          </w:p>
          <w:p w14:paraId="01496FD2">
            <w:pPr>
              <w:pageBreakBefore w:val="0"/>
              <w:widowControl/>
              <w:numPr>
                <w:ilvl w:val="0"/>
                <w:numId w:val="2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支持压线（压实线、压单黄线、压双黄线）、逆行、占用应急车道、黄网格违停、加塞等违章检测</w:t>
            </w:r>
          </w:p>
          <w:p w14:paraId="0A2DE20A">
            <w:pPr>
              <w:pageBreakBefore w:val="0"/>
              <w:widowControl/>
              <w:numPr>
                <w:ilvl w:val="0"/>
                <w:numId w:val="2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支持车辆子品牌识别功能，通过车头可识别7100种，通过车尾可识别3800种，全天识别准确率不低于99%</w:t>
            </w:r>
          </w:p>
          <w:p w14:paraId="134E6F25">
            <w:pPr>
              <w:pageBreakBefore w:val="0"/>
              <w:widowControl/>
              <w:numPr>
                <w:ilvl w:val="0"/>
                <w:numId w:val="2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支持设置事件分级，可将车辆占道、跨道、s弯、右侧超车配置为二级，可将停车、逆行配置为三级； 可将检测到车速超过限速值的10%并低于20%，或车速在40km/h～50km/h范围内配置为二级；可将检测到车速超过限速值的20%及以上，或低于40km/h配置为三级； 可将车辆在施工导改区附近配置为二级，可将车辆进入施工导改区附近配置为三级；（提供公安部检测机构或其他经国家认可的第三方检测机构出具的检测报告复印件并加盖投标人公章）</w:t>
            </w:r>
          </w:p>
          <w:p w14:paraId="21FB7536">
            <w:pPr>
              <w:pageBreakBefore w:val="0"/>
              <w:widowControl/>
              <w:numPr>
                <w:ilvl w:val="0"/>
                <w:numId w:val="2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支持14种车身颜色识别，包括黑、白、灰、红、绿、蓝、黄、粉、紫、棕、青、金、橙、银灰</w:t>
            </w:r>
          </w:p>
          <w:p w14:paraId="06CA88C4">
            <w:pPr>
              <w:pageBreakBefore w:val="0"/>
              <w:widowControl/>
              <w:numPr>
                <w:ilvl w:val="0"/>
                <w:numId w:val="2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▲违法合成图时间配置功能:Web 界面支持配置合成图的时间，合成图时间可选择第1张或者最后1张的时间在0SD上进行叠加;</w:t>
            </w:r>
          </w:p>
          <w:p w14:paraId="230F737F">
            <w:pPr>
              <w:pageBreakBefore w:val="0"/>
              <w:widowControl/>
              <w:numPr>
                <w:ilvl w:val="0"/>
                <w:numId w:val="2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▲透雾模式功能:支持透雾模式的开启和关闭，可分别设置早晨/傍晚/白天/夜晚等不同场景下的透雾模式状态;</w:t>
            </w:r>
          </w:p>
          <w:p w14:paraId="4CB7D397">
            <w:pPr>
              <w:pageBreakBefore w:val="0"/>
              <w:widowControl/>
              <w:numPr>
                <w:ilvl w:val="0"/>
                <w:numId w:val="2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▲信号灯状态显示功能:支持在预览界面利用图标实时显示道路信号灯红绿状态;</w:t>
            </w:r>
          </w:p>
          <w:p w14:paraId="14A99C56">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1</w:t>
            </w:r>
            <w:r>
              <w:rPr>
                <w:rFonts w:hint="eastAsia" w:ascii="宋体" w:hAnsi="宋体" w:eastAsia="宋体" w:cs="宋体"/>
                <w:snapToGrid w:val="0"/>
                <w:color w:val="auto"/>
                <w:sz w:val="21"/>
                <w:szCs w:val="21"/>
                <w:highlight w:val="none"/>
                <w:lang w:val="en-US" w:eastAsia="zh-CN" w:bidi="ar"/>
              </w:rPr>
              <w:t>8</w:t>
            </w:r>
            <w:r>
              <w:rPr>
                <w:rFonts w:hint="eastAsia" w:ascii="宋体" w:hAnsi="宋体" w:eastAsia="宋体" w:cs="宋体"/>
                <w:snapToGrid w:val="0"/>
                <w:color w:val="auto"/>
                <w:sz w:val="21"/>
                <w:szCs w:val="21"/>
                <w:highlight w:val="none"/>
                <w:lang w:bidi="ar"/>
              </w:rPr>
              <w:t>.</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bidi="ar"/>
              </w:rPr>
              <w:t>符合GB/T 28181-2022标准、GB 35114-2017 A级标准、GA/T 1400-2017标准</w:t>
            </w:r>
          </w:p>
        </w:tc>
        <w:tc>
          <w:tcPr>
            <w:tcW w:w="348" w:type="pct"/>
            <w:noWrap w:val="0"/>
            <w:vAlign w:val="center"/>
          </w:tcPr>
          <w:p w14:paraId="61D29854">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台</w:t>
            </w:r>
          </w:p>
        </w:tc>
        <w:tc>
          <w:tcPr>
            <w:tcW w:w="369" w:type="pct"/>
            <w:noWrap w:val="0"/>
            <w:vAlign w:val="center"/>
          </w:tcPr>
          <w:p w14:paraId="1AB3EA01">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24 </w:t>
            </w:r>
          </w:p>
        </w:tc>
        <w:tc>
          <w:tcPr>
            <w:tcW w:w="317" w:type="pct"/>
            <w:noWrap w:val="0"/>
            <w:vAlign w:val="center"/>
          </w:tcPr>
          <w:p w14:paraId="613FE124">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硬件设备</w:t>
            </w:r>
          </w:p>
        </w:tc>
      </w:tr>
      <w:tr w14:paraId="49BC0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73166351">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3.3</w:t>
            </w:r>
          </w:p>
        </w:tc>
        <w:tc>
          <w:tcPr>
            <w:tcW w:w="607" w:type="pct"/>
            <w:noWrap w:val="0"/>
            <w:vAlign w:val="center"/>
          </w:tcPr>
          <w:p w14:paraId="4A177B33">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LED频闪补光灯</w:t>
            </w:r>
          </w:p>
        </w:tc>
        <w:tc>
          <w:tcPr>
            <w:tcW w:w="2949" w:type="pct"/>
            <w:noWrap w:val="0"/>
            <w:vAlign w:val="center"/>
          </w:tcPr>
          <w:p w14:paraId="4A265A54">
            <w:pPr>
              <w:pageBreakBefore w:val="0"/>
              <w:widowControl/>
              <w:numPr>
                <w:ilvl w:val="0"/>
                <w:numId w:val="2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sz w:val="21"/>
                <w:szCs w:val="21"/>
                <w:highlight w:val="none"/>
                <w:lang w:bidi="ar"/>
              </w:rPr>
              <w:t>▲LED灯珠数量≥16颗</w:t>
            </w:r>
          </w:p>
          <w:p w14:paraId="6093FD96">
            <w:pPr>
              <w:pageBreakBefore w:val="0"/>
              <w:widowControl/>
              <w:numPr>
                <w:ilvl w:val="0"/>
                <w:numId w:val="2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接口：不小于1 路RS485串口；</w:t>
            </w:r>
          </w:p>
          <w:p w14:paraId="629AACCE">
            <w:pPr>
              <w:pageBreakBefore w:val="0"/>
              <w:widowControl/>
              <w:numPr>
                <w:ilvl w:val="0"/>
                <w:numId w:val="2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参数配置：支持内部参数设置，如频闪模式、持续时间、延时等；</w:t>
            </w:r>
          </w:p>
          <w:p w14:paraId="5B1F5493">
            <w:pPr>
              <w:pageBreakBefore w:val="0"/>
              <w:widowControl/>
              <w:numPr>
                <w:ilvl w:val="0"/>
                <w:numId w:val="2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色温：4500K；</w:t>
            </w:r>
          </w:p>
          <w:p w14:paraId="55F57743">
            <w:pPr>
              <w:pageBreakBefore w:val="0"/>
              <w:widowControl/>
              <w:numPr>
                <w:ilvl w:val="0"/>
                <w:numId w:val="2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频率：支持频闪频率50、60、75、90、100、120Hz 可调；</w:t>
            </w:r>
          </w:p>
          <w:p w14:paraId="4A9F924A">
            <w:pPr>
              <w:pageBreakBefore w:val="0"/>
              <w:widowControl/>
              <w:numPr>
                <w:ilvl w:val="0"/>
                <w:numId w:val="2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highlight w:val="none"/>
              </w:rPr>
              <w:t>最佳补光距离≥16米</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25米；</w:t>
            </w:r>
            <w:r>
              <w:rPr>
                <w:rFonts w:hint="eastAsia" w:ascii="宋体" w:hAnsi="宋体" w:eastAsia="宋体" w:cs="宋体"/>
                <w:snapToGrid w:val="0"/>
                <w:color w:val="auto"/>
                <w:sz w:val="21"/>
                <w:szCs w:val="21"/>
                <w:highlight w:val="none"/>
                <w:lang w:bidi="ar"/>
              </w:rPr>
              <w:t>防水等级：IP66</w:t>
            </w:r>
            <w:r>
              <w:rPr>
                <w:rFonts w:hint="eastAsia" w:ascii="宋体" w:hAnsi="宋体" w:eastAsia="宋体" w:cs="宋体"/>
                <w:snapToGrid w:val="0"/>
                <w:color w:val="auto"/>
                <w:sz w:val="21"/>
                <w:szCs w:val="21"/>
                <w:highlight w:val="none"/>
                <w:lang w:val="en-US" w:eastAsia="zh-CN" w:bidi="ar"/>
              </w:rPr>
              <w:t>及以上</w:t>
            </w:r>
            <w:r>
              <w:rPr>
                <w:rFonts w:hint="eastAsia" w:ascii="宋体" w:hAnsi="宋体" w:eastAsia="宋体" w:cs="宋体"/>
                <w:snapToGrid w:val="0"/>
                <w:color w:val="auto"/>
                <w:sz w:val="21"/>
                <w:szCs w:val="21"/>
                <w:highlight w:val="none"/>
                <w:lang w:bidi="ar"/>
              </w:rPr>
              <w:t>；</w:t>
            </w:r>
          </w:p>
        </w:tc>
        <w:tc>
          <w:tcPr>
            <w:tcW w:w="348" w:type="pct"/>
            <w:noWrap w:val="0"/>
            <w:vAlign w:val="center"/>
          </w:tcPr>
          <w:p w14:paraId="0A6AD463">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台</w:t>
            </w:r>
          </w:p>
        </w:tc>
        <w:tc>
          <w:tcPr>
            <w:tcW w:w="369" w:type="pct"/>
            <w:noWrap w:val="0"/>
            <w:vAlign w:val="center"/>
          </w:tcPr>
          <w:p w14:paraId="6A97526A">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58 </w:t>
            </w:r>
          </w:p>
        </w:tc>
        <w:tc>
          <w:tcPr>
            <w:tcW w:w="317" w:type="pct"/>
            <w:noWrap w:val="0"/>
            <w:vAlign w:val="center"/>
          </w:tcPr>
          <w:p w14:paraId="777F1D87">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硬件设备</w:t>
            </w:r>
          </w:p>
        </w:tc>
      </w:tr>
      <w:tr w14:paraId="128F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4AD4F556">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3.4</w:t>
            </w:r>
          </w:p>
        </w:tc>
        <w:tc>
          <w:tcPr>
            <w:tcW w:w="607" w:type="pct"/>
            <w:noWrap w:val="0"/>
            <w:vAlign w:val="center"/>
          </w:tcPr>
          <w:p w14:paraId="01E76390">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900万环保卡口高清抓拍单元</w:t>
            </w:r>
          </w:p>
        </w:tc>
        <w:tc>
          <w:tcPr>
            <w:tcW w:w="2949" w:type="pct"/>
            <w:noWrap w:val="0"/>
            <w:vAlign w:val="center"/>
          </w:tcPr>
          <w:p w14:paraId="3F28A8D7">
            <w:pPr>
              <w:pageBreakBefore w:val="0"/>
              <w:widowControl/>
              <w:numPr>
                <w:ilvl w:val="0"/>
                <w:numId w:val="2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由防护罩组件及高清智能摄像机组成，抓拍单元防护罩前面板具有防尘、防水功能，以及 LED补光灯；</w:t>
            </w:r>
          </w:p>
          <w:p w14:paraId="5CF685DA">
            <w:pPr>
              <w:pageBreakBefore w:val="0"/>
              <w:widowControl/>
              <w:numPr>
                <w:ilvl w:val="0"/>
                <w:numId w:val="2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szCs w:val="24"/>
                <w:highlight w:val="none"/>
              </w:rPr>
              <w:t>内置2颗1英寸CMOS传感器；</w:t>
            </w:r>
            <w:r>
              <w:rPr>
                <w:rFonts w:hint="eastAsia" w:ascii="宋体" w:hAnsi="宋体" w:eastAsia="宋体" w:cs="宋体"/>
                <w:snapToGrid w:val="0"/>
                <w:color w:val="auto"/>
                <w:sz w:val="21"/>
                <w:szCs w:val="21"/>
                <w:highlight w:val="none"/>
                <w:lang w:bidi="ar"/>
              </w:rPr>
              <w:t>最大图像尺寸：≥4096×2160像素；字符叠加时最大可支持≥4096×2800</w:t>
            </w:r>
          </w:p>
          <w:p w14:paraId="1E000345">
            <w:pPr>
              <w:pageBreakBefore w:val="0"/>
              <w:widowControl/>
              <w:numPr>
                <w:ilvl w:val="0"/>
                <w:numId w:val="2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设备的镜头和两个sensor一体化设计，分别接收可见光和红外光。抓拍支持输出三张同时刻目标图片，包括可见光路图片（全彩），红外路图片（黑白）和融合图片（全彩），三张图片抓拍时间为同一时刻，抓拍运动目标，三张图片中目标位置相同无位移。</w:t>
            </w:r>
          </w:p>
          <w:p w14:paraId="04653AE8">
            <w:pPr>
              <w:pageBreakBefore w:val="0"/>
              <w:widowControl/>
              <w:numPr>
                <w:ilvl w:val="0"/>
                <w:numId w:val="2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支持同时预览两路sensor视频，在红外灯补光场景下，可见光路视频图像中完全无光，同时红外路视频图像补光灯可清晰看到亮光。</w:t>
            </w:r>
            <w:r>
              <w:rPr>
                <w:rFonts w:hint="eastAsia" w:ascii="宋体" w:hAnsi="宋体" w:eastAsia="宋体" w:cs="宋体"/>
                <w:color w:val="auto"/>
                <w:sz w:val="21"/>
                <w:szCs w:val="21"/>
                <w:highlight w:val="none"/>
              </w:rPr>
              <w:t>（提供公安部检测机构或其他经国家认可的第三方检测机构出具的检测报告复印件并加盖投标人公章）</w:t>
            </w:r>
          </w:p>
          <w:p w14:paraId="606D4B9D">
            <w:pPr>
              <w:pageBreakBefore w:val="0"/>
              <w:widowControl/>
              <w:numPr>
                <w:ilvl w:val="0"/>
                <w:numId w:val="2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外壳防护等级应不低于IP66</w:t>
            </w:r>
          </w:p>
          <w:p w14:paraId="76B9F614">
            <w:pPr>
              <w:pageBreakBefore w:val="0"/>
              <w:widowControl/>
              <w:numPr>
                <w:ilvl w:val="0"/>
                <w:numId w:val="2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Cs w:val="24"/>
                <w:highlight w:val="none"/>
              </w:rPr>
            </w:pPr>
            <w:r>
              <w:rPr>
                <w:rFonts w:hint="eastAsia" w:ascii="宋体" w:hAnsi="宋体" w:eastAsia="宋体" w:cs="宋体"/>
                <w:snapToGrid w:val="0"/>
                <w:color w:val="auto"/>
                <w:sz w:val="21"/>
                <w:szCs w:val="21"/>
                <w:highlight w:val="none"/>
                <w:lang w:bidi="ar"/>
              </w:rPr>
              <w:t>支持车辆子品牌识别功能，通过车头可识别7100种，通过车尾可识别3800种，全天识别准确率不低于99%</w:t>
            </w:r>
          </w:p>
          <w:p w14:paraId="0C182EE9">
            <w:pPr>
              <w:pageBreakBefore w:val="0"/>
              <w:widowControl/>
              <w:numPr>
                <w:ilvl w:val="0"/>
                <w:numId w:val="2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szCs w:val="24"/>
                <w:highlight w:val="none"/>
              </w:rPr>
              <w:t>支持压车道线、违章变道、未系安全带、未戴头盔、非机动车载人、不礼让行人、逆行、低速、机动车闯禁令、打电话、占用机动车道、摩托车闯禁令、加塞等违法行为检测；</w:t>
            </w:r>
          </w:p>
          <w:p w14:paraId="3F966351">
            <w:pPr>
              <w:pageBreakBefore w:val="0"/>
              <w:widowControl/>
              <w:numPr>
                <w:ilvl w:val="0"/>
                <w:numId w:val="2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包含高清一体化嵌入式摄像机、高清镜头、室外防护罩、电源适配器等</w:t>
            </w:r>
          </w:p>
          <w:p w14:paraId="69AEBBED">
            <w:pPr>
              <w:pageBreakBefore w:val="0"/>
              <w:widowControl/>
              <w:numPr>
                <w:ilvl w:val="0"/>
                <w:numId w:val="2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rPr>
              <w:t>支持两台设备（一个卡口、一个电警）和外接鱼眼相机，实现车辆的管控取证和违章变道的取证（支持配合终端服务器输出卡口和电警的抓拍合成图，可配置输出合成鱼眼图）。（提供公安部检测机构或其他经国家认可的第三方检测机构出具的检测报告复印件并加盖投标人公章）</w:t>
            </w:r>
          </w:p>
          <w:p w14:paraId="74ECBE51">
            <w:pPr>
              <w:pageBreakBefore w:val="0"/>
              <w:widowControl/>
              <w:numPr>
                <w:ilvl w:val="0"/>
                <w:numId w:val="2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持对无人驾驶的车辆进行车牌识别。支持外接雷达实现测速，并支持视频测速校正雷达测速结果输出（在雷达未标定情况下）。（提供公安部检测机构或其他经国家认可的第三方检测机构出具的检测报告复印件并加盖投标人公章）</w:t>
            </w:r>
          </w:p>
          <w:p w14:paraId="6724C2F2">
            <w:pPr>
              <w:pageBreakBefore w:val="0"/>
              <w:widowControl/>
              <w:numPr>
                <w:ilvl w:val="0"/>
                <w:numId w:val="2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▲违法合成图时间配置功能:Web 界面支持配置合成图的时间，合成图时间可选择第1张或者最后1张的时间在0SD上进行叠加;</w:t>
            </w:r>
          </w:p>
          <w:p w14:paraId="6DB6C751">
            <w:pPr>
              <w:pageBreakBefore w:val="0"/>
              <w:widowControl/>
              <w:numPr>
                <w:ilvl w:val="0"/>
                <w:numId w:val="2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▲透雾模式功能:支持透雾模式的开启和关闭，可分别设置早晨/傍晚/白天/夜晚等不同场景下的透雾模式状态;</w:t>
            </w:r>
          </w:p>
          <w:p w14:paraId="3265F642">
            <w:pPr>
              <w:pageBreakBefore w:val="0"/>
              <w:widowControl/>
              <w:numPr>
                <w:ilvl w:val="0"/>
                <w:numId w:val="2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▲信号灯状态显示功能:支持在预览界面利用图标实时显示道路信号灯红绿状态;</w:t>
            </w:r>
          </w:p>
          <w:p w14:paraId="702E0AA9">
            <w:pPr>
              <w:pageBreakBefore w:val="0"/>
              <w:widowControl/>
              <w:numPr>
                <w:ilvl w:val="0"/>
                <w:numId w:val="2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bidi="ar"/>
              </w:rPr>
              <w:t>符合GB/T 28181-2022标准、GB 35114-2017 A级标准、GA/T 1400-2017标准。</w:t>
            </w:r>
          </w:p>
        </w:tc>
        <w:tc>
          <w:tcPr>
            <w:tcW w:w="348" w:type="pct"/>
            <w:noWrap w:val="0"/>
            <w:vAlign w:val="center"/>
          </w:tcPr>
          <w:p w14:paraId="08463214">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台</w:t>
            </w:r>
          </w:p>
        </w:tc>
        <w:tc>
          <w:tcPr>
            <w:tcW w:w="369" w:type="pct"/>
            <w:noWrap w:val="0"/>
            <w:vAlign w:val="center"/>
          </w:tcPr>
          <w:p w14:paraId="7E98DDA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20 </w:t>
            </w:r>
          </w:p>
        </w:tc>
        <w:tc>
          <w:tcPr>
            <w:tcW w:w="317" w:type="pct"/>
            <w:noWrap w:val="0"/>
            <w:vAlign w:val="center"/>
          </w:tcPr>
          <w:p w14:paraId="67E69D0E">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硬件设备</w:t>
            </w:r>
          </w:p>
        </w:tc>
      </w:tr>
      <w:tr w14:paraId="1EFFB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7A61F023">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3.5</w:t>
            </w:r>
          </w:p>
        </w:tc>
        <w:tc>
          <w:tcPr>
            <w:tcW w:w="607" w:type="pct"/>
            <w:noWrap w:val="0"/>
            <w:vAlign w:val="center"/>
          </w:tcPr>
          <w:p w14:paraId="33C10186">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环保卡口补光灯（多合一补光灯）</w:t>
            </w:r>
          </w:p>
        </w:tc>
        <w:tc>
          <w:tcPr>
            <w:tcW w:w="2949" w:type="pct"/>
            <w:noWrap w:val="0"/>
            <w:vAlign w:val="center"/>
          </w:tcPr>
          <w:p w14:paraId="204FC258">
            <w:pPr>
              <w:pageBreakBefore w:val="0"/>
              <w:widowControl/>
              <w:numPr>
                <w:ilvl w:val="0"/>
                <w:numId w:val="25"/>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补光装置光源包括LED光源（一级频闪）、气体放电光源（二级脉冲）和红外光源</w:t>
            </w:r>
          </w:p>
          <w:p w14:paraId="1B3EEE91">
            <w:pPr>
              <w:pageBreakBefore w:val="0"/>
              <w:widowControl/>
              <w:numPr>
                <w:ilvl w:val="0"/>
                <w:numId w:val="25"/>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采用LED光源和气灯放电两种光源，支持红外和白光补光切换</w:t>
            </w:r>
          </w:p>
          <w:p w14:paraId="7352E11D">
            <w:pPr>
              <w:pageBreakBefore w:val="0"/>
              <w:widowControl/>
              <w:numPr>
                <w:ilvl w:val="0"/>
                <w:numId w:val="25"/>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气体光源回电时间小于67ms，支持超速连拍，</w:t>
            </w:r>
          </w:p>
          <w:p w14:paraId="30D2F397">
            <w:pPr>
              <w:pageBreakBefore w:val="0"/>
              <w:widowControl/>
              <w:numPr>
                <w:ilvl w:val="0"/>
                <w:numId w:val="25"/>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气体补光控制具有峰值抑制功能</w:t>
            </w:r>
          </w:p>
          <w:p w14:paraId="4DFAB6DF">
            <w:pPr>
              <w:pageBreakBefore w:val="0"/>
              <w:widowControl/>
              <w:numPr>
                <w:ilvl w:val="0"/>
                <w:numId w:val="25"/>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支持LED灯频闪、白光气体爆闪，红外气体爆闪</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支持相机误触发保护功能，触发信号输入异常时自动保护、且自动恢复</w:t>
            </w:r>
          </w:p>
          <w:p w14:paraId="72FA4193">
            <w:pPr>
              <w:pageBreakBefore w:val="0"/>
              <w:widowControl/>
              <w:numPr>
                <w:ilvl w:val="0"/>
                <w:numId w:val="25"/>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具备≥1路RS485接口、≥1路气体脉冲爆闪输入接口，≥1路光源切换接口，≥1路频闪输入接口、≥1路LED爆闪输入接口</w:t>
            </w:r>
          </w:p>
          <w:p w14:paraId="1FE56D14">
            <w:pPr>
              <w:pageBreakBefore w:val="0"/>
              <w:widowControl/>
              <w:numPr>
                <w:ilvl w:val="0"/>
                <w:numId w:val="25"/>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符合GA/T 1202-2022《交通技术监控成像补光装置通用技术条件》</w:t>
            </w:r>
          </w:p>
        </w:tc>
        <w:tc>
          <w:tcPr>
            <w:tcW w:w="348" w:type="pct"/>
            <w:noWrap w:val="0"/>
            <w:vAlign w:val="center"/>
          </w:tcPr>
          <w:p w14:paraId="218D0A92">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台</w:t>
            </w:r>
          </w:p>
        </w:tc>
        <w:tc>
          <w:tcPr>
            <w:tcW w:w="369" w:type="pct"/>
            <w:noWrap w:val="0"/>
            <w:vAlign w:val="center"/>
          </w:tcPr>
          <w:p w14:paraId="221ED7EC">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32</w:t>
            </w:r>
          </w:p>
        </w:tc>
        <w:tc>
          <w:tcPr>
            <w:tcW w:w="317" w:type="pct"/>
            <w:noWrap w:val="0"/>
            <w:vAlign w:val="center"/>
          </w:tcPr>
          <w:p w14:paraId="2B58D633">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硬件设备</w:t>
            </w:r>
          </w:p>
        </w:tc>
      </w:tr>
      <w:tr w14:paraId="5239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15F65267">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3.6</w:t>
            </w:r>
          </w:p>
        </w:tc>
        <w:tc>
          <w:tcPr>
            <w:tcW w:w="607" w:type="pct"/>
            <w:noWrap w:val="0"/>
            <w:vAlign w:val="center"/>
          </w:tcPr>
          <w:p w14:paraId="6D598A64">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路口终端管理设备（含2块4TB硬盘）</w:t>
            </w:r>
          </w:p>
        </w:tc>
        <w:tc>
          <w:tcPr>
            <w:tcW w:w="2949" w:type="pct"/>
            <w:noWrap w:val="0"/>
            <w:vAlign w:val="center"/>
          </w:tcPr>
          <w:p w14:paraId="180F8E92">
            <w:pPr>
              <w:pageBreakBefore w:val="0"/>
              <w:widowControl/>
              <w:numPr>
                <w:ilvl w:val="0"/>
                <w:numId w:val="2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可设置图片的存储空间，在规定的空间内自动循环覆盖，剩余空间为录像存储空间。</w:t>
            </w:r>
          </w:p>
          <w:p w14:paraId="02C0DC22">
            <w:pPr>
              <w:pageBreakBefore w:val="0"/>
              <w:widowControl/>
              <w:numPr>
                <w:ilvl w:val="0"/>
                <w:numId w:val="2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可实时显示车流量、平均车速、平均车道时间占有率、平均车头时距等数据；支持存储采集到的车流量信息,可对全部卡口或单个卡口按天或按小时实时统计过车流量,并能够按照时间、通道、车道等条件查询,支持柱状图、折线图、表格形式展示,可将数据上传至平台。</w:t>
            </w:r>
          </w:p>
          <w:p w14:paraId="56666322">
            <w:pPr>
              <w:pageBreakBefore w:val="0"/>
              <w:widowControl/>
              <w:numPr>
                <w:ilvl w:val="0"/>
                <w:numId w:val="2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对于在记录过程中出现的系统死机或意外故障，设备能够在规定的时间内自动恢复其正常工作状态并使故障前的信息不丢失。</w:t>
            </w:r>
          </w:p>
          <w:p w14:paraId="057E480E">
            <w:pPr>
              <w:pageBreakBefore w:val="0"/>
              <w:widowControl/>
              <w:numPr>
                <w:ilvl w:val="0"/>
                <w:numId w:val="2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设备内的录像、图片文件无法直接删除或者修改，只能通过循环覆盖和硬盘格式化操作。</w:t>
            </w:r>
          </w:p>
          <w:p w14:paraId="4CE1FDD6">
            <w:pPr>
              <w:pageBreakBefore w:val="0"/>
              <w:widowControl/>
              <w:numPr>
                <w:ilvl w:val="0"/>
                <w:numId w:val="2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支持数据直存，可将视频流直接写入存储；采用自动分段记录格式时，相邻两段间最大记录间隔时间应≤0.4s；对于记录在存储介质上的视(音)频信息，取出的存储介质应能在向型号的其他设备上正常回放，以保证设备发生故障后记录资料的留存(或复制)。</w:t>
            </w:r>
          </w:p>
          <w:p w14:paraId="41A79CCE">
            <w:pPr>
              <w:pageBreakBefore w:val="0"/>
              <w:widowControl/>
              <w:numPr>
                <w:ilvl w:val="0"/>
                <w:numId w:val="2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设备采用嵌入式linux实时操作系统,内存容量为不少于2GB。</w:t>
            </w:r>
          </w:p>
          <w:p w14:paraId="50DD3D8F">
            <w:pPr>
              <w:pageBreakBefore w:val="0"/>
              <w:widowControl/>
              <w:numPr>
                <w:ilvl w:val="0"/>
                <w:numId w:val="2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设备具有不少于2个RS-232接口、2个RS-485接口、1个USB3.0接口、2路报警输入接口、2路报警输出接口、1个音频输入接口、1个音频输出接口、4个SATA接口、4个状态指示灯、1个接地端子、1个复位按键、1个GPS天线接口、1个4G全网通天线接口。</w:t>
            </w:r>
          </w:p>
          <w:p w14:paraId="17842943">
            <w:pPr>
              <w:pageBreakBefore w:val="0"/>
              <w:widowControl/>
              <w:numPr>
                <w:ilvl w:val="0"/>
                <w:numId w:val="2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最多可添加不少于12路IP摄像机(单路码率10M)，进行录像与图片的实时预览和存储并可将IP摄像机的视频图像通过网络传输至客户端。</w:t>
            </w:r>
          </w:p>
          <w:p w14:paraId="56BAFCDD">
            <w:pPr>
              <w:pageBreakBefore w:val="0"/>
              <w:widowControl/>
              <w:numPr>
                <w:ilvl w:val="0"/>
                <w:numId w:val="2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支持4块3.5或2.5英寸硬盘接入，每块盘位最大兼容12TB硬盘，支持硬盘自动切换，当一块硬盘损坏后，能自动切换至其它硬盘进行存储。支持SSD,机械硬盘和SSD可以混合使用。（提供公安部检测机构或其他经国家认可的第三方检测机构出具的检测报告复印件并加盖投标人公章）</w:t>
            </w:r>
          </w:p>
          <w:p w14:paraId="3926273B">
            <w:pPr>
              <w:pageBreakBefore w:val="0"/>
              <w:widowControl/>
              <w:numPr>
                <w:ilvl w:val="0"/>
                <w:numId w:val="2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当数据库文件由于断电等原因损坏后，可以通过网页手动控制数据库修复，恢复过车数据査询功能。</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11. 可显示系统已运行时间、主板温度、终端运行状态。</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12. 可通过USB外接存储介质进行数据备份，备份数据类型、存储目录及文件命名可配置。</w:t>
            </w:r>
          </w:p>
          <w:p w14:paraId="35E5B576">
            <w:pPr>
              <w:pageBreakBefore w:val="0"/>
              <w:widowControl/>
              <w:numPr>
                <w:ilvl w:val="0"/>
                <w:numId w:val="2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可实时显示接入的摄像机、线圈、车检器、红绿灯检测器等前端设备的工作状态、样机内部温度、工作时间等信息；外接机柜门时具有机柜门状态实时显示与查询功能。</w:t>
            </w:r>
          </w:p>
          <w:p w14:paraId="25BD8DD5">
            <w:pPr>
              <w:pageBreakBefore w:val="0"/>
              <w:widowControl/>
              <w:numPr>
                <w:ilvl w:val="0"/>
                <w:numId w:val="2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rPr>
              <w:t>支持将原始图片、特写图片、合成图片、车牌抠图、关联录像、主驾驶人脸图片、副驾驶人脸图片、行人人脸图片、非机动车人脸图片上传至FTP服务器。（提供公安部检测机构或其他经国家认可的第三方检测机构出具的检测报告复印件并加盖投标人公章）</w:t>
            </w:r>
          </w:p>
          <w:p w14:paraId="42686037">
            <w:pPr>
              <w:pageBreakBefore w:val="0"/>
              <w:widowControl/>
              <w:numPr>
                <w:ilvl w:val="0"/>
                <w:numId w:val="2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rPr>
              <w:t>支持配置路段名称、路段编号、路段距离，能够对驶入驶出该路段的车辆抓拍数据匹配并计算车辆的区间速度值；支持设置过滤</w:t>
            </w:r>
            <w:r>
              <w:rPr>
                <w:rFonts w:hint="eastAsia" w:ascii="宋体" w:hAnsi="宋体" w:eastAsia="宋体" w:cs="宋体"/>
                <w:color w:val="auto"/>
                <w:sz w:val="21"/>
                <w:szCs w:val="21"/>
                <w:highlight w:val="none"/>
                <w:lang w:val="en-US" w:eastAsia="zh-CN"/>
              </w:rPr>
              <w:t>阀</w:t>
            </w:r>
            <w:r>
              <w:rPr>
                <w:rFonts w:hint="eastAsia" w:ascii="宋体" w:hAnsi="宋体" w:eastAsia="宋体" w:cs="宋体"/>
                <w:color w:val="auto"/>
                <w:sz w:val="21"/>
                <w:szCs w:val="21"/>
                <w:highlight w:val="none"/>
              </w:rPr>
              <w:t>值，对异常测速结果进行过滤；支持超速检测和欠速检测，可分别设定高限速和低限速值。（提供公安部检测机构或其他经国家认可的第三方检测机构出具的检测报告复印件并加盖投标人公章）</w:t>
            </w:r>
          </w:p>
        </w:tc>
        <w:tc>
          <w:tcPr>
            <w:tcW w:w="348" w:type="pct"/>
            <w:noWrap w:val="0"/>
            <w:vAlign w:val="center"/>
          </w:tcPr>
          <w:p w14:paraId="4371D295">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台</w:t>
            </w:r>
          </w:p>
        </w:tc>
        <w:tc>
          <w:tcPr>
            <w:tcW w:w="369" w:type="pct"/>
            <w:noWrap w:val="0"/>
            <w:vAlign w:val="center"/>
          </w:tcPr>
          <w:p w14:paraId="641464D1">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12 </w:t>
            </w:r>
          </w:p>
        </w:tc>
        <w:tc>
          <w:tcPr>
            <w:tcW w:w="317" w:type="pct"/>
            <w:noWrap w:val="0"/>
            <w:vAlign w:val="center"/>
          </w:tcPr>
          <w:p w14:paraId="6F41987C">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硬件设备</w:t>
            </w:r>
          </w:p>
        </w:tc>
      </w:tr>
      <w:tr w14:paraId="49F43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79BC23C9">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3.7</w:t>
            </w:r>
          </w:p>
        </w:tc>
        <w:tc>
          <w:tcPr>
            <w:tcW w:w="607" w:type="pct"/>
            <w:noWrap w:val="0"/>
            <w:vAlign w:val="center"/>
          </w:tcPr>
          <w:p w14:paraId="624DE0CB">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红绿灯信号检测器</w:t>
            </w:r>
          </w:p>
        </w:tc>
        <w:tc>
          <w:tcPr>
            <w:tcW w:w="2949" w:type="pct"/>
            <w:noWrap w:val="0"/>
            <w:vAlign w:val="center"/>
          </w:tcPr>
          <w:p w14:paraId="00FAC638">
            <w:pPr>
              <w:pageBreakBefore w:val="0"/>
              <w:widowControl/>
              <w:numPr>
                <w:ilvl w:val="0"/>
                <w:numId w:val="27"/>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▲支持不少于16 路信号检测</w:t>
            </w:r>
          </w:p>
          <w:p w14:paraId="152597C1">
            <w:pPr>
              <w:pageBreakBefore w:val="0"/>
              <w:widowControl/>
              <w:numPr>
                <w:ilvl w:val="0"/>
                <w:numId w:val="27"/>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▲不少于4 路 RS485 输出或 1 路 RJ45</w:t>
            </w:r>
          </w:p>
        </w:tc>
        <w:tc>
          <w:tcPr>
            <w:tcW w:w="348" w:type="pct"/>
            <w:noWrap w:val="0"/>
            <w:vAlign w:val="center"/>
          </w:tcPr>
          <w:p w14:paraId="61F71F07">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台</w:t>
            </w:r>
          </w:p>
        </w:tc>
        <w:tc>
          <w:tcPr>
            <w:tcW w:w="369" w:type="pct"/>
            <w:noWrap w:val="0"/>
            <w:vAlign w:val="center"/>
          </w:tcPr>
          <w:p w14:paraId="644823F6">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6 </w:t>
            </w:r>
          </w:p>
        </w:tc>
        <w:tc>
          <w:tcPr>
            <w:tcW w:w="317" w:type="pct"/>
            <w:noWrap w:val="0"/>
            <w:vAlign w:val="center"/>
          </w:tcPr>
          <w:p w14:paraId="33D1E286">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硬件设备</w:t>
            </w:r>
          </w:p>
        </w:tc>
      </w:tr>
      <w:tr w14:paraId="24A04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5D71025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3.8</w:t>
            </w:r>
          </w:p>
        </w:tc>
        <w:tc>
          <w:tcPr>
            <w:tcW w:w="607" w:type="pct"/>
            <w:noWrap w:val="0"/>
            <w:vAlign w:val="center"/>
          </w:tcPr>
          <w:p w14:paraId="27926D13">
            <w:pPr>
              <w:pageBreakBefore w:val="0"/>
              <w:widowControl/>
              <w:shd w:val="clear"/>
              <w:kinsoku/>
              <w:wordWrap/>
              <w:overflowPunct/>
              <w:topLinePunct w:val="0"/>
              <w:autoSpaceDE w:val="0"/>
              <w:autoSpaceDN w:val="0"/>
              <w:bidi w:val="0"/>
              <w:adjustRightInd w:val="0"/>
              <w:snapToGrid w:val="0"/>
              <w:spacing w:line="360" w:lineRule="auto"/>
              <w:jc w:val="both"/>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窄波测速雷达</w:t>
            </w:r>
          </w:p>
        </w:tc>
        <w:tc>
          <w:tcPr>
            <w:tcW w:w="2949" w:type="pct"/>
            <w:noWrap w:val="0"/>
            <w:vAlign w:val="center"/>
          </w:tcPr>
          <w:p w14:paraId="43AA7BAB">
            <w:pPr>
              <w:pageBreakBefore w:val="0"/>
              <w:widowControl/>
              <w:numPr>
                <w:ilvl w:val="0"/>
                <w:numId w:val="28"/>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测速范围</w:t>
            </w:r>
            <w:r>
              <w:rPr>
                <w:rFonts w:hint="eastAsia" w:ascii="宋体" w:hAnsi="宋体" w:eastAsia="宋体" w:cs="宋体"/>
                <w:color w:val="auto"/>
                <w:sz w:val="21"/>
                <w:szCs w:val="21"/>
                <w:highlight w:val="none"/>
              </w:rPr>
              <w:t>不小于于</w:t>
            </w:r>
            <w:r>
              <w:rPr>
                <w:rFonts w:hint="eastAsia" w:ascii="宋体" w:hAnsi="宋体" w:eastAsia="宋体" w:cs="宋体"/>
                <w:snapToGrid w:val="0"/>
                <w:color w:val="auto"/>
                <w:sz w:val="21"/>
                <w:szCs w:val="21"/>
                <w:highlight w:val="none"/>
                <w:lang w:bidi="ar"/>
              </w:rPr>
              <w:t>10km/h-250km/h</w:t>
            </w:r>
          </w:p>
          <w:p w14:paraId="07C7E6E6">
            <w:pPr>
              <w:pageBreakBefore w:val="0"/>
              <w:widowControl/>
              <w:numPr>
                <w:ilvl w:val="0"/>
                <w:numId w:val="28"/>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测速误差：车速20km/h-180km/h，误差不大于-0.5km/h-0km/h；车速180km/h及以上，误差不大于-1km/h-0km/h</w:t>
            </w:r>
          </w:p>
          <w:p w14:paraId="5025412C">
            <w:pPr>
              <w:pageBreakBefore w:val="0"/>
              <w:widowControl/>
              <w:numPr>
                <w:ilvl w:val="0"/>
                <w:numId w:val="28"/>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i w:val="0"/>
                <w:iCs w:val="0"/>
                <w:snapToGrid w:val="0"/>
                <w:color w:val="auto"/>
                <w:kern w:val="0"/>
                <w:sz w:val="21"/>
                <w:szCs w:val="21"/>
                <w:highlight w:val="none"/>
                <w:u w:val="none"/>
                <w:lang w:val="en-US" w:eastAsia="zh-CN" w:bidi="ar"/>
              </w:rPr>
              <w:t>支持通过WIFI或RS485或RJ45等数据接口实现对雷达固件升级及参数配置。</w:t>
            </w:r>
          </w:p>
          <w:p w14:paraId="02372CFF">
            <w:pPr>
              <w:pageBreakBefore w:val="0"/>
              <w:widowControl/>
              <w:numPr>
                <w:ilvl w:val="0"/>
                <w:numId w:val="28"/>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防护等级IP66</w:t>
            </w:r>
          </w:p>
        </w:tc>
        <w:tc>
          <w:tcPr>
            <w:tcW w:w="348" w:type="pct"/>
            <w:noWrap w:val="0"/>
            <w:vAlign w:val="center"/>
          </w:tcPr>
          <w:p w14:paraId="0B9847AB">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台</w:t>
            </w:r>
          </w:p>
        </w:tc>
        <w:tc>
          <w:tcPr>
            <w:tcW w:w="369" w:type="pct"/>
            <w:noWrap w:val="0"/>
            <w:vAlign w:val="center"/>
          </w:tcPr>
          <w:p w14:paraId="7B39078A">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22</w:t>
            </w:r>
          </w:p>
        </w:tc>
        <w:tc>
          <w:tcPr>
            <w:tcW w:w="317" w:type="pct"/>
            <w:noWrap w:val="0"/>
            <w:vAlign w:val="center"/>
          </w:tcPr>
          <w:p w14:paraId="29FCF647">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硬件设备</w:t>
            </w:r>
          </w:p>
        </w:tc>
      </w:tr>
      <w:tr w14:paraId="21FFA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4BC04687">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3.9</w:t>
            </w:r>
          </w:p>
        </w:tc>
        <w:tc>
          <w:tcPr>
            <w:tcW w:w="607" w:type="pct"/>
            <w:noWrap w:val="0"/>
            <w:vAlign w:val="center"/>
          </w:tcPr>
          <w:p w14:paraId="375A0CFA">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户外模块化抱杆设备箱（含电气保护模块）</w:t>
            </w:r>
          </w:p>
        </w:tc>
        <w:tc>
          <w:tcPr>
            <w:tcW w:w="2949" w:type="pct"/>
            <w:noWrap w:val="0"/>
            <w:vAlign w:val="center"/>
          </w:tcPr>
          <w:p w14:paraId="69AD9D62">
            <w:pPr>
              <w:pageBreakBefore w:val="0"/>
              <w:widowControl/>
              <w:numPr>
                <w:ilvl w:val="0"/>
                <w:numId w:val="2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户外防水机柜 520mm*380mm*240mm、1.0mm 201不锈钢拉丝表面喷塑，配防雨棚、防雨耳、防雨平面门锁、防雨胶条，印制公安标识图样，含单相防浪涌保护器*1个、交流断路器2P10A*4个+2P16A*1、交流温控模块*1个、8位220V10A防雷插排1个、光配线模块、接地端子及机箱智能监测模块,附件等</w:t>
            </w:r>
          </w:p>
        </w:tc>
        <w:tc>
          <w:tcPr>
            <w:tcW w:w="348" w:type="pct"/>
            <w:noWrap w:val="0"/>
            <w:vAlign w:val="center"/>
          </w:tcPr>
          <w:p w14:paraId="248421F4">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个</w:t>
            </w:r>
          </w:p>
        </w:tc>
        <w:tc>
          <w:tcPr>
            <w:tcW w:w="369" w:type="pct"/>
            <w:noWrap w:val="0"/>
            <w:vAlign w:val="center"/>
          </w:tcPr>
          <w:p w14:paraId="1FE4EABE">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35 </w:t>
            </w:r>
          </w:p>
        </w:tc>
        <w:tc>
          <w:tcPr>
            <w:tcW w:w="317" w:type="pct"/>
            <w:noWrap w:val="0"/>
            <w:vAlign w:val="center"/>
          </w:tcPr>
          <w:p w14:paraId="6EBE5405">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r>
      <w:tr w14:paraId="2E2F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01157E0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3.10 </w:t>
            </w:r>
          </w:p>
        </w:tc>
        <w:tc>
          <w:tcPr>
            <w:tcW w:w="607" w:type="pct"/>
            <w:noWrap w:val="0"/>
            <w:vAlign w:val="center"/>
          </w:tcPr>
          <w:p w14:paraId="3CBDF550">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智能设备落地柜</w:t>
            </w:r>
          </w:p>
        </w:tc>
        <w:tc>
          <w:tcPr>
            <w:tcW w:w="2949" w:type="pct"/>
            <w:noWrap w:val="0"/>
            <w:vAlign w:val="center"/>
          </w:tcPr>
          <w:p w14:paraId="7B33A13B">
            <w:pPr>
              <w:pageBreakBefore w:val="0"/>
              <w:widowControl/>
              <w:numPr>
                <w:ilvl w:val="0"/>
                <w:numId w:val="30"/>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 xml:space="preserve">落地监控机柜（600mm*600mm*1200mm），1.2mm 不锈钢201喷塑，印制公安标识图样； </w:t>
            </w:r>
          </w:p>
          <w:p w14:paraId="6F437E85">
            <w:pPr>
              <w:pageBreakBefore w:val="0"/>
              <w:widowControl/>
              <w:numPr>
                <w:ilvl w:val="0"/>
                <w:numId w:val="30"/>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含自动重合闸1个、单相防浪涌保护器*1个、交流断路器2P16A*4个+2P32A*1、交流温控模块*1个、8位220V10A防雷PDU1个、光配线模块、接地端子及机箱、智能监测模块,附件等</w:t>
            </w:r>
          </w:p>
        </w:tc>
        <w:tc>
          <w:tcPr>
            <w:tcW w:w="348" w:type="pct"/>
            <w:noWrap w:val="0"/>
            <w:vAlign w:val="center"/>
          </w:tcPr>
          <w:p w14:paraId="3F45E233">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个</w:t>
            </w:r>
          </w:p>
        </w:tc>
        <w:tc>
          <w:tcPr>
            <w:tcW w:w="369" w:type="pct"/>
            <w:noWrap w:val="0"/>
            <w:vAlign w:val="center"/>
          </w:tcPr>
          <w:p w14:paraId="5A4D72D4">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12 </w:t>
            </w:r>
          </w:p>
        </w:tc>
        <w:tc>
          <w:tcPr>
            <w:tcW w:w="317" w:type="pct"/>
            <w:noWrap w:val="0"/>
            <w:vAlign w:val="center"/>
          </w:tcPr>
          <w:p w14:paraId="79F1CB2A">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r>
      <w:tr w14:paraId="6054E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2BB7B0E9">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3.11</w:t>
            </w:r>
          </w:p>
        </w:tc>
        <w:tc>
          <w:tcPr>
            <w:tcW w:w="607" w:type="pct"/>
            <w:noWrap w:val="0"/>
            <w:vAlign w:val="center"/>
          </w:tcPr>
          <w:p w14:paraId="120BE298">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工业交换机(2光3电)</w:t>
            </w:r>
          </w:p>
        </w:tc>
        <w:tc>
          <w:tcPr>
            <w:tcW w:w="2949" w:type="pct"/>
            <w:noWrap w:val="0"/>
            <w:vAlign w:val="center"/>
          </w:tcPr>
          <w:p w14:paraId="4FB5F26F">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val="en-US" w:eastAsia="zh-CN" w:bidi="ar"/>
              </w:rPr>
              <w:t>1.</w:t>
            </w:r>
            <w:r>
              <w:rPr>
                <w:rFonts w:hint="eastAsia" w:ascii="宋体" w:hAnsi="宋体" w:eastAsia="宋体" w:cs="宋体"/>
                <w:snapToGrid w:val="0"/>
                <w:color w:val="auto"/>
                <w:sz w:val="21"/>
                <w:szCs w:val="21"/>
                <w:highlight w:val="none"/>
                <w:lang w:bidi="ar"/>
              </w:rPr>
              <w:t>单模单芯 15KM 2个100M光口+3个100M电口</w:t>
            </w:r>
          </w:p>
        </w:tc>
        <w:tc>
          <w:tcPr>
            <w:tcW w:w="348" w:type="pct"/>
            <w:noWrap w:val="0"/>
            <w:vAlign w:val="center"/>
          </w:tcPr>
          <w:p w14:paraId="37CD2EB2">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台</w:t>
            </w:r>
          </w:p>
        </w:tc>
        <w:tc>
          <w:tcPr>
            <w:tcW w:w="369" w:type="pct"/>
            <w:noWrap w:val="0"/>
            <w:vAlign w:val="center"/>
          </w:tcPr>
          <w:p w14:paraId="1A0CA26E">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12 </w:t>
            </w:r>
          </w:p>
        </w:tc>
        <w:tc>
          <w:tcPr>
            <w:tcW w:w="317" w:type="pct"/>
            <w:noWrap w:val="0"/>
            <w:vAlign w:val="center"/>
          </w:tcPr>
          <w:p w14:paraId="18662CCC">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r>
      <w:tr w14:paraId="0FA93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05158964">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3.12 </w:t>
            </w:r>
          </w:p>
        </w:tc>
        <w:tc>
          <w:tcPr>
            <w:tcW w:w="607" w:type="pct"/>
            <w:noWrap w:val="0"/>
            <w:vAlign w:val="center"/>
          </w:tcPr>
          <w:p w14:paraId="5DBF0B96">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工业交换机(1光4电)</w:t>
            </w:r>
          </w:p>
        </w:tc>
        <w:tc>
          <w:tcPr>
            <w:tcW w:w="2949" w:type="pct"/>
            <w:noWrap w:val="0"/>
            <w:vAlign w:val="center"/>
          </w:tcPr>
          <w:p w14:paraId="4A74E557">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val="en-US" w:eastAsia="zh-CN" w:bidi="ar"/>
              </w:rPr>
              <w:t>1.</w:t>
            </w:r>
            <w:r>
              <w:rPr>
                <w:rFonts w:hint="eastAsia" w:ascii="宋体" w:hAnsi="宋体" w:eastAsia="宋体" w:cs="宋体"/>
                <w:snapToGrid w:val="0"/>
                <w:color w:val="auto"/>
                <w:sz w:val="21"/>
                <w:szCs w:val="21"/>
                <w:highlight w:val="none"/>
                <w:lang w:bidi="ar"/>
              </w:rPr>
              <w:t>单模单芯 15KM 1个100M光口+4个100M电口</w:t>
            </w:r>
          </w:p>
        </w:tc>
        <w:tc>
          <w:tcPr>
            <w:tcW w:w="348" w:type="pct"/>
            <w:noWrap w:val="0"/>
            <w:vAlign w:val="center"/>
          </w:tcPr>
          <w:p w14:paraId="584453D0">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台</w:t>
            </w:r>
          </w:p>
        </w:tc>
        <w:tc>
          <w:tcPr>
            <w:tcW w:w="369" w:type="pct"/>
            <w:noWrap w:val="0"/>
            <w:vAlign w:val="center"/>
          </w:tcPr>
          <w:p w14:paraId="0E2BAFD9">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24 </w:t>
            </w:r>
          </w:p>
        </w:tc>
        <w:tc>
          <w:tcPr>
            <w:tcW w:w="317" w:type="pct"/>
            <w:noWrap w:val="0"/>
            <w:vAlign w:val="center"/>
          </w:tcPr>
          <w:p w14:paraId="560B84C3">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r>
      <w:tr w14:paraId="0DE0D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59730241">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3.13</w:t>
            </w:r>
          </w:p>
        </w:tc>
        <w:tc>
          <w:tcPr>
            <w:tcW w:w="607" w:type="pct"/>
            <w:noWrap w:val="0"/>
            <w:vAlign w:val="center"/>
          </w:tcPr>
          <w:p w14:paraId="373B549D">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8口工业交换机</w:t>
            </w:r>
          </w:p>
        </w:tc>
        <w:tc>
          <w:tcPr>
            <w:tcW w:w="2949" w:type="pct"/>
            <w:noWrap w:val="0"/>
            <w:vAlign w:val="center"/>
          </w:tcPr>
          <w:p w14:paraId="07CA3CB5">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val="en-US" w:eastAsia="zh-CN" w:bidi="ar"/>
              </w:rPr>
              <w:t>1.</w:t>
            </w:r>
            <w:r>
              <w:rPr>
                <w:rFonts w:hint="eastAsia" w:ascii="宋体" w:hAnsi="宋体" w:eastAsia="宋体" w:cs="宋体"/>
                <w:snapToGrid w:val="0"/>
                <w:color w:val="auto"/>
                <w:sz w:val="21"/>
                <w:szCs w:val="21"/>
                <w:highlight w:val="none"/>
                <w:lang w:bidi="ar"/>
              </w:rPr>
              <w:t>8个100M电口+1个1000M电口</w:t>
            </w:r>
          </w:p>
        </w:tc>
        <w:tc>
          <w:tcPr>
            <w:tcW w:w="348" w:type="pct"/>
            <w:noWrap w:val="0"/>
            <w:vAlign w:val="center"/>
          </w:tcPr>
          <w:p w14:paraId="10BFDAC0">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台</w:t>
            </w:r>
          </w:p>
        </w:tc>
        <w:tc>
          <w:tcPr>
            <w:tcW w:w="369" w:type="pct"/>
            <w:noWrap w:val="0"/>
            <w:vAlign w:val="center"/>
          </w:tcPr>
          <w:p w14:paraId="1E7D62C5">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7 </w:t>
            </w:r>
          </w:p>
        </w:tc>
        <w:tc>
          <w:tcPr>
            <w:tcW w:w="317" w:type="pct"/>
            <w:noWrap w:val="0"/>
            <w:vAlign w:val="center"/>
          </w:tcPr>
          <w:p w14:paraId="5506A002">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r>
      <w:tr w14:paraId="2D0D0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03294BC4">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3.14 </w:t>
            </w:r>
          </w:p>
        </w:tc>
        <w:tc>
          <w:tcPr>
            <w:tcW w:w="607" w:type="pct"/>
            <w:noWrap w:val="0"/>
            <w:vAlign w:val="center"/>
          </w:tcPr>
          <w:p w14:paraId="632176F8">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杆上设备电源线</w:t>
            </w:r>
          </w:p>
        </w:tc>
        <w:tc>
          <w:tcPr>
            <w:tcW w:w="2949" w:type="pct"/>
            <w:noWrap w:val="0"/>
            <w:vAlign w:val="center"/>
          </w:tcPr>
          <w:p w14:paraId="6C4E3BC8">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val="en-US" w:eastAsia="zh-CN" w:bidi="ar"/>
              </w:rPr>
              <w:t>1.</w:t>
            </w:r>
            <w:r>
              <w:rPr>
                <w:rFonts w:hint="eastAsia" w:ascii="宋体" w:hAnsi="宋体" w:eastAsia="宋体" w:cs="宋体"/>
                <w:snapToGrid w:val="0"/>
                <w:color w:val="auto"/>
                <w:sz w:val="21"/>
                <w:szCs w:val="21"/>
                <w:highlight w:val="none"/>
                <w:lang w:bidi="ar"/>
              </w:rPr>
              <w:t>管内敷设 RVV 2*1.5mm2 含人工</w:t>
            </w:r>
          </w:p>
        </w:tc>
        <w:tc>
          <w:tcPr>
            <w:tcW w:w="348" w:type="pct"/>
            <w:noWrap w:val="0"/>
            <w:vAlign w:val="center"/>
          </w:tcPr>
          <w:p w14:paraId="7C5ACEDC">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米</w:t>
            </w:r>
          </w:p>
        </w:tc>
        <w:tc>
          <w:tcPr>
            <w:tcW w:w="369" w:type="pct"/>
            <w:noWrap w:val="0"/>
            <w:vAlign w:val="center"/>
          </w:tcPr>
          <w:p w14:paraId="5A879565">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5350 </w:t>
            </w:r>
          </w:p>
        </w:tc>
        <w:tc>
          <w:tcPr>
            <w:tcW w:w="317" w:type="pct"/>
            <w:noWrap w:val="0"/>
            <w:vAlign w:val="center"/>
          </w:tcPr>
          <w:p w14:paraId="6BEE1BEC">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r>
      <w:tr w14:paraId="52C0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4A97F78B">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3.15</w:t>
            </w:r>
          </w:p>
        </w:tc>
        <w:tc>
          <w:tcPr>
            <w:tcW w:w="607" w:type="pct"/>
            <w:noWrap w:val="0"/>
            <w:vAlign w:val="center"/>
          </w:tcPr>
          <w:p w14:paraId="7C02850B">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抱杆箱到落地柜电源线</w:t>
            </w:r>
          </w:p>
        </w:tc>
        <w:tc>
          <w:tcPr>
            <w:tcW w:w="2949" w:type="pct"/>
            <w:noWrap w:val="0"/>
            <w:vAlign w:val="center"/>
          </w:tcPr>
          <w:p w14:paraId="36D7FA38">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val="en-US" w:eastAsia="zh-CN" w:bidi="ar"/>
              </w:rPr>
              <w:t>1.</w:t>
            </w:r>
            <w:r>
              <w:rPr>
                <w:rFonts w:hint="eastAsia" w:ascii="宋体" w:hAnsi="宋体" w:eastAsia="宋体" w:cs="宋体"/>
                <w:snapToGrid w:val="0"/>
                <w:color w:val="auto"/>
                <w:sz w:val="21"/>
                <w:szCs w:val="21"/>
                <w:highlight w:val="none"/>
                <w:lang w:bidi="ar"/>
              </w:rPr>
              <w:t>管内敷设 含YJV 3*2.5mm2 含人工</w:t>
            </w:r>
          </w:p>
        </w:tc>
        <w:tc>
          <w:tcPr>
            <w:tcW w:w="348" w:type="pct"/>
            <w:noWrap w:val="0"/>
            <w:vAlign w:val="center"/>
          </w:tcPr>
          <w:p w14:paraId="603684D7">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米</w:t>
            </w:r>
          </w:p>
        </w:tc>
        <w:tc>
          <w:tcPr>
            <w:tcW w:w="369" w:type="pct"/>
            <w:noWrap w:val="0"/>
            <w:vAlign w:val="center"/>
          </w:tcPr>
          <w:p w14:paraId="5FF645BA">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4765 </w:t>
            </w:r>
          </w:p>
        </w:tc>
        <w:tc>
          <w:tcPr>
            <w:tcW w:w="317" w:type="pct"/>
            <w:noWrap w:val="0"/>
            <w:vAlign w:val="center"/>
          </w:tcPr>
          <w:p w14:paraId="4ACFEEEC">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r>
      <w:tr w14:paraId="0A0B2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09F0739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3.16 </w:t>
            </w:r>
          </w:p>
        </w:tc>
        <w:tc>
          <w:tcPr>
            <w:tcW w:w="607" w:type="pct"/>
            <w:noWrap w:val="0"/>
            <w:vAlign w:val="center"/>
          </w:tcPr>
          <w:p w14:paraId="2738CB4D">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RS485控制线</w:t>
            </w:r>
          </w:p>
        </w:tc>
        <w:tc>
          <w:tcPr>
            <w:tcW w:w="2949" w:type="pct"/>
            <w:noWrap w:val="0"/>
            <w:vAlign w:val="center"/>
          </w:tcPr>
          <w:p w14:paraId="3E77C7ED">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val="en-US" w:eastAsia="zh-CN" w:bidi="ar"/>
              </w:rPr>
              <w:t>1.</w:t>
            </w:r>
            <w:r>
              <w:rPr>
                <w:rFonts w:hint="eastAsia" w:ascii="宋体" w:hAnsi="宋体" w:eastAsia="宋体" w:cs="宋体"/>
                <w:snapToGrid w:val="0"/>
                <w:color w:val="auto"/>
                <w:sz w:val="21"/>
                <w:szCs w:val="21"/>
                <w:highlight w:val="none"/>
                <w:lang w:bidi="ar"/>
              </w:rPr>
              <w:t>管内敷设 RVSP2*1.0mm2 含人工</w:t>
            </w:r>
          </w:p>
        </w:tc>
        <w:tc>
          <w:tcPr>
            <w:tcW w:w="348" w:type="pct"/>
            <w:noWrap w:val="0"/>
            <w:vAlign w:val="center"/>
          </w:tcPr>
          <w:p w14:paraId="1FDF6E69">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米</w:t>
            </w:r>
          </w:p>
        </w:tc>
        <w:tc>
          <w:tcPr>
            <w:tcW w:w="369" w:type="pct"/>
            <w:noWrap w:val="0"/>
            <w:vAlign w:val="center"/>
          </w:tcPr>
          <w:p w14:paraId="38F7E9E9">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3635 </w:t>
            </w:r>
          </w:p>
        </w:tc>
        <w:tc>
          <w:tcPr>
            <w:tcW w:w="317" w:type="pct"/>
            <w:noWrap w:val="0"/>
            <w:vAlign w:val="center"/>
          </w:tcPr>
          <w:p w14:paraId="0680471F">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r>
      <w:tr w14:paraId="41DB0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4C06CEED">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3.17</w:t>
            </w:r>
          </w:p>
        </w:tc>
        <w:tc>
          <w:tcPr>
            <w:tcW w:w="607" w:type="pct"/>
            <w:noWrap w:val="0"/>
            <w:vAlign w:val="center"/>
          </w:tcPr>
          <w:p w14:paraId="7706F992">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光缆</w:t>
            </w:r>
          </w:p>
        </w:tc>
        <w:tc>
          <w:tcPr>
            <w:tcW w:w="2949" w:type="pct"/>
            <w:noWrap w:val="0"/>
            <w:vAlign w:val="center"/>
          </w:tcPr>
          <w:p w14:paraId="37BE5FB5">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val="en-US" w:eastAsia="zh-CN" w:bidi="ar"/>
              </w:rPr>
              <w:t>1.</w:t>
            </w:r>
            <w:r>
              <w:rPr>
                <w:rFonts w:hint="eastAsia" w:ascii="宋体" w:hAnsi="宋体" w:eastAsia="宋体" w:cs="宋体"/>
                <w:snapToGrid w:val="0"/>
                <w:color w:val="auto"/>
                <w:sz w:val="21"/>
                <w:szCs w:val="21"/>
                <w:highlight w:val="none"/>
                <w:lang w:bidi="ar"/>
              </w:rPr>
              <w:t>管内敷设 户外单模 6芯 含人工</w:t>
            </w:r>
          </w:p>
        </w:tc>
        <w:tc>
          <w:tcPr>
            <w:tcW w:w="348" w:type="pct"/>
            <w:noWrap w:val="0"/>
            <w:vAlign w:val="center"/>
          </w:tcPr>
          <w:p w14:paraId="43C035A9">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米</w:t>
            </w:r>
          </w:p>
        </w:tc>
        <w:tc>
          <w:tcPr>
            <w:tcW w:w="369" w:type="pct"/>
            <w:noWrap w:val="0"/>
            <w:vAlign w:val="center"/>
          </w:tcPr>
          <w:p w14:paraId="204CCEC0">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4415 </w:t>
            </w:r>
          </w:p>
        </w:tc>
        <w:tc>
          <w:tcPr>
            <w:tcW w:w="317" w:type="pct"/>
            <w:noWrap w:val="0"/>
            <w:vAlign w:val="center"/>
          </w:tcPr>
          <w:p w14:paraId="6FBF865C">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r>
      <w:tr w14:paraId="1643E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4C3E4896">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3.18 </w:t>
            </w:r>
          </w:p>
        </w:tc>
        <w:tc>
          <w:tcPr>
            <w:tcW w:w="607" w:type="pct"/>
            <w:noWrap w:val="0"/>
            <w:vAlign w:val="center"/>
          </w:tcPr>
          <w:p w14:paraId="15DC0801">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网络线</w:t>
            </w:r>
          </w:p>
        </w:tc>
        <w:tc>
          <w:tcPr>
            <w:tcW w:w="2949" w:type="pct"/>
            <w:noWrap w:val="0"/>
            <w:vAlign w:val="center"/>
          </w:tcPr>
          <w:p w14:paraId="7AE41A8B">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val="en-US" w:eastAsia="zh-CN" w:bidi="ar"/>
              </w:rPr>
              <w:t>1.</w:t>
            </w:r>
            <w:r>
              <w:rPr>
                <w:rFonts w:hint="eastAsia" w:ascii="宋体" w:hAnsi="宋体" w:eastAsia="宋体" w:cs="宋体"/>
                <w:snapToGrid w:val="0"/>
                <w:color w:val="auto"/>
                <w:sz w:val="21"/>
                <w:szCs w:val="21"/>
                <w:highlight w:val="none"/>
                <w:lang w:bidi="ar"/>
              </w:rPr>
              <w:t>管内敷设 户外超5类 含人工</w:t>
            </w:r>
          </w:p>
        </w:tc>
        <w:tc>
          <w:tcPr>
            <w:tcW w:w="348" w:type="pct"/>
            <w:noWrap w:val="0"/>
            <w:vAlign w:val="center"/>
          </w:tcPr>
          <w:p w14:paraId="011D93CA">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米</w:t>
            </w:r>
          </w:p>
        </w:tc>
        <w:tc>
          <w:tcPr>
            <w:tcW w:w="369" w:type="pct"/>
            <w:noWrap w:val="0"/>
            <w:vAlign w:val="center"/>
          </w:tcPr>
          <w:p w14:paraId="68FE5DF5">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2100 </w:t>
            </w:r>
          </w:p>
        </w:tc>
        <w:tc>
          <w:tcPr>
            <w:tcW w:w="317" w:type="pct"/>
            <w:noWrap w:val="0"/>
            <w:vAlign w:val="center"/>
          </w:tcPr>
          <w:p w14:paraId="72E35A99">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r>
      <w:tr w14:paraId="306F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1FA4BFB1">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3.19</w:t>
            </w:r>
          </w:p>
        </w:tc>
        <w:tc>
          <w:tcPr>
            <w:tcW w:w="607" w:type="pct"/>
            <w:noWrap w:val="0"/>
            <w:vAlign w:val="center"/>
          </w:tcPr>
          <w:p w14:paraId="06C21820">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辅材</w:t>
            </w:r>
          </w:p>
        </w:tc>
        <w:tc>
          <w:tcPr>
            <w:tcW w:w="2949" w:type="pct"/>
            <w:noWrap w:val="0"/>
            <w:vAlign w:val="center"/>
          </w:tcPr>
          <w:p w14:paraId="15F70A55">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val="en-US" w:eastAsia="zh-CN" w:bidi="ar"/>
              </w:rPr>
              <w:t>1.</w:t>
            </w:r>
            <w:r>
              <w:rPr>
                <w:rFonts w:hint="eastAsia" w:ascii="宋体" w:hAnsi="宋体" w:eastAsia="宋体" w:cs="宋体"/>
                <w:snapToGrid w:val="0"/>
                <w:color w:val="auto"/>
                <w:sz w:val="21"/>
                <w:szCs w:val="21"/>
                <w:highlight w:val="none"/>
                <w:lang w:bidi="ar"/>
              </w:rPr>
              <w:t>网线及光纤跳线、熔接盒、接头、波纹管、光纤熔接、水晶头、安装支架、信号控制连接线等完成项目所涉及的一切辅材</w:t>
            </w:r>
          </w:p>
        </w:tc>
        <w:tc>
          <w:tcPr>
            <w:tcW w:w="348" w:type="pct"/>
            <w:noWrap w:val="0"/>
            <w:vAlign w:val="center"/>
          </w:tcPr>
          <w:p w14:paraId="194E20BC">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批</w:t>
            </w:r>
          </w:p>
        </w:tc>
        <w:tc>
          <w:tcPr>
            <w:tcW w:w="369" w:type="pct"/>
            <w:noWrap w:val="0"/>
            <w:vAlign w:val="center"/>
          </w:tcPr>
          <w:p w14:paraId="7B07827C">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13 </w:t>
            </w:r>
          </w:p>
        </w:tc>
        <w:tc>
          <w:tcPr>
            <w:tcW w:w="317" w:type="pct"/>
            <w:noWrap w:val="0"/>
            <w:vAlign w:val="center"/>
          </w:tcPr>
          <w:p w14:paraId="762B1F0F">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r>
      <w:tr w14:paraId="6CA4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225F5FBC">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3.20 </w:t>
            </w:r>
          </w:p>
        </w:tc>
        <w:tc>
          <w:tcPr>
            <w:tcW w:w="607" w:type="pct"/>
            <w:noWrap w:val="0"/>
            <w:vAlign w:val="center"/>
          </w:tcPr>
          <w:p w14:paraId="35983849">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智能设备落地柜基础墩（含接地）</w:t>
            </w:r>
          </w:p>
        </w:tc>
        <w:tc>
          <w:tcPr>
            <w:tcW w:w="2949" w:type="pct"/>
            <w:noWrap w:val="0"/>
            <w:vAlign w:val="center"/>
          </w:tcPr>
          <w:p w14:paraId="0F1B4C6E">
            <w:pPr>
              <w:pageBreakBefore w:val="0"/>
              <w:widowControl/>
              <w:numPr>
                <w:ilvl w:val="0"/>
                <w:numId w:val="3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智能设备落地柜基础高出路面部分高度应充分考虑防泡水，一般不得低于50厘米（注：低洼易积水路段应不低于75厘米，并设置阶梯）；长*宽*深：800*800*1200mm（地面高度500mm）C25混凝土、地锚</w:t>
            </w:r>
          </w:p>
          <w:p w14:paraId="7CC6D7E0">
            <w:pPr>
              <w:pageBreakBefore w:val="0"/>
              <w:widowControl/>
              <w:numPr>
                <w:ilvl w:val="0"/>
                <w:numId w:val="3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接地电阻一般要求小于10欧姆（含接地线不小于16mm2）含2条接地角钢50*5*2000mm，1条直经14mm*2000mm 铜包钢接地棒</w:t>
            </w:r>
          </w:p>
        </w:tc>
        <w:tc>
          <w:tcPr>
            <w:tcW w:w="348" w:type="pct"/>
            <w:noWrap w:val="0"/>
            <w:vAlign w:val="center"/>
          </w:tcPr>
          <w:p w14:paraId="45CF7B7A">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个</w:t>
            </w:r>
          </w:p>
        </w:tc>
        <w:tc>
          <w:tcPr>
            <w:tcW w:w="369" w:type="pct"/>
            <w:noWrap w:val="0"/>
            <w:vAlign w:val="center"/>
          </w:tcPr>
          <w:p w14:paraId="1D0E5535">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12</w:t>
            </w:r>
          </w:p>
        </w:tc>
        <w:tc>
          <w:tcPr>
            <w:tcW w:w="317" w:type="pct"/>
            <w:noWrap w:val="0"/>
            <w:vAlign w:val="center"/>
          </w:tcPr>
          <w:p w14:paraId="2652D441">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7FFF2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251F01F9">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3.21 </w:t>
            </w:r>
          </w:p>
        </w:tc>
        <w:tc>
          <w:tcPr>
            <w:tcW w:w="607" w:type="pct"/>
            <w:noWrap w:val="0"/>
            <w:vAlign w:val="center"/>
          </w:tcPr>
          <w:p w14:paraId="45D0666C">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悬臂式八角杆H6.5*L12安装及基础施工（含接地）</w:t>
            </w:r>
          </w:p>
        </w:tc>
        <w:tc>
          <w:tcPr>
            <w:tcW w:w="2949" w:type="pct"/>
            <w:noWrap w:val="0"/>
            <w:vAlign w:val="center"/>
          </w:tcPr>
          <w:p w14:paraId="221F3383">
            <w:pPr>
              <w:pageBreakBefore w:val="0"/>
              <w:widowControl/>
              <w:numPr>
                <w:ilvl w:val="0"/>
                <w:numId w:val="3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整根杆（含基础）及配件应能抗45m/s以上风力；抗震烈度8级以上。</w:t>
            </w:r>
          </w:p>
          <w:p w14:paraId="762E8718">
            <w:pPr>
              <w:pageBreakBefore w:val="0"/>
              <w:widowControl/>
              <w:numPr>
                <w:ilvl w:val="0"/>
                <w:numId w:val="3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eastAsia="zh-CN" w:bidi="ar"/>
              </w:rPr>
            </w:pPr>
            <w:r>
              <w:rPr>
                <w:rFonts w:hint="eastAsia" w:ascii="宋体" w:hAnsi="宋体" w:eastAsia="宋体" w:cs="宋体"/>
                <w:color w:val="auto"/>
                <w:sz w:val="21"/>
                <w:szCs w:val="21"/>
                <w:highlight w:val="none"/>
                <w:lang w:bidi="ar"/>
              </w:rPr>
              <w:t>悬臂式八角灯杆H6.5*L12及基础施工</w:t>
            </w:r>
            <w:r>
              <w:rPr>
                <w:rFonts w:hint="eastAsia" w:ascii="宋体" w:hAnsi="宋体" w:eastAsia="宋体" w:cs="宋体"/>
                <w:color w:val="auto"/>
                <w:sz w:val="21"/>
                <w:szCs w:val="21"/>
                <w:highlight w:val="none"/>
                <w:lang w:val="en-US" w:eastAsia="zh-CN" w:bidi="ar"/>
              </w:rPr>
              <w:t>尺寸不小于</w:t>
            </w:r>
            <w:r>
              <w:rPr>
                <w:rFonts w:hint="eastAsia" w:ascii="宋体" w:hAnsi="宋体" w:eastAsia="宋体" w:cs="宋体"/>
                <w:color w:val="auto"/>
                <w:sz w:val="21"/>
                <w:szCs w:val="21"/>
                <w:highlight w:val="none"/>
                <w:lang w:bidi="ar"/>
              </w:rPr>
              <w:t>1.8m*2m*2.5m</w:t>
            </w:r>
            <w:r>
              <w:rPr>
                <w:rFonts w:hint="eastAsia" w:ascii="宋体" w:hAnsi="宋体" w:eastAsia="宋体" w:cs="宋体"/>
                <w:color w:val="auto"/>
                <w:sz w:val="21"/>
                <w:szCs w:val="21"/>
                <w:highlight w:val="none"/>
                <w:lang w:val="en-US" w:eastAsia="zh-CN" w:bidi="ar"/>
              </w:rPr>
              <w:t>或同等方量（</w:t>
            </w:r>
            <w:r>
              <w:rPr>
                <w:rFonts w:hint="eastAsia" w:ascii="宋体" w:hAnsi="宋体" w:eastAsia="宋体" w:cs="宋体"/>
                <w:color w:val="auto"/>
                <w:sz w:val="21"/>
                <w:szCs w:val="21"/>
                <w:highlight w:val="none"/>
                <w:lang w:bidi="ar"/>
              </w:rPr>
              <w:t>对于</w:t>
            </w:r>
            <w:r>
              <w:rPr>
                <w:rFonts w:hint="eastAsia" w:ascii="宋体" w:hAnsi="宋体" w:eastAsia="宋体" w:cs="宋体"/>
                <w:color w:val="auto"/>
                <w:highlight w:val="none"/>
                <w:lang w:val="en-US" w:eastAsia="zh-CN"/>
              </w:rPr>
              <w:t>点位土壤</w:t>
            </w:r>
            <w:r>
              <w:rPr>
                <w:rFonts w:hint="eastAsia" w:ascii="宋体" w:hAnsi="宋体" w:eastAsia="宋体" w:cs="宋体"/>
                <w:color w:val="auto"/>
                <w:sz w:val="21"/>
                <w:szCs w:val="21"/>
                <w:highlight w:val="none"/>
                <w:lang w:val="en-US" w:eastAsia="zh-CN" w:bidi="ar"/>
              </w:rPr>
              <w:t>无法满足</w:t>
            </w:r>
            <w:r>
              <w:rPr>
                <w:rFonts w:hint="eastAsia" w:ascii="宋体" w:hAnsi="宋体" w:eastAsia="宋体" w:cs="宋体"/>
                <w:color w:val="auto"/>
                <w:highlight w:val="none"/>
              </w:rPr>
              <w:t>承载力</w:t>
            </w:r>
            <w:r>
              <w:rPr>
                <w:rFonts w:hint="eastAsia" w:ascii="宋体" w:hAnsi="宋体" w:eastAsia="宋体" w:cs="宋体"/>
                <w:color w:val="auto"/>
                <w:highlight w:val="none"/>
                <w:lang w:val="en-US" w:eastAsia="zh-CN"/>
              </w:rPr>
              <w:t>要求且位置无法变更的</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lang w:val="en-US" w:eastAsia="zh-CN" w:bidi="ar"/>
              </w:rPr>
              <w:t>需根据设计要求</w:t>
            </w:r>
            <w:r>
              <w:rPr>
                <w:rFonts w:hint="eastAsia" w:ascii="宋体" w:hAnsi="宋体" w:eastAsia="宋体" w:cs="宋体"/>
                <w:color w:val="auto"/>
                <w:sz w:val="21"/>
                <w:szCs w:val="21"/>
                <w:highlight w:val="none"/>
                <w:lang w:bidi="ar"/>
              </w:rPr>
              <w:t>采用增大立杆基础</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highlight w:val="none"/>
              </w:rPr>
              <w:t>换土夯实</w:t>
            </w:r>
            <w:r>
              <w:rPr>
                <w:rFonts w:hint="eastAsia" w:ascii="宋体" w:hAnsi="宋体" w:eastAsia="宋体" w:cs="宋体"/>
                <w:color w:val="auto"/>
                <w:highlight w:val="none"/>
                <w:lang w:val="en-US" w:eastAsia="zh-CN"/>
              </w:rPr>
              <w:t>等</w:t>
            </w:r>
            <w:r>
              <w:rPr>
                <w:rFonts w:hint="eastAsia" w:ascii="宋体" w:hAnsi="宋体" w:eastAsia="宋体" w:cs="宋体"/>
                <w:color w:val="auto"/>
                <w:sz w:val="21"/>
                <w:szCs w:val="21"/>
                <w:highlight w:val="none"/>
                <w:lang w:bidi="ar"/>
              </w:rPr>
              <w:t>方式</w:t>
            </w:r>
            <w:r>
              <w:rPr>
                <w:rFonts w:hint="eastAsia" w:ascii="宋体" w:hAnsi="宋体" w:eastAsia="宋体" w:cs="宋体"/>
                <w:color w:val="auto"/>
                <w:sz w:val="21"/>
                <w:szCs w:val="21"/>
                <w:highlight w:val="none"/>
                <w:lang w:eastAsia="zh-CN" w:bidi="ar"/>
              </w:rPr>
              <w:t>）</w:t>
            </w:r>
          </w:p>
          <w:p w14:paraId="0E066438">
            <w:pPr>
              <w:pageBreakBefore w:val="0"/>
              <w:widowControl/>
              <w:numPr>
                <w:ilvl w:val="0"/>
                <w:numId w:val="3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悬臂式八棱锥形、热镀锌喷塑，规格尺寸:杆高6.5m， 悬臂长12m；</w:t>
            </w:r>
            <w:r>
              <w:rPr>
                <w:rFonts w:hint="eastAsia" w:ascii="宋体" w:hAnsi="宋体" w:eastAsia="宋体" w:cs="宋体"/>
                <w:snapToGrid w:val="0"/>
                <w:color w:val="auto"/>
                <w:sz w:val="21"/>
                <w:szCs w:val="21"/>
                <w:highlight w:val="none"/>
                <w:lang w:val="en-US" w:eastAsia="zh-CN" w:bidi="ar"/>
              </w:rPr>
              <w:t>立杆上下对边口径≥320-380mm，横臂上下对边口径≥100-280mm</w:t>
            </w:r>
          </w:p>
          <w:p w14:paraId="72573A04">
            <w:pPr>
              <w:pageBreakBefore w:val="0"/>
              <w:widowControl/>
              <w:numPr>
                <w:ilvl w:val="0"/>
                <w:numId w:val="3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预制锚栓、钢筋地笼：根据杆件规格定制；</w:t>
            </w:r>
          </w:p>
          <w:p w14:paraId="54D8F2AC">
            <w:pPr>
              <w:pageBreakBefore w:val="0"/>
              <w:widowControl/>
              <w:numPr>
                <w:ilvl w:val="0"/>
                <w:numId w:val="3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接地体：接地电阻一般要求小于10欧姆（含接地线不小于16mm2）含2条接地角钢50*5*2000mm，1条直经14mm*2000mm 铜包钢接地棒；</w:t>
            </w:r>
          </w:p>
          <w:p w14:paraId="489EE5E5">
            <w:pPr>
              <w:pageBreakBefore w:val="0"/>
              <w:widowControl/>
              <w:numPr>
                <w:ilvl w:val="0"/>
                <w:numId w:val="3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混凝土基础采用商用混凝土C30 含人工及模具；</w:t>
            </w:r>
          </w:p>
          <w:p w14:paraId="497BF1B0">
            <w:pPr>
              <w:pageBreakBefore w:val="0"/>
              <w:widowControl/>
              <w:numPr>
                <w:ilvl w:val="0"/>
                <w:numId w:val="3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灯杆1米以上位置应喷涂“定安县公安局示”黑色文字,自灯杆基座向上粘贴黄黑相间反光膜（由上至下采用黄—黑—黄—黑—黄共5节各30CM宽度相间）</w:t>
            </w:r>
          </w:p>
          <w:p w14:paraId="13AFF3BE">
            <w:pPr>
              <w:pageBreakBefore w:val="0"/>
              <w:widowControl/>
              <w:numPr>
                <w:ilvl w:val="0"/>
                <w:numId w:val="3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杆件吊装，含机械、人工</w:t>
            </w:r>
          </w:p>
        </w:tc>
        <w:tc>
          <w:tcPr>
            <w:tcW w:w="348" w:type="pct"/>
            <w:noWrap w:val="0"/>
            <w:vAlign w:val="center"/>
          </w:tcPr>
          <w:p w14:paraId="736FDE2C">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杆</w:t>
            </w:r>
          </w:p>
        </w:tc>
        <w:tc>
          <w:tcPr>
            <w:tcW w:w="369" w:type="pct"/>
            <w:noWrap w:val="0"/>
            <w:vAlign w:val="center"/>
          </w:tcPr>
          <w:p w14:paraId="269BABC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13 </w:t>
            </w:r>
          </w:p>
        </w:tc>
        <w:tc>
          <w:tcPr>
            <w:tcW w:w="317" w:type="pct"/>
            <w:noWrap w:val="0"/>
            <w:vAlign w:val="center"/>
          </w:tcPr>
          <w:p w14:paraId="06AC2920">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42F05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723C955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3.22</w:t>
            </w:r>
          </w:p>
        </w:tc>
        <w:tc>
          <w:tcPr>
            <w:tcW w:w="607" w:type="pct"/>
            <w:noWrap w:val="0"/>
            <w:vAlign w:val="center"/>
          </w:tcPr>
          <w:p w14:paraId="5B8E0B27">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悬臂式八角杆H6.5*L10安装及基础施工（含接地）</w:t>
            </w:r>
          </w:p>
        </w:tc>
        <w:tc>
          <w:tcPr>
            <w:tcW w:w="2949" w:type="pct"/>
            <w:noWrap w:val="0"/>
            <w:vAlign w:val="center"/>
          </w:tcPr>
          <w:p w14:paraId="09F408C6">
            <w:pPr>
              <w:pageBreakBefore w:val="0"/>
              <w:widowControl/>
              <w:numPr>
                <w:ilvl w:val="0"/>
                <w:numId w:val="3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整根杆（含基础）及配件应能抗45m/s以上风力；抗震烈度8级以上。</w:t>
            </w:r>
          </w:p>
          <w:p w14:paraId="572F6A80">
            <w:pPr>
              <w:pageBreakBefore w:val="0"/>
              <w:widowControl/>
              <w:numPr>
                <w:ilvl w:val="0"/>
                <w:numId w:val="3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1、悬臂式八角灯杆H6.5*L10及基础施工1.6m*1.8m*2m</w:t>
            </w:r>
            <w:r>
              <w:rPr>
                <w:rFonts w:hint="eastAsia" w:ascii="宋体" w:hAnsi="宋体" w:eastAsia="宋体" w:cs="宋体"/>
                <w:color w:val="auto"/>
                <w:sz w:val="21"/>
                <w:szCs w:val="21"/>
                <w:highlight w:val="none"/>
                <w:lang w:val="en-US" w:eastAsia="zh-CN" w:bidi="ar"/>
              </w:rPr>
              <w:t>或同等方量（</w:t>
            </w:r>
            <w:r>
              <w:rPr>
                <w:rFonts w:hint="eastAsia" w:ascii="宋体" w:hAnsi="宋体" w:eastAsia="宋体" w:cs="宋体"/>
                <w:color w:val="auto"/>
                <w:sz w:val="21"/>
                <w:szCs w:val="21"/>
                <w:highlight w:val="none"/>
                <w:lang w:bidi="ar"/>
              </w:rPr>
              <w:t>对于</w:t>
            </w:r>
            <w:r>
              <w:rPr>
                <w:rFonts w:hint="eastAsia" w:ascii="宋体" w:hAnsi="宋体" w:eastAsia="宋体" w:cs="宋体"/>
                <w:color w:val="auto"/>
                <w:highlight w:val="none"/>
                <w:lang w:val="en-US" w:eastAsia="zh-CN"/>
              </w:rPr>
              <w:t>点位土壤</w:t>
            </w:r>
            <w:r>
              <w:rPr>
                <w:rFonts w:hint="eastAsia" w:ascii="宋体" w:hAnsi="宋体" w:eastAsia="宋体" w:cs="宋体"/>
                <w:color w:val="auto"/>
                <w:sz w:val="21"/>
                <w:szCs w:val="21"/>
                <w:highlight w:val="none"/>
                <w:lang w:val="en-US" w:eastAsia="zh-CN" w:bidi="ar"/>
              </w:rPr>
              <w:t>无法满足</w:t>
            </w:r>
            <w:r>
              <w:rPr>
                <w:rFonts w:hint="eastAsia" w:ascii="宋体" w:hAnsi="宋体" w:eastAsia="宋体" w:cs="宋体"/>
                <w:color w:val="auto"/>
                <w:highlight w:val="none"/>
              </w:rPr>
              <w:t>承载力</w:t>
            </w:r>
            <w:r>
              <w:rPr>
                <w:rFonts w:hint="eastAsia" w:ascii="宋体" w:hAnsi="宋体" w:eastAsia="宋体" w:cs="宋体"/>
                <w:color w:val="auto"/>
                <w:highlight w:val="none"/>
                <w:lang w:val="en-US" w:eastAsia="zh-CN"/>
              </w:rPr>
              <w:t>要求且位置无法变更的</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lang w:val="en-US" w:eastAsia="zh-CN" w:bidi="ar"/>
              </w:rPr>
              <w:t>需根据设计要求</w:t>
            </w:r>
            <w:r>
              <w:rPr>
                <w:rFonts w:hint="eastAsia" w:ascii="宋体" w:hAnsi="宋体" w:eastAsia="宋体" w:cs="宋体"/>
                <w:color w:val="auto"/>
                <w:sz w:val="21"/>
                <w:szCs w:val="21"/>
                <w:highlight w:val="none"/>
                <w:lang w:bidi="ar"/>
              </w:rPr>
              <w:t>采用增大立杆基础</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highlight w:val="none"/>
              </w:rPr>
              <w:t>换土夯实</w:t>
            </w:r>
            <w:r>
              <w:rPr>
                <w:rFonts w:hint="eastAsia" w:ascii="宋体" w:hAnsi="宋体" w:eastAsia="宋体" w:cs="宋体"/>
                <w:color w:val="auto"/>
                <w:highlight w:val="none"/>
                <w:lang w:val="en-US" w:eastAsia="zh-CN"/>
              </w:rPr>
              <w:t>等</w:t>
            </w:r>
            <w:r>
              <w:rPr>
                <w:rFonts w:hint="eastAsia" w:ascii="宋体" w:hAnsi="宋体" w:eastAsia="宋体" w:cs="宋体"/>
                <w:color w:val="auto"/>
                <w:sz w:val="21"/>
                <w:szCs w:val="21"/>
                <w:highlight w:val="none"/>
                <w:lang w:bidi="ar"/>
              </w:rPr>
              <w:t>方式</w:t>
            </w:r>
            <w:r>
              <w:rPr>
                <w:rFonts w:hint="eastAsia" w:ascii="宋体" w:hAnsi="宋体" w:eastAsia="宋体" w:cs="宋体"/>
                <w:color w:val="auto"/>
                <w:sz w:val="21"/>
                <w:szCs w:val="21"/>
                <w:highlight w:val="none"/>
                <w:lang w:eastAsia="zh-CN" w:bidi="ar"/>
              </w:rPr>
              <w:t>）</w:t>
            </w:r>
          </w:p>
          <w:p w14:paraId="1DC07AC4">
            <w:pPr>
              <w:pageBreakBefore w:val="0"/>
              <w:widowControl/>
              <w:numPr>
                <w:ilvl w:val="0"/>
                <w:numId w:val="3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悬臂式八棱锥形、热镀锌喷塑，规格尺寸:杆高6.5m， 悬臂长10m；</w:t>
            </w:r>
            <w:r>
              <w:rPr>
                <w:rFonts w:hint="eastAsia" w:ascii="宋体" w:hAnsi="宋体" w:eastAsia="宋体" w:cs="宋体"/>
                <w:snapToGrid w:val="0"/>
                <w:color w:val="auto"/>
                <w:sz w:val="21"/>
                <w:szCs w:val="21"/>
                <w:highlight w:val="none"/>
                <w:lang w:val="en-US" w:eastAsia="zh-CN" w:bidi="ar"/>
              </w:rPr>
              <w:t>立杆上下对边口径≥280-320mm，横臂上下对边口径≥100-230mm</w:t>
            </w:r>
          </w:p>
          <w:p w14:paraId="07979057">
            <w:pPr>
              <w:pageBreakBefore w:val="0"/>
              <w:widowControl/>
              <w:numPr>
                <w:ilvl w:val="0"/>
                <w:numId w:val="3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预制锚栓、钢筋地笼：根据杆件规格定制；</w:t>
            </w:r>
          </w:p>
          <w:p w14:paraId="2FEE4E9B">
            <w:pPr>
              <w:pageBreakBefore w:val="0"/>
              <w:widowControl/>
              <w:numPr>
                <w:ilvl w:val="0"/>
                <w:numId w:val="3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接地体：接地电阻一般要求小于10欧姆（含接地线不小于16mm2）含2条接地角钢50*5*2000mm，1条直经14mm*2000mm 铜包钢接地棒；</w:t>
            </w:r>
          </w:p>
          <w:p w14:paraId="63F62585">
            <w:pPr>
              <w:pageBreakBefore w:val="0"/>
              <w:widowControl/>
              <w:numPr>
                <w:ilvl w:val="0"/>
                <w:numId w:val="3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混凝土基础采用商用混凝土C30 含人工及模具；</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6.灯杆1米以上位置应喷涂“定安县公安局示”黑色文字,自灯杆基座向上粘贴黄黑相间反光膜（由上至下采用黄—黑—黄—黑—黄共5节各30CM宽度相间）</w:t>
            </w:r>
          </w:p>
          <w:p w14:paraId="45B99170">
            <w:pPr>
              <w:pageBreakBefore w:val="0"/>
              <w:widowControl/>
              <w:numPr>
                <w:ilvl w:val="0"/>
                <w:numId w:val="3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杆件吊装，含机械、人工</w:t>
            </w:r>
          </w:p>
        </w:tc>
        <w:tc>
          <w:tcPr>
            <w:tcW w:w="348" w:type="pct"/>
            <w:noWrap w:val="0"/>
            <w:vAlign w:val="center"/>
          </w:tcPr>
          <w:p w14:paraId="06B51FD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杆</w:t>
            </w:r>
          </w:p>
        </w:tc>
        <w:tc>
          <w:tcPr>
            <w:tcW w:w="369" w:type="pct"/>
            <w:noWrap w:val="0"/>
            <w:vAlign w:val="center"/>
          </w:tcPr>
          <w:p w14:paraId="4181A23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9 </w:t>
            </w:r>
          </w:p>
        </w:tc>
        <w:tc>
          <w:tcPr>
            <w:tcW w:w="317" w:type="pct"/>
            <w:noWrap w:val="0"/>
            <w:vAlign w:val="center"/>
          </w:tcPr>
          <w:p w14:paraId="17D9FDA2">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4F2CD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607DFEEA">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3.23 </w:t>
            </w:r>
          </w:p>
        </w:tc>
        <w:tc>
          <w:tcPr>
            <w:tcW w:w="607" w:type="pct"/>
            <w:noWrap w:val="0"/>
            <w:vAlign w:val="center"/>
          </w:tcPr>
          <w:p w14:paraId="4DC882CE">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悬臂式八角杆H6.5*L8安装及基础施工（含接地）</w:t>
            </w:r>
          </w:p>
        </w:tc>
        <w:tc>
          <w:tcPr>
            <w:tcW w:w="2949" w:type="pct"/>
            <w:noWrap w:val="0"/>
            <w:vAlign w:val="center"/>
          </w:tcPr>
          <w:p w14:paraId="77AA4652">
            <w:pPr>
              <w:pageBreakBefore w:val="0"/>
              <w:widowControl/>
              <w:numPr>
                <w:ilvl w:val="0"/>
                <w:numId w:val="3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整根杆（含基础）及配件应能抗45m/s以上风力；抗震烈度8级以上。</w:t>
            </w:r>
          </w:p>
          <w:p w14:paraId="16871CC0">
            <w:pPr>
              <w:pageBreakBefore w:val="0"/>
              <w:widowControl/>
              <w:numPr>
                <w:ilvl w:val="0"/>
                <w:numId w:val="3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悬臂式八角灯杆H6.5*L8及基础施工1.4m*1.6m*1.8m</w:t>
            </w:r>
            <w:r>
              <w:rPr>
                <w:rFonts w:hint="eastAsia" w:ascii="宋体" w:hAnsi="宋体" w:eastAsia="宋体" w:cs="宋体"/>
                <w:color w:val="auto"/>
                <w:sz w:val="21"/>
                <w:szCs w:val="21"/>
                <w:highlight w:val="none"/>
                <w:lang w:val="en-US" w:eastAsia="zh-CN" w:bidi="ar"/>
              </w:rPr>
              <w:t>或同等方量（</w:t>
            </w:r>
            <w:r>
              <w:rPr>
                <w:rFonts w:hint="eastAsia" w:ascii="宋体" w:hAnsi="宋体" w:eastAsia="宋体" w:cs="宋体"/>
                <w:color w:val="auto"/>
                <w:sz w:val="21"/>
                <w:szCs w:val="21"/>
                <w:highlight w:val="none"/>
                <w:lang w:bidi="ar"/>
              </w:rPr>
              <w:t>对于</w:t>
            </w:r>
            <w:r>
              <w:rPr>
                <w:rFonts w:hint="eastAsia" w:ascii="宋体" w:hAnsi="宋体" w:eastAsia="宋体" w:cs="宋体"/>
                <w:color w:val="auto"/>
                <w:highlight w:val="none"/>
                <w:lang w:val="en-US" w:eastAsia="zh-CN"/>
              </w:rPr>
              <w:t>点位土壤</w:t>
            </w:r>
            <w:r>
              <w:rPr>
                <w:rFonts w:hint="eastAsia" w:ascii="宋体" w:hAnsi="宋体" w:eastAsia="宋体" w:cs="宋体"/>
                <w:color w:val="auto"/>
                <w:sz w:val="21"/>
                <w:szCs w:val="21"/>
                <w:highlight w:val="none"/>
                <w:lang w:val="en-US" w:eastAsia="zh-CN" w:bidi="ar"/>
              </w:rPr>
              <w:t>无法满足</w:t>
            </w:r>
            <w:r>
              <w:rPr>
                <w:rFonts w:hint="eastAsia" w:ascii="宋体" w:hAnsi="宋体" w:eastAsia="宋体" w:cs="宋体"/>
                <w:color w:val="auto"/>
                <w:highlight w:val="none"/>
              </w:rPr>
              <w:t>承载力</w:t>
            </w:r>
            <w:r>
              <w:rPr>
                <w:rFonts w:hint="eastAsia" w:ascii="宋体" w:hAnsi="宋体" w:eastAsia="宋体" w:cs="宋体"/>
                <w:color w:val="auto"/>
                <w:highlight w:val="none"/>
                <w:lang w:val="en-US" w:eastAsia="zh-CN"/>
              </w:rPr>
              <w:t>要求且位置无法变更的</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lang w:val="en-US" w:eastAsia="zh-CN" w:bidi="ar"/>
              </w:rPr>
              <w:t>需根据设计要求</w:t>
            </w:r>
            <w:r>
              <w:rPr>
                <w:rFonts w:hint="eastAsia" w:ascii="宋体" w:hAnsi="宋体" w:eastAsia="宋体" w:cs="宋体"/>
                <w:color w:val="auto"/>
                <w:sz w:val="21"/>
                <w:szCs w:val="21"/>
                <w:highlight w:val="none"/>
                <w:lang w:bidi="ar"/>
              </w:rPr>
              <w:t>采用增大立杆基础</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highlight w:val="none"/>
              </w:rPr>
              <w:t>换土夯实</w:t>
            </w:r>
            <w:r>
              <w:rPr>
                <w:rFonts w:hint="eastAsia" w:ascii="宋体" w:hAnsi="宋体" w:eastAsia="宋体" w:cs="宋体"/>
                <w:color w:val="auto"/>
                <w:highlight w:val="none"/>
                <w:lang w:val="en-US" w:eastAsia="zh-CN"/>
              </w:rPr>
              <w:t>等</w:t>
            </w:r>
            <w:r>
              <w:rPr>
                <w:rFonts w:hint="eastAsia" w:ascii="宋体" w:hAnsi="宋体" w:eastAsia="宋体" w:cs="宋体"/>
                <w:color w:val="auto"/>
                <w:sz w:val="21"/>
                <w:szCs w:val="21"/>
                <w:highlight w:val="none"/>
                <w:lang w:bidi="ar"/>
              </w:rPr>
              <w:t>方式</w:t>
            </w:r>
            <w:r>
              <w:rPr>
                <w:rFonts w:hint="eastAsia" w:ascii="宋体" w:hAnsi="宋体" w:eastAsia="宋体" w:cs="宋体"/>
                <w:color w:val="auto"/>
                <w:sz w:val="21"/>
                <w:szCs w:val="21"/>
                <w:highlight w:val="none"/>
                <w:lang w:eastAsia="zh-CN" w:bidi="ar"/>
              </w:rPr>
              <w:t>）</w:t>
            </w:r>
          </w:p>
          <w:p w14:paraId="5CD2CAD4">
            <w:pPr>
              <w:pageBreakBefore w:val="0"/>
              <w:widowControl/>
              <w:numPr>
                <w:ilvl w:val="0"/>
                <w:numId w:val="3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悬臂式八棱锥形、热镀锌喷塑，规格尺寸:杆高6.5m， 悬臂长8m；</w:t>
            </w:r>
            <w:r>
              <w:rPr>
                <w:rFonts w:hint="eastAsia" w:ascii="宋体" w:hAnsi="宋体" w:eastAsia="宋体" w:cs="宋体"/>
                <w:snapToGrid w:val="0"/>
                <w:color w:val="auto"/>
                <w:sz w:val="21"/>
                <w:szCs w:val="21"/>
                <w:highlight w:val="none"/>
                <w:lang w:val="en-US" w:eastAsia="zh-CN" w:bidi="ar"/>
              </w:rPr>
              <w:t>立杆上下对边口径≥280-320mm，横臂上下对边口径≥100-230mm</w:t>
            </w:r>
          </w:p>
          <w:p w14:paraId="0D2DE49C">
            <w:pPr>
              <w:pageBreakBefore w:val="0"/>
              <w:widowControl/>
              <w:numPr>
                <w:ilvl w:val="0"/>
                <w:numId w:val="3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预制锚栓、钢筋地笼：根据杆件规格定制；</w:t>
            </w:r>
          </w:p>
          <w:p w14:paraId="5D002689">
            <w:pPr>
              <w:pageBreakBefore w:val="0"/>
              <w:widowControl/>
              <w:numPr>
                <w:ilvl w:val="0"/>
                <w:numId w:val="3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接地体：接地电阻一般要求小于10欧姆（含接地线不小于16mm2）含2条接地角钢50*5*2000mm，1条直经14mm*2000mm 铜包钢接地棒；</w:t>
            </w:r>
          </w:p>
          <w:p w14:paraId="5ABFC512">
            <w:pPr>
              <w:pageBreakBefore w:val="0"/>
              <w:widowControl/>
              <w:numPr>
                <w:ilvl w:val="0"/>
                <w:numId w:val="3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混凝土基础采用商用混凝土C30 含人工及模具；</w:t>
            </w:r>
            <w:r>
              <w:rPr>
                <w:rFonts w:hint="eastAsia" w:ascii="宋体" w:hAnsi="宋体" w:eastAsia="宋体" w:cs="宋体"/>
                <w:color w:val="auto"/>
                <w:sz w:val="21"/>
                <w:szCs w:val="21"/>
                <w:highlight w:val="none"/>
                <w:lang w:bidi="ar"/>
              </w:rPr>
              <w:br w:type="textWrapping"/>
            </w:r>
            <w:r>
              <w:rPr>
                <w:rFonts w:hint="eastAsia" w:ascii="宋体" w:hAnsi="宋体" w:eastAsia="宋体" w:cs="宋体"/>
                <w:color w:val="auto"/>
                <w:sz w:val="21"/>
                <w:szCs w:val="21"/>
                <w:highlight w:val="none"/>
                <w:lang w:bidi="ar"/>
              </w:rPr>
              <w:t>6.灯杆1米以上位置应喷涂“定安县公安局示”黑色文字,自灯杆基座向上粘贴黄黑相间反光膜（由上至下采用黄—黑—黄—黑—黄共5节各30CM宽度相间）</w:t>
            </w:r>
          </w:p>
          <w:p w14:paraId="2A03DB88">
            <w:pPr>
              <w:pageBreakBefore w:val="0"/>
              <w:widowControl/>
              <w:numPr>
                <w:ilvl w:val="0"/>
                <w:numId w:val="3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杆件吊装，含机械、人工</w:t>
            </w:r>
          </w:p>
        </w:tc>
        <w:tc>
          <w:tcPr>
            <w:tcW w:w="348" w:type="pct"/>
            <w:noWrap w:val="0"/>
            <w:vAlign w:val="center"/>
          </w:tcPr>
          <w:p w14:paraId="3A97254E">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杆</w:t>
            </w:r>
          </w:p>
        </w:tc>
        <w:tc>
          <w:tcPr>
            <w:tcW w:w="369" w:type="pct"/>
            <w:noWrap w:val="0"/>
            <w:vAlign w:val="center"/>
          </w:tcPr>
          <w:p w14:paraId="65EA30A3">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7 </w:t>
            </w:r>
          </w:p>
        </w:tc>
        <w:tc>
          <w:tcPr>
            <w:tcW w:w="317" w:type="pct"/>
            <w:noWrap w:val="0"/>
            <w:vAlign w:val="center"/>
          </w:tcPr>
          <w:p w14:paraId="4A15B385">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2A1E3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7B380DC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3.24 </w:t>
            </w:r>
          </w:p>
        </w:tc>
        <w:tc>
          <w:tcPr>
            <w:tcW w:w="607" w:type="pct"/>
            <w:noWrap w:val="0"/>
            <w:vAlign w:val="center"/>
          </w:tcPr>
          <w:p w14:paraId="55A2CA9A">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悬臂式八角杆H6.5*L6安装及基础施工（含接地）</w:t>
            </w:r>
          </w:p>
        </w:tc>
        <w:tc>
          <w:tcPr>
            <w:tcW w:w="2949" w:type="pct"/>
            <w:noWrap w:val="0"/>
            <w:vAlign w:val="center"/>
          </w:tcPr>
          <w:p w14:paraId="7C88B2D9">
            <w:pPr>
              <w:pageBreakBefore w:val="0"/>
              <w:widowControl/>
              <w:numPr>
                <w:ilvl w:val="0"/>
                <w:numId w:val="35"/>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整根杆（含基础）及配件应能抗45m/s以上风力；抗震烈度8级以上。</w:t>
            </w:r>
          </w:p>
          <w:p w14:paraId="2BB8AD7F">
            <w:pPr>
              <w:pageBreakBefore w:val="0"/>
              <w:widowControl/>
              <w:numPr>
                <w:ilvl w:val="0"/>
                <w:numId w:val="35"/>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悬臂式八角灯杆H6.5*L6及基础施工1.2m*1.4m*1.5m</w:t>
            </w:r>
            <w:r>
              <w:rPr>
                <w:rFonts w:hint="eastAsia" w:ascii="宋体" w:hAnsi="宋体" w:eastAsia="宋体" w:cs="宋体"/>
                <w:color w:val="auto"/>
                <w:sz w:val="21"/>
                <w:szCs w:val="21"/>
                <w:highlight w:val="none"/>
                <w:lang w:val="en-US" w:eastAsia="zh-CN" w:bidi="ar"/>
              </w:rPr>
              <w:t>或同等方量（</w:t>
            </w:r>
            <w:r>
              <w:rPr>
                <w:rFonts w:hint="eastAsia" w:ascii="宋体" w:hAnsi="宋体" w:eastAsia="宋体" w:cs="宋体"/>
                <w:color w:val="auto"/>
                <w:sz w:val="21"/>
                <w:szCs w:val="21"/>
                <w:highlight w:val="none"/>
                <w:lang w:bidi="ar"/>
              </w:rPr>
              <w:t>对于</w:t>
            </w:r>
            <w:r>
              <w:rPr>
                <w:rFonts w:hint="eastAsia" w:ascii="宋体" w:hAnsi="宋体" w:eastAsia="宋体" w:cs="宋体"/>
                <w:color w:val="auto"/>
                <w:highlight w:val="none"/>
                <w:lang w:val="en-US" w:eastAsia="zh-CN"/>
              </w:rPr>
              <w:t>点位土壤</w:t>
            </w:r>
            <w:r>
              <w:rPr>
                <w:rFonts w:hint="eastAsia" w:ascii="宋体" w:hAnsi="宋体" w:eastAsia="宋体" w:cs="宋体"/>
                <w:color w:val="auto"/>
                <w:sz w:val="21"/>
                <w:szCs w:val="21"/>
                <w:highlight w:val="none"/>
                <w:lang w:val="en-US" w:eastAsia="zh-CN" w:bidi="ar"/>
              </w:rPr>
              <w:t>无法满足</w:t>
            </w:r>
            <w:r>
              <w:rPr>
                <w:rFonts w:hint="eastAsia" w:ascii="宋体" w:hAnsi="宋体" w:eastAsia="宋体" w:cs="宋体"/>
                <w:color w:val="auto"/>
                <w:highlight w:val="none"/>
              </w:rPr>
              <w:t>承载力</w:t>
            </w:r>
            <w:r>
              <w:rPr>
                <w:rFonts w:hint="eastAsia" w:ascii="宋体" w:hAnsi="宋体" w:eastAsia="宋体" w:cs="宋体"/>
                <w:color w:val="auto"/>
                <w:highlight w:val="none"/>
                <w:lang w:val="en-US" w:eastAsia="zh-CN"/>
              </w:rPr>
              <w:t>要求且位置无法变更的</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lang w:val="en-US" w:eastAsia="zh-CN" w:bidi="ar"/>
              </w:rPr>
              <w:t>需根据设计要求</w:t>
            </w:r>
            <w:r>
              <w:rPr>
                <w:rFonts w:hint="eastAsia" w:ascii="宋体" w:hAnsi="宋体" w:eastAsia="宋体" w:cs="宋体"/>
                <w:color w:val="auto"/>
                <w:sz w:val="21"/>
                <w:szCs w:val="21"/>
                <w:highlight w:val="none"/>
                <w:lang w:bidi="ar"/>
              </w:rPr>
              <w:t>采用增大立杆基础</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highlight w:val="none"/>
              </w:rPr>
              <w:t>换土夯实</w:t>
            </w:r>
            <w:r>
              <w:rPr>
                <w:rFonts w:hint="eastAsia" w:ascii="宋体" w:hAnsi="宋体" w:eastAsia="宋体" w:cs="宋体"/>
                <w:color w:val="auto"/>
                <w:highlight w:val="none"/>
                <w:lang w:val="en-US" w:eastAsia="zh-CN"/>
              </w:rPr>
              <w:t>等</w:t>
            </w:r>
            <w:r>
              <w:rPr>
                <w:rFonts w:hint="eastAsia" w:ascii="宋体" w:hAnsi="宋体" w:eastAsia="宋体" w:cs="宋体"/>
                <w:color w:val="auto"/>
                <w:sz w:val="21"/>
                <w:szCs w:val="21"/>
                <w:highlight w:val="none"/>
                <w:lang w:bidi="ar"/>
              </w:rPr>
              <w:t>方式</w:t>
            </w:r>
            <w:r>
              <w:rPr>
                <w:rFonts w:hint="eastAsia" w:ascii="宋体" w:hAnsi="宋体" w:eastAsia="宋体" w:cs="宋体"/>
                <w:color w:val="auto"/>
                <w:sz w:val="21"/>
                <w:szCs w:val="21"/>
                <w:highlight w:val="none"/>
                <w:lang w:eastAsia="zh-CN" w:bidi="ar"/>
              </w:rPr>
              <w:t>）</w:t>
            </w:r>
          </w:p>
          <w:p w14:paraId="55BFDF7B">
            <w:pPr>
              <w:pageBreakBefore w:val="0"/>
              <w:widowControl/>
              <w:numPr>
                <w:ilvl w:val="0"/>
                <w:numId w:val="35"/>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悬臂式八棱锥形、热镀锌喷塑，规格尺寸:杆高6.5m， 悬臂长6m；</w:t>
            </w:r>
            <w:r>
              <w:rPr>
                <w:rFonts w:hint="eastAsia" w:ascii="宋体" w:hAnsi="宋体" w:eastAsia="宋体" w:cs="宋体"/>
                <w:snapToGrid w:val="0"/>
                <w:color w:val="auto"/>
                <w:sz w:val="21"/>
                <w:szCs w:val="21"/>
                <w:highlight w:val="none"/>
                <w:lang w:val="en-US" w:eastAsia="zh-CN" w:bidi="ar"/>
              </w:rPr>
              <w:t>立杆上下对边口径≥220-280mm，横臂上下对边口径≥100-220mm</w:t>
            </w:r>
          </w:p>
          <w:p w14:paraId="54CBAB84">
            <w:pPr>
              <w:pageBreakBefore w:val="0"/>
              <w:widowControl/>
              <w:numPr>
                <w:ilvl w:val="0"/>
                <w:numId w:val="35"/>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预制锚栓、钢筋地笼：根据杆件规格定制；</w:t>
            </w:r>
          </w:p>
          <w:p w14:paraId="62820227">
            <w:pPr>
              <w:pageBreakBefore w:val="0"/>
              <w:widowControl/>
              <w:numPr>
                <w:ilvl w:val="0"/>
                <w:numId w:val="35"/>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接地体：接地电阻一般要求小于10欧姆（含接地线不小于16mm2）含2条接地角钢50*5*2000mm，1条直经14mm*2000mm 铜包钢接地棒；</w:t>
            </w:r>
          </w:p>
          <w:p w14:paraId="0F339705">
            <w:pPr>
              <w:pageBreakBefore w:val="0"/>
              <w:widowControl/>
              <w:numPr>
                <w:ilvl w:val="0"/>
                <w:numId w:val="35"/>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混凝土基础采用商用混凝土C30 含人工及模具；</w:t>
            </w:r>
          </w:p>
          <w:p w14:paraId="16FBB588">
            <w:pPr>
              <w:pageBreakBefore w:val="0"/>
              <w:widowControl/>
              <w:numPr>
                <w:ilvl w:val="0"/>
                <w:numId w:val="35"/>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灯杆1米以上位置应喷涂“定安县公安局示”黑色文字,自灯杆基座向上粘贴黄黑相间反光膜（由上至下采用黄—黑—黄—黑—黄共5节各30CM宽度相间）</w:t>
            </w:r>
          </w:p>
          <w:p w14:paraId="1743B47E">
            <w:pPr>
              <w:pageBreakBefore w:val="0"/>
              <w:widowControl/>
              <w:numPr>
                <w:ilvl w:val="0"/>
                <w:numId w:val="35"/>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杆件吊装，含机械、人工</w:t>
            </w:r>
          </w:p>
        </w:tc>
        <w:tc>
          <w:tcPr>
            <w:tcW w:w="348" w:type="pct"/>
            <w:noWrap w:val="0"/>
            <w:vAlign w:val="center"/>
          </w:tcPr>
          <w:p w14:paraId="0468A697">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杆</w:t>
            </w:r>
          </w:p>
        </w:tc>
        <w:tc>
          <w:tcPr>
            <w:tcW w:w="369" w:type="pct"/>
            <w:noWrap w:val="0"/>
            <w:vAlign w:val="center"/>
          </w:tcPr>
          <w:p w14:paraId="4C895561">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7 </w:t>
            </w:r>
          </w:p>
        </w:tc>
        <w:tc>
          <w:tcPr>
            <w:tcW w:w="317" w:type="pct"/>
            <w:noWrap w:val="0"/>
            <w:vAlign w:val="center"/>
          </w:tcPr>
          <w:p w14:paraId="55ED488E">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58F95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52E95641">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3.25</w:t>
            </w:r>
          </w:p>
        </w:tc>
        <w:tc>
          <w:tcPr>
            <w:tcW w:w="607" w:type="pct"/>
            <w:noWrap w:val="0"/>
            <w:vAlign w:val="center"/>
          </w:tcPr>
          <w:p w14:paraId="505F83FD">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利旧杆件横臂6米及以下杆件安装及基础施工（含接地）</w:t>
            </w:r>
          </w:p>
        </w:tc>
        <w:tc>
          <w:tcPr>
            <w:tcW w:w="2949" w:type="pct"/>
            <w:noWrap w:val="0"/>
            <w:vAlign w:val="center"/>
          </w:tcPr>
          <w:p w14:paraId="1E13E2A1">
            <w:pPr>
              <w:pageBreakBefore w:val="0"/>
              <w:widowControl/>
              <w:numPr>
                <w:ilvl w:val="0"/>
                <w:numId w:val="3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整根杆（含基础）及配件应能抗45m/s以上风力；抗震烈度8级以上。</w:t>
            </w:r>
          </w:p>
          <w:p w14:paraId="3DF86811">
            <w:pPr>
              <w:pageBreakBefore w:val="0"/>
              <w:widowControl/>
              <w:numPr>
                <w:ilvl w:val="0"/>
                <w:numId w:val="3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杆件横臂6米及以下杆件安装及杆件基础1.2m*1.4m*1.8m</w:t>
            </w:r>
            <w:r>
              <w:rPr>
                <w:rFonts w:hint="eastAsia" w:ascii="宋体" w:hAnsi="宋体" w:eastAsia="宋体" w:cs="宋体"/>
                <w:color w:val="auto"/>
                <w:sz w:val="21"/>
                <w:szCs w:val="21"/>
                <w:highlight w:val="none"/>
                <w:lang w:val="en-US" w:eastAsia="zh-CN" w:bidi="ar"/>
              </w:rPr>
              <w:t>或同等方量（</w:t>
            </w:r>
            <w:r>
              <w:rPr>
                <w:rFonts w:hint="eastAsia" w:ascii="宋体" w:hAnsi="宋体" w:eastAsia="宋体" w:cs="宋体"/>
                <w:color w:val="auto"/>
                <w:sz w:val="21"/>
                <w:szCs w:val="21"/>
                <w:highlight w:val="none"/>
                <w:lang w:bidi="ar"/>
              </w:rPr>
              <w:t>对于</w:t>
            </w:r>
            <w:r>
              <w:rPr>
                <w:rFonts w:hint="eastAsia" w:ascii="宋体" w:hAnsi="宋体" w:eastAsia="宋体" w:cs="宋体"/>
                <w:color w:val="auto"/>
                <w:highlight w:val="none"/>
                <w:lang w:val="en-US" w:eastAsia="zh-CN"/>
              </w:rPr>
              <w:t>点位土壤</w:t>
            </w:r>
            <w:r>
              <w:rPr>
                <w:rFonts w:hint="eastAsia" w:ascii="宋体" w:hAnsi="宋体" w:eastAsia="宋体" w:cs="宋体"/>
                <w:color w:val="auto"/>
                <w:sz w:val="21"/>
                <w:szCs w:val="21"/>
                <w:highlight w:val="none"/>
                <w:lang w:val="en-US" w:eastAsia="zh-CN" w:bidi="ar"/>
              </w:rPr>
              <w:t>无法满足</w:t>
            </w:r>
            <w:r>
              <w:rPr>
                <w:rFonts w:hint="eastAsia" w:ascii="宋体" w:hAnsi="宋体" w:eastAsia="宋体" w:cs="宋体"/>
                <w:color w:val="auto"/>
                <w:highlight w:val="none"/>
              </w:rPr>
              <w:t>承载力</w:t>
            </w:r>
            <w:r>
              <w:rPr>
                <w:rFonts w:hint="eastAsia" w:ascii="宋体" w:hAnsi="宋体" w:eastAsia="宋体" w:cs="宋体"/>
                <w:color w:val="auto"/>
                <w:highlight w:val="none"/>
                <w:lang w:val="en-US" w:eastAsia="zh-CN"/>
              </w:rPr>
              <w:t>要求且位置无法变更的</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lang w:val="en-US" w:eastAsia="zh-CN" w:bidi="ar"/>
              </w:rPr>
              <w:t>需根据设计要求</w:t>
            </w:r>
            <w:r>
              <w:rPr>
                <w:rFonts w:hint="eastAsia" w:ascii="宋体" w:hAnsi="宋体" w:eastAsia="宋体" w:cs="宋体"/>
                <w:color w:val="auto"/>
                <w:sz w:val="21"/>
                <w:szCs w:val="21"/>
                <w:highlight w:val="none"/>
                <w:lang w:bidi="ar"/>
              </w:rPr>
              <w:t>采用增大立杆基础</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highlight w:val="none"/>
              </w:rPr>
              <w:t>换土夯实</w:t>
            </w:r>
            <w:r>
              <w:rPr>
                <w:rFonts w:hint="eastAsia" w:ascii="宋体" w:hAnsi="宋体" w:eastAsia="宋体" w:cs="宋体"/>
                <w:color w:val="auto"/>
                <w:highlight w:val="none"/>
                <w:lang w:val="en-US" w:eastAsia="zh-CN"/>
              </w:rPr>
              <w:t>等</w:t>
            </w:r>
            <w:r>
              <w:rPr>
                <w:rFonts w:hint="eastAsia" w:ascii="宋体" w:hAnsi="宋体" w:eastAsia="宋体" w:cs="宋体"/>
                <w:color w:val="auto"/>
                <w:sz w:val="21"/>
                <w:szCs w:val="21"/>
                <w:highlight w:val="none"/>
                <w:lang w:bidi="ar"/>
              </w:rPr>
              <w:t>方式</w:t>
            </w:r>
            <w:r>
              <w:rPr>
                <w:rFonts w:hint="eastAsia" w:ascii="宋体" w:hAnsi="宋体" w:eastAsia="宋体" w:cs="宋体"/>
                <w:color w:val="auto"/>
                <w:sz w:val="21"/>
                <w:szCs w:val="21"/>
                <w:highlight w:val="none"/>
                <w:lang w:eastAsia="zh-CN" w:bidi="ar"/>
              </w:rPr>
              <w:t>）</w:t>
            </w:r>
          </w:p>
          <w:p w14:paraId="7FE35C21">
            <w:pPr>
              <w:pageBreakBefore w:val="0"/>
              <w:widowControl/>
              <w:numPr>
                <w:ilvl w:val="0"/>
                <w:numId w:val="3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利用旧杆及翻新，详见设计图纸；</w:t>
            </w:r>
          </w:p>
          <w:p w14:paraId="5FF0BDDD">
            <w:pPr>
              <w:pageBreakBefore w:val="0"/>
              <w:widowControl/>
              <w:numPr>
                <w:ilvl w:val="0"/>
                <w:numId w:val="3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预制锚栓、钢筋地笼：根据杆件规格定制；，按图纸确定；</w:t>
            </w:r>
          </w:p>
          <w:p w14:paraId="3E9377F1">
            <w:pPr>
              <w:pageBreakBefore w:val="0"/>
              <w:widowControl/>
              <w:numPr>
                <w:ilvl w:val="0"/>
                <w:numId w:val="3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接地体：接地电阻一般要求小于10欧姆（含接地线不小于16mm2）含2条接地角钢50*5*2000mm，1条直经14mm*2000mm 铜包钢接地棒；</w:t>
            </w:r>
          </w:p>
          <w:p w14:paraId="0B041085">
            <w:pPr>
              <w:pageBreakBefore w:val="0"/>
              <w:widowControl/>
              <w:numPr>
                <w:ilvl w:val="0"/>
                <w:numId w:val="3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混凝土基础采用商用混凝土C30 含人工及模具；</w:t>
            </w:r>
          </w:p>
          <w:p w14:paraId="20FC7729">
            <w:pPr>
              <w:pageBreakBefore w:val="0"/>
              <w:widowControl/>
              <w:numPr>
                <w:ilvl w:val="0"/>
                <w:numId w:val="3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灯杆1米以上位置应喷涂“定安县公安局示”黑色文字,自灯杆基座向上粘贴黄黑相间反光膜（由上至下采用黄—黑—黄—黑—黄共5节各30CM宽度相间）</w:t>
            </w:r>
          </w:p>
          <w:p w14:paraId="020175B9">
            <w:pPr>
              <w:pageBreakBefore w:val="0"/>
              <w:widowControl/>
              <w:numPr>
                <w:ilvl w:val="0"/>
                <w:numId w:val="36"/>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杆件吊装，含机械、人工</w:t>
            </w:r>
          </w:p>
        </w:tc>
        <w:tc>
          <w:tcPr>
            <w:tcW w:w="348" w:type="pct"/>
            <w:noWrap w:val="0"/>
            <w:vAlign w:val="center"/>
          </w:tcPr>
          <w:p w14:paraId="45365A96">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杆</w:t>
            </w:r>
          </w:p>
        </w:tc>
        <w:tc>
          <w:tcPr>
            <w:tcW w:w="369" w:type="pct"/>
            <w:noWrap w:val="0"/>
            <w:vAlign w:val="center"/>
          </w:tcPr>
          <w:p w14:paraId="6FF75B34">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3 </w:t>
            </w:r>
          </w:p>
        </w:tc>
        <w:tc>
          <w:tcPr>
            <w:tcW w:w="317" w:type="pct"/>
            <w:noWrap w:val="0"/>
            <w:vAlign w:val="center"/>
          </w:tcPr>
          <w:p w14:paraId="298ABE7F">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5C39D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63969BF9">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4</w:t>
            </w:r>
          </w:p>
        </w:tc>
        <w:tc>
          <w:tcPr>
            <w:tcW w:w="607" w:type="pct"/>
            <w:noWrap w:val="0"/>
            <w:vAlign w:val="center"/>
          </w:tcPr>
          <w:p w14:paraId="3A00C09A">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b/>
                <w:bCs/>
                <w:color w:val="auto"/>
                <w:sz w:val="21"/>
                <w:szCs w:val="21"/>
                <w:highlight w:val="none"/>
              </w:rPr>
            </w:pPr>
            <w:r>
              <w:rPr>
                <w:rFonts w:hint="eastAsia" w:ascii="宋体" w:hAnsi="宋体" w:eastAsia="宋体" w:cs="宋体"/>
                <w:b/>
                <w:bCs/>
                <w:snapToGrid w:val="0"/>
                <w:color w:val="auto"/>
                <w:sz w:val="21"/>
                <w:szCs w:val="21"/>
                <w:highlight w:val="none"/>
                <w:lang w:bidi="ar"/>
              </w:rPr>
              <w:t>管道及取电施工</w:t>
            </w:r>
          </w:p>
        </w:tc>
        <w:tc>
          <w:tcPr>
            <w:tcW w:w="2949" w:type="pct"/>
            <w:noWrap w:val="0"/>
            <w:vAlign w:val="center"/>
          </w:tcPr>
          <w:p w14:paraId="73773466">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1"/>
                <w:szCs w:val="21"/>
                <w:highlight w:val="none"/>
              </w:rPr>
            </w:pPr>
          </w:p>
        </w:tc>
        <w:tc>
          <w:tcPr>
            <w:tcW w:w="348" w:type="pct"/>
            <w:noWrap w:val="0"/>
            <w:vAlign w:val="center"/>
          </w:tcPr>
          <w:p w14:paraId="713B285C">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369" w:type="pct"/>
            <w:noWrap w:val="0"/>
            <w:vAlign w:val="center"/>
          </w:tcPr>
          <w:p w14:paraId="26923519">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317" w:type="pct"/>
            <w:noWrap w:val="0"/>
            <w:vAlign w:val="center"/>
          </w:tcPr>
          <w:p w14:paraId="1EE10734">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1"/>
                <w:szCs w:val="21"/>
                <w:highlight w:val="none"/>
              </w:rPr>
            </w:pPr>
          </w:p>
        </w:tc>
      </w:tr>
      <w:tr w14:paraId="3F640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5DD18179">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4.1</w:t>
            </w:r>
          </w:p>
        </w:tc>
        <w:tc>
          <w:tcPr>
            <w:tcW w:w="607" w:type="pct"/>
            <w:noWrap w:val="0"/>
            <w:vAlign w:val="center"/>
          </w:tcPr>
          <w:p w14:paraId="18C20023">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管沟施工</w:t>
            </w:r>
          </w:p>
        </w:tc>
        <w:tc>
          <w:tcPr>
            <w:tcW w:w="2949" w:type="pct"/>
            <w:noWrap w:val="0"/>
            <w:vAlign w:val="center"/>
          </w:tcPr>
          <w:p w14:paraId="7340D633">
            <w:pPr>
              <w:pageBreakBefore w:val="0"/>
              <w:widowControl/>
              <w:numPr>
                <w:ilvl w:val="0"/>
                <w:numId w:val="37"/>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土壤类别:综合考虑</w:t>
            </w:r>
          </w:p>
          <w:p w14:paraId="2B27BE0C">
            <w:pPr>
              <w:pageBreakBefore w:val="0"/>
              <w:widowControl/>
              <w:numPr>
                <w:ilvl w:val="0"/>
                <w:numId w:val="37"/>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土石方开挖、回填及清运等；含机动车路面</w:t>
            </w:r>
            <w:r>
              <w:rPr>
                <w:rFonts w:hint="eastAsia" w:ascii="宋体" w:hAnsi="宋体" w:eastAsia="宋体" w:cs="宋体"/>
                <w:snapToGrid w:val="0"/>
                <w:color w:val="auto"/>
                <w:sz w:val="21"/>
                <w:szCs w:val="21"/>
                <w:highlight w:val="none"/>
                <w:lang w:val="en-US" w:eastAsia="zh-CN" w:bidi="ar"/>
              </w:rPr>
              <w:t>及导流岛</w:t>
            </w:r>
            <w:r>
              <w:rPr>
                <w:rFonts w:hint="eastAsia" w:ascii="宋体" w:hAnsi="宋体" w:eastAsia="宋体" w:cs="宋体"/>
                <w:snapToGrid w:val="0"/>
                <w:color w:val="auto"/>
                <w:sz w:val="21"/>
                <w:szCs w:val="21"/>
                <w:highlight w:val="none"/>
                <w:lang w:bidi="ar"/>
              </w:rPr>
              <w:t>（沥青、水泥）、绿化带破除与恢复</w:t>
            </w:r>
          </w:p>
        </w:tc>
        <w:tc>
          <w:tcPr>
            <w:tcW w:w="348" w:type="pct"/>
            <w:noWrap w:val="0"/>
            <w:vAlign w:val="center"/>
          </w:tcPr>
          <w:p w14:paraId="14FA3F64">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米</w:t>
            </w:r>
          </w:p>
        </w:tc>
        <w:tc>
          <w:tcPr>
            <w:tcW w:w="369" w:type="pct"/>
            <w:noWrap w:val="0"/>
            <w:vAlign w:val="center"/>
          </w:tcPr>
          <w:p w14:paraId="6940A375">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4635 </w:t>
            </w:r>
          </w:p>
        </w:tc>
        <w:tc>
          <w:tcPr>
            <w:tcW w:w="317" w:type="pct"/>
            <w:noWrap w:val="0"/>
            <w:vAlign w:val="center"/>
          </w:tcPr>
          <w:p w14:paraId="7767333D">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0A3BC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0E5233A4">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4.2</w:t>
            </w:r>
          </w:p>
        </w:tc>
        <w:tc>
          <w:tcPr>
            <w:tcW w:w="607" w:type="pct"/>
            <w:noWrap w:val="0"/>
            <w:vAlign w:val="center"/>
          </w:tcPr>
          <w:p w14:paraId="635F244F">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电缆保护管敷设</w:t>
            </w:r>
          </w:p>
        </w:tc>
        <w:tc>
          <w:tcPr>
            <w:tcW w:w="2949" w:type="pct"/>
            <w:noWrap w:val="0"/>
            <w:vAlign w:val="center"/>
          </w:tcPr>
          <w:p w14:paraId="775B6437">
            <w:pPr>
              <w:pageBreakBefore w:val="0"/>
              <w:widowControl/>
              <w:numPr>
                <w:ilvl w:val="0"/>
                <w:numId w:val="38"/>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名称:电缆保护管，</w:t>
            </w:r>
          </w:p>
          <w:p w14:paraId="6890B533">
            <w:pPr>
              <w:pageBreakBefore w:val="0"/>
              <w:widowControl/>
              <w:numPr>
                <w:ilvl w:val="0"/>
                <w:numId w:val="38"/>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规格:DN75，</w:t>
            </w:r>
          </w:p>
          <w:p w14:paraId="353B186D">
            <w:pPr>
              <w:pageBreakBefore w:val="0"/>
              <w:widowControl/>
              <w:numPr>
                <w:ilvl w:val="0"/>
                <w:numId w:val="38"/>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材质:PE管</w:t>
            </w:r>
          </w:p>
          <w:p w14:paraId="6192D217">
            <w:pPr>
              <w:pageBreakBefore w:val="0"/>
              <w:widowControl/>
              <w:numPr>
                <w:ilvl w:val="0"/>
                <w:numId w:val="38"/>
              </w:numPr>
              <w:shd w:val="clear"/>
              <w:tabs>
                <w:tab w:val="clear" w:pos="0"/>
              </w:tabs>
              <w:kinsoku/>
              <w:wordWrap/>
              <w:overflowPunct/>
              <w:topLinePunct w:val="0"/>
              <w:autoSpaceDE w:val="0"/>
              <w:autoSpaceDN w:val="0"/>
              <w:bidi w:val="0"/>
              <w:adjustRightInd w:val="0"/>
              <w:snapToGrid w:val="0"/>
              <w:spacing w:line="360" w:lineRule="auto"/>
              <w:ind w:left="0" w:leftChars="0" w:firstLine="0" w:firstLineChars="0"/>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敷设方式:埋地敷设</w:t>
            </w:r>
          </w:p>
        </w:tc>
        <w:tc>
          <w:tcPr>
            <w:tcW w:w="348" w:type="pct"/>
            <w:noWrap w:val="0"/>
            <w:vAlign w:val="center"/>
          </w:tcPr>
          <w:p w14:paraId="7D694F3D">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米</w:t>
            </w:r>
          </w:p>
        </w:tc>
        <w:tc>
          <w:tcPr>
            <w:tcW w:w="369" w:type="pct"/>
            <w:noWrap w:val="0"/>
            <w:vAlign w:val="center"/>
          </w:tcPr>
          <w:p w14:paraId="6EC3F2C0">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5150 </w:t>
            </w:r>
          </w:p>
        </w:tc>
        <w:tc>
          <w:tcPr>
            <w:tcW w:w="317" w:type="pct"/>
            <w:noWrap w:val="0"/>
            <w:vAlign w:val="center"/>
          </w:tcPr>
          <w:p w14:paraId="0F105452">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7B87B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0F6D06A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4.3</w:t>
            </w:r>
          </w:p>
        </w:tc>
        <w:tc>
          <w:tcPr>
            <w:tcW w:w="607" w:type="pct"/>
            <w:noWrap w:val="0"/>
            <w:vAlign w:val="center"/>
          </w:tcPr>
          <w:p w14:paraId="520E21B2">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电缆保护管敷设</w:t>
            </w:r>
          </w:p>
        </w:tc>
        <w:tc>
          <w:tcPr>
            <w:tcW w:w="2949" w:type="pct"/>
            <w:noWrap w:val="0"/>
            <w:vAlign w:val="center"/>
          </w:tcPr>
          <w:p w14:paraId="341D9D96">
            <w:pPr>
              <w:pageBreakBefore w:val="0"/>
              <w:widowControl/>
              <w:numPr>
                <w:ilvl w:val="0"/>
                <w:numId w:val="3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名称:电缆保护管，</w:t>
            </w:r>
          </w:p>
          <w:p w14:paraId="6A0FA4FB">
            <w:pPr>
              <w:pageBreakBefore w:val="0"/>
              <w:widowControl/>
              <w:numPr>
                <w:ilvl w:val="0"/>
                <w:numId w:val="3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规格:DN32，</w:t>
            </w:r>
          </w:p>
          <w:p w14:paraId="583F0481">
            <w:pPr>
              <w:pageBreakBefore w:val="0"/>
              <w:widowControl/>
              <w:numPr>
                <w:ilvl w:val="0"/>
                <w:numId w:val="3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材质:PE管</w:t>
            </w:r>
          </w:p>
          <w:p w14:paraId="45744A7B">
            <w:pPr>
              <w:pageBreakBefore w:val="0"/>
              <w:widowControl/>
              <w:numPr>
                <w:ilvl w:val="0"/>
                <w:numId w:val="39"/>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敷设方式:埋地敷设</w:t>
            </w:r>
          </w:p>
        </w:tc>
        <w:tc>
          <w:tcPr>
            <w:tcW w:w="348" w:type="pct"/>
            <w:noWrap w:val="0"/>
            <w:vAlign w:val="center"/>
          </w:tcPr>
          <w:p w14:paraId="43EB0562">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米</w:t>
            </w:r>
          </w:p>
        </w:tc>
        <w:tc>
          <w:tcPr>
            <w:tcW w:w="369" w:type="pct"/>
            <w:noWrap w:val="0"/>
            <w:vAlign w:val="center"/>
          </w:tcPr>
          <w:p w14:paraId="75A004AE">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1285 </w:t>
            </w:r>
          </w:p>
        </w:tc>
        <w:tc>
          <w:tcPr>
            <w:tcW w:w="317" w:type="pct"/>
            <w:noWrap w:val="0"/>
            <w:vAlign w:val="center"/>
          </w:tcPr>
          <w:p w14:paraId="222A9E4D">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14861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0EAD77AE">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4.4</w:t>
            </w:r>
          </w:p>
        </w:tc>
        <w:tc>
          <w:tcPr>
            <w:tcW w:w="607" w:type="pct"/>
            <w:noWrap w:val="0"/>
            <w:vAlign w:val="center"/>
          </w:tcPr>
          <w:p w14:paraId="14194AB4">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过路管道</w:t>
            </w:r>
          </w:p>
        </w:tc>
        <w:tc>
          <w:tcPr>
            <w:tcW w:w="2949" w:type="pct"/>
            <w:noWrap w:val="0"/>
            <w:vAlign w:val="center"/>
          </w:tcPr>
          <w:p w14:paraId="7F1D010D">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val="en-US" w:eastAsia="zh-CN" w:bidi="ar"/>
              </w:rPr>
              <w:t>1.</w:t>
            </w:r>
            <w:r>
              <w:rPr>
                <w:rFonts w:hint="eastAsia" w:ascii="宋体" w:hAnsi="宋体" w:eastAsia="宋体" w:cs="宋体"/>
                <w:snapToGrid w:val="0"/>
                <w:color w:val="auto"/>
                <w:sz w:val="21"/>
                <w:szCs w:val="21"/>
                <w:highlight w:val="none"/>
                <w:lang w:bidi="ar"/>
              </w:rPr>
              <w:t>过路管道施工，含管:4*DN100，材质:HDPE110，连接方式:热熔连接</w:t>
            </w:r>
          </w:p>
        </w:tc>
        <w:tc>
          <w:tcPr>
            <w:tcW w:w="348" w:type="pct"/>
            <w:noWrap w:val="0"/>
            <w:vAlign w:val="center"/>
          </w:tcPr>
          <w:p w14:paraId="0D55C34C">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米</w:t>
            </w:r>
          </w:p>
        </w:tc>
        <w:tc>
          <w:tcPr>
            <w:tcW w:w="369" w:type="pct"/>
            <w:noWrap w:val="0"/>
            <w:vAlign w:val="center"/>
          </w:tcPr>
          <w:p w14:paraId="0ED0E9E0">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460 </w:t>
            </w:r>
          </w:p>
        </w:tc>
        <w:tc>
          <w:tcPr>
            <w:tcW w:w="317" w:type="pct"/>
            <w:noWrap w:val="0"/>
            <w:vAlign w:val="center"/>
          </w:tcPr>
          <w:p w14:paraId="683A53CD">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0796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1DD97FAA">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4.5</w:t>
            </w:r>
          </w:p>
        </w:tc>
        <w:tc>
          <w:tcPr>
            <w:tcW w:w="607" w:type="pct"/>
            <w:noWrap w:val="0"/>
            <w:vAlign w:val="center"/>
          </w:tcPr>
          <w:p w14:paraId="77382387">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过路管道</w:t>
            </w:r>
          </w:p>
        </w:tc>
        <w:tc>
          <w:tcPr>
            <w:tcW w:w="2949" w:type="pct"/>
            <w:noWrap w:val="0"/>
            <w:vAlign w:val="center"/>
          </w:tcPr>
          <w:p w14:paraId="1F6918C4">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val="en-US" w:eastAsia="zh-CN" w:bidi="ar"/>
              </w:rPr>
              <w:t>1.</w:t>
            </w:r>
            <w:r>
              <w:rPr>
                <w:rFonts w:hint="eastAsia" w:ascii="宋体" w:hAnsi="宋体" w:eastAsia="宋体" w:cs="宋体"/>
                <w:snapToGrid w:val="0"/>
                <w:color w:val="auto"/>
                <w:sz w:val="21"/>
                <w:szCs w:val="21"/>
                <w:highlight w:val="none"/>
                <w:lang w:bidi="ar"/>
              </w:rPr>
              <w:t>过路管道施工，含管:1*DN100，材质:HDPE110，连接方式:热熔连接</w:t>
            </w:r>
          </w:p>
        </w:tc>
        <w:tc>
          <w:tcPr>
            <w:tcW w:w="348" w:type="pct"/>
            <w:noWrap w:val="0"/>
            <w:vAlign w:val="center"/>
          </w:tcPr>
          <w:p w14:paraId="41A97C20">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米</w:t>
            </w:r>
          </w:p>
        </w:tc>
        <w:tc>
          <w:tcPr>
            <w:tcW w:w="369" w:type="pct"/>
            <w:noWrap w:val="0"/>
            <w:vAlign w:val="center"/>
          </w:tcPr>
          <w:p w14:paraId="53137FD7">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265 </w:t>
            </w:r>
          </w:p>
        </w:tc>
        <w:tc>
          <w:tcPr>
            <w:tcW w:w="317" w:type="pct"/>
            <w:noWrap w:val="0"/>
            <w:vAlign w:val="center"/>
          </w:tcPr>
          <w:p w14:paraId="64ED73DB">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528CF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6225774D">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4.6</w:t>
            </w:r>
          </w:p>
        </w:tc>
        <w:tc>
          <w:tcPr>
            <w:tcW w:w="607" w:type="pct"/>
            <w:noWrap w:val="0"/>
            <w:vAlign w:val="center"/>
          </w:tcPr>
          <w:p w14:paraId="269DC611">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沉沙井 400*400</w:t>
            </w:r>
          </w:p>
        </w:tc>
        <w:tc>
          <w:tcPr>
            <w:tcW w:w="2949" w:type="pct"/>
            <w:noWrap w:val="0"/>
            <w:vAlign w:val="center"/>
          </w:tcPr>
          <w:p w14:paraId="6FA75F1B">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sz w:val="21"/>
                <w:szCs w:val="21"/>
                <w:highlight w:val="none"/>
                <w:lang w:val="en-US" w:eastAsia="zh-CN" w:bidi="ar"/>
              </w:rPr>
              <w:t>1.</w:t>
            </w:r>
            <w:r>
              <w:rPr>
                <w:rFonts w:hint="eastAsia" w:ascii="宋体" w:hAnsi="宋体" w:eastAsia="宋体" w:cs="宋体"/>
                <w:color w:val="auto"/>
                <w:sz w:val="21"/>
                <w:szCs w:val="21"/>
                <w:highlight w:val="none"/>
                <w:lang w:bidi="ar"/>
              </w:rPr>
              <w:t>手井基础不小于400mm（长）*400mm（宽）*500mm（深），含井盖，且为</w:t>
            </w:r>
            <w:r>
              <w:rPr>
                <w:rFonts w:hint="eastAsia" w:ascii="宋体" w:hAnsi="宋体" w:eastAsia="宋体" w:cs="宋体"/>
                <w:snapToGrid w:val="0"/>
                <w:color w:val="auto"/>
                <w:sz w:val="21"/>
                <w:szCs w:val="21"/>
                <w:highlight w:val="none"/>
                <w:lang w:bidi="ar"/>
              </w:rPr>
              <w:t>铸铁</w:t>
            </w:r>
            <w:r>
              <w:rPr>
                <w:rFonts w:hint="eastAsia" w:ascii="宋体" w:hAnsi="宋体" w:eastAsia="宋体" w:cs="宋体"/>
                <w:color w:val="auto"/>
                <w:sz w:val="21"/>
                <w:szCs w:val="21"/>
                <w:highlight w:val="none"/>
                <w:lang w:bidi="ar"/>
              </w:rPr>
              <w:t>材质，整体按照 GB 50348-2018 等标准规范执行。</w:t>
            </w:r>
          </w:p>
        </w:tc>
        <w:tc>
          <w:tcPr>
            <w:tcW w:w="348" w:type="pct"/>
            <w:noWrap w:val="0"/>
            <w:vAlign w:val="center"/>
          </w:tcPr>
          <w:p w14:paraId="5147172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座</w:t>
            </w:r>
          </w:p>
        </w:tc>
        <w:tc>
          <w:tcPr>
            <w:tcW w:w="369" w:type="pct"/>
            <w:noWrap w:val="0"/>
            <w:vAlign w:val="center"/>
          </w:tcPr>
          <w:p w14:paraId="763ADD23">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102 </w:t>
            </w:r>
          </w:p>
        </w:tc>
        <w:tc>
          <w:tcPr>
            <w:tcW w:w="317" w:type="pct"/>
            <w:noWrap w:val="0"/>
            <w:vAlign w:val="center"/>
          </w:tcPr>
          <w:p w14:paraId="4E36BCEC">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53627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3E05848C">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4.7</w:t>
            </w:r>
          </w:p>
        </w:tc>
        <w:tc>
          <w:tcPr>
            <w:tcW w:w="607" w:type="pct"/>
            <w:noWrap w:val="0"/>
            <w:vAlign w:val="center"/>
          </w:tcPr>
          <w:p w14:paraId="740A77A8">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沉沙井 600*600</w:t>
            </w:r>
          </w:p>
        </w:tc>
        <w:tc>
          <w:tcPr>
            <w:tcW w:w="2949" w:type="pct"/>
            <w:noWrap w:val="0"/>
            <w:vAlign w:val="center"/>
          </w:tcPr>
          <w:p w14:paraId="1986FB23">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sz w:val="21"/>
                <w:szCs w:val="21"/>
                <w:highlight w:val="none"/>
                <w:lang w:val="en-US" w:eastAsia="zh-CN" w:bidi="ar"/>
              </w:rPr>
              <w:t>1.</w:t>
            </w:r>
            <w:r>
              <w:rPr>
                <w:rFonts w:hint="eastAsia" w:ascii="宋体" w:hAnsi="宋体" w:eastAsia="宋体" w:cs="宋体"/>
                <w:color w:val="auto"/>
                <w:sz w:val="21"/>
                <w:szCs w:val="21"/>
                <w:highlight w:val="none"/>
                <w:lang w:bidi="ar"/>
              </w:rPr>
              <w:t>手井基础不小于600mm（长）*600mm（宽）*600mm（深），含井盖，且为</w:t>
            </w:r>
            <w:r>
              <w:rPr>
                <w:rFonts w:hint="eastAsia" w:ascii="宋体" w:hAnsi="宋体" w:eastAsia="宋体" w:cs="宋体"/>
                <w:snapToGrid w:val="0"/>
                <w:color w:val="auto"/>
                <w:sz w:val="21"/>
                <w:szCs w:val="21"/>
                <w:highlight w:val="none"/>
                <w:lang w:bidi="ar"/>
              </w:rPr>
              <w:t>铸铁</w:t>
            </w:r>
            <w:r>
              <w:rPr>
                <w:rFonts w:hint="eastAsia" w:ascii="宋体" w:hAnsi="宋体" w:eastAsia="宋体" w:cs="宋体"/>
                <w:color w:val="auto"/>
                <w:sz w:val="21"/>
                <w:szCs w:val="21"/>
                <w:highlight w:val="none"/>
                <w:lang w:bidi="ar"/>
              </w:rPr>
              <w:t>材质，整体按照 GB 50348-2018 等标准规范执行。</w:t>
            </w:r>
          </w:p>
        </w:tc>
        <w:tc>
          <w:tcPr>
            <w:tcW w:w="348" w:type="pct"/>
            <w:noWrap w:val="0"/>
            <w:vAlign w:val="center"/>
          </w:tcPr>
          <w:p w14:paraId="062A311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座</w:t>
            </w:r>
          </w:p>
        </w:tc>
        <w:tc>
          <w:tcPr>
            <w:tcW w:w="369" w:type="pct"/>
            <w:noWrap w:val="0"/>
            <w:vAlign w:val="center"/>
          </w:tcPr>
          <w:p w14:paraId="67B98471">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50 </w:t>
            </w:r>
          </w:p>
        </w:tc>
        <w:tc>
          <w:tcPr>
            <w:tcW w:w="317" w:type="pct"/>
            <w:noWrap w:val="0"/>
            <w:vAlign w:val="center"/>
          </w:tcPr>
          <w:p w14:paraId="70AC0FFC">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107AE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4C0F49D0">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4.8</w:t>
            </w:r>
          </w:p>
        </w:tc>
        <w:tc>
          <w:tcPr>
            <w:tcW w:w="607" w:type="pct"/>
            <w:noWrap w:val="0"/>
            <w:vAlign w:val="center"/>
          </w:tcPr>
          <w:p w14:paraId="2CA2588C">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取电电缆敷设</w:t>
            </w:r>
          </w:p>
        </w:tc>
        <w:tc>
          <w:tcPr>
            <w:tcW w:w="2949" w:type="pct"/>
            <w:noWrap w:val="0"/>
            <w:vAlign w:val="center"/>
          </w:tcPr>
          <w:p w14:paraId="3A95643A">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val="en-US" w:eastAsia="zh-CN" w:bidi="ar"/>
              </w:rPr>
              <w:t>1.</w:t>
            </w:r>
            <w:r>
              <w:rPr>
                <w:rFonts w:hint="eastAsia" w:ascii="宋体" w:hAnsi="宋体" w:eastAsia="宋体" w:cs="宋体"/>
                <w:snapToGrid w:val="0"/>
                <w:color w:val="auto"/>
                <w:sz w:val="21"/>
                <w:szCs w:val="21"/>
                <w:highlight w:val="none"/>
                <w:lang w:bidi="ar"/>
              </w:rPr>
              <w:t>管道内敷设 含YJV22-4*6mm2 及人工</w:t>
            </w:r>
          </w:p>
        </w:tc>
        <w:tc>
          <w:tcPr>
            <w:tcW w:w="348" w:type="pct"/>
            <w:noWrap w:val="0"/>
            <w:vAlign w:val="center"/>
          </w:tcPr>
          <w:p w14:paraId="13BE1197">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米</w:t>
            </w:r>
          </w:p>
        </w:tc>
        <w:tc>
          <w:tcPr>
            <w:tcW w:w="369" w:type="pct"/>
            <w:noWrap w:val="0"/>
            <w:vAlign w:val="center"/>
          </w:tcPr>
          <w:p w14:paraId="22943D4D">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1590 </w:t>
            </w:r>
          </w:p>
        </w:tc>
        <w:tc>
          <w:tcPr>
            <w:tcW w:w="317" w:type="pct"/>
            <w:noWrap w:val="0"/>
            <w:vAlign w:val="center"/>
          </w:tcPr>
          <w:p w14:paraId="3B659C6D">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17E6F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07547DE5">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4.9</w:t>
            </w:r>
          </w:p>
        </w:tc>
        <w:tc>
          <w:tcPr>
            <w:tcW w:w="607" w:type="pct"/>
            <w:noWrap w:val="0"/>
            <w:vAlign w:val="center"/>
          </w:tcPr>
          <w:p w14:paraId="2F61D633">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取电电缆敷设</w:t>
            </w:r>
          </w:p>
        </w:tc>
        <w:tc>
          <w:tcPr>
            <w:tcW w:w="2949" w:type="pct"/>
            <w:noWrap w:val="0"/>
            <w:vAlign w:val="center"/>
          </w:tcPr>
          <w:p w14:paraId="4F061092">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val="en-US" w:eastAsia="zh-CN" w:bidi="ar"/>
              </w:rPr>
              <w:t>1.</w:t>
            </w:r>
            <w:r>
              <w:rPr>
                <w:rFonts w:hint="eastAsia" w:ascii="宋体" w:hAnsi="宋体" w:eastAsia="宋体" w:cs="宋体"/>
                <w:snapToGrid w:val="0"/>
                <w:color w:val="auto"/>
                <w:sz w:val="21"/>
                <w:szCs w:val="21"/>
                <w:highlight w:val="none"/>
                <w:lang w:bidi="ar"/>
              </w:rPr>
              <w:t>管道内敷设 含YJV22-4*10mm2 及人工</w:t>
            </w:r>
          </w:p>
        </w:tc>
        <w:tc>
          <w:tcPr>
            <w:tcW w:w="348" w:type="pct"/>
            <w:noWrap w:val="0"/>
            <w:vAlign w:val="center"/>
          </w:tcPr>
          <w:p w14:paraId="663B393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米</w:t>
            </w:r>
          </w:p>
        </w:tc>
        <w:tc>
          <w:tcPr>
            <w:tcW w:w="369" w:type="pct"/>
            <w:noWrap w:val="0"/>
            <w:vAlign w:val="center"/>
          </w:tcPr>
          <w:p w14:paraId="469B11EC">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380 </w:t>
            </w:r>
          </w:p>
        </w:tc>
        <w:tc>
          <w:tcPr>
            <w:tcW w:w="317" w:type="pct"/>
            <w:noWrap w:val="0"/>
            <w:vAlign w:val="center"/>
          </w:tcPr>
          <w:p w14:paraId="65C7332B">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64FB9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622589D1">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4.10</w:t>
            </w:r>
          </w:p>
        </w:tc>
        <w:tc>
          <w:tcPr>
            <w:tcW w:w="607" w:type="pct"/>
            <w:noWrap w:val="0"/>
            <w:vAlign w:val="center"/>
          </w:tcPr>
          <w:p w14:paraId="6FA22372">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电表开户接入费</w:t>
            </w:r>
          </w:p>
        </w:tc>
        <w:tc>
          <w:tcPr>
            <w:tcW w:w="2949" w:type="pct"/>
            <w:noWrap w:val="0"/>
            <w:vAlign w:val="center"/>
          </w:tcPr>
          <w:p w14:paraId="0EDF0080">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val="en-US" w:eastAsia="zh-CN" w:bidi="ar"/>
              </w:rPr>
              <w:t>1.</w:t>
            </w:r>
            <w:r>
              <w:rPr>
                <w:rFonts w:hint="eastAsia" w:ascii="宋体" w:hAnsi="宋体" w:eastAsia="宋体" w:cs="宋体"/>
                <w:snapToGrid w:val="0"/>
                <w:color w:val="auto"/>
                <w:sz w:val="21"/>
                <w:szCs w:val="21"/>
                <w:highlight w:val="none"/>
                <w:lang w:bidi="ar"/>
              </w:rPr>
              <w:t>协调电表开户及取电点接入施工</w:t>
            </w:r>
          </w:p>
        </w:tc>
        <w:tc>
          <w:tcPr>
            <w:tcW w:w="348" w:type="pct"/>
            <w:noWrap w:val="0"/>
            <w:vAlign w:val="center"/>
          </w:tcPr>
          <w:p w14:paraId="07787425">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项</w:t>
            </w:r>
          </w:p>
        </w:tc>
        <w:tc>
          <w:tcPr>
            <w:tcW w:w="369" w:type="pct"/>
            <w:noWrap w:val="0"/>
            <w:vAlign w:val="center"/>
          </w:tcPr>
          <w:p w14:paraId="068BDCC4">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12 </w:t>
            </w:r>
          </w:p>
        </w:tc>
        <w:tc>
          <w:tcPr>
            <w:tcW w:w="317" w:type="pct"/>
            <w:noWrap w:val="0"/>
            <w:vAlign w:val="center"/>
          </w:tcPr>
          <w:p w14:paraId="59FDE784">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7F4D9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79CA341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snapToGrid w:val="0"/>
                <w:color w:val="auto"/>
                <w:sz w:val="21"/>
                <w:szCs w:val="21"/>
                <w:highlight w:val="none"/>
                <w:lang w:bidi="ar"/>
              </w:rPr>
              <w:t>二</w:t>
            </w:r>
          </w:p>
        </w:tc>
        <w:tc>
          <w:tcPr>
            <w:tcW w:w="3556" w:type="pct"/>
            <w:gridSpan w:val="2"/>
            <w:noWrap w:val="0"/>
            <w:vAlign w:val="center"/>
          </w:tcPr>
          <w:p w14:paraId="1206F1BC">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b/>
                <w:bCs/>
                <w:color w:val="auto"/>
                <w:sz w:val="21"/>
                <w:szCs w:val="21"/>
                <w:highlight w:val="none"/>
              </w:rPr>
            </w:pPr>
            <w:r>
              <w:rPr>
                <w:rFonts w:hint="eastAsia" w:ascii="宋体" w:hAnsi="宋体" w:eastAsia="宋体" w:cs="宋体"/>
                <w:b/>
                <w:bCs/>
                <w:snapToGrid w:val="0"/>
                <w:color w:val="auto"/>
                <w:sz w:val="21"/>
                <w:szCs w:val="21"/>
                <w:highlight w:val="none"/>
                <w:lang w:bidi="ar"/>
              </w:rPr>
              <w:t>智能交通管理平台升级扩容</w:t>
            </w:r>
          </w:p>
        </w:tc>
        <w:tc>
          <w:tcPr>
            <w:tcW w:w="348" w:type="pct"/>
            <w:noWrap w:val="0"/>
            <w:vAlign w:val="center"/>
          </w:tcPr>
          <w:p w14:paraId="04778D9C">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369" w:type="pct"/>
            <w:noWrap w:val="0"/>
            <w:vAlign w:val="center"/>
          </w:tcPr>
          <w:p w14:paraId="0CF022CC">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p>
        </w:tc>
        <w:tc>
          <w:tcPr>
            <w:tcW w:w="317" w:type="pct"/>
            <w:noWrap w:val="0"/>
            <w:vAlign w:val="center"/>
          </w:tcPr>
          <w:p w14:paraId="494CACDF">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1"/>
                <w:szCs w:val="21"/>
                <w:highlight w:val="none"/>
              </w:rPr>
            </w:pPr>
          </w:p>
        </w:tc>
      </w:tr>
      <w:tr w14:paraId="18AF9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04CB1284">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1</w:t>
            </w:r>
          </w:p>
        </w:tc>
        <w:tc>
          <w:tcPr>
            <w:tcW w:w="607" w:type="pct"/>
            <w:noWrap w:val="0"/>
            <w:vAlign w:val="center"/>
          </w:tcPr>
          <w:p w14:paraId="3DD40EB1">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信控平台服务器</w:t>
            </w:r>
          </w:p>
        </w:tc>
        <w:tc>
          <w:tcPr>
            <w:tcW w:w="2949" w:type="pct"/>
            <w:noWrap w:val="0"/>
            <w:vAlign w:val="top"/>
          </w:tcPr>
          <w:p w14:paraId="18C9CE4A">
            <w:pPr>
              <w:pageBreakBefore w:val="0"/>
              <w:widowControl/>
              <w:numPr>
                <w:ilvl w:val="0"/>
                <w:numId w:val="40"/>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sz w:val="21"/>
                <w:szCs w:val="21"/>
                <w:highlight w:val="none"/>
              </w:rPr>
              <w:t>▲</w:t>
            </w:r>
            <w:r>
              <w:rPr>
                <w:rFonts w:hint="eastAsia" w:ascii="宋体" w:hAnsi="宋体" w:eastAsia="宋体" w:cs="宋体"/>
                <w:snapToGrid w:val="0"/>
                <w:color w:val="auto"/>
                <w:sz w:val="21"/>
                <w:szCs w:val="21"/>
                <w:highlight w:val="none"/>
                <w:lang w:bidi="ar"/>
              </w:rPr>
              <w:t>配置≥2颗国产C86或ARM架构处理器，单处理器物理核心数≥16核，主频≥2.5 GHz；</w:t>
            </w:r>
          </w:p>
          <w:p w14:paraId="5B0EF901">
            <w:pPr>
              <w:pageBreakBefore w:val="0"/>
              <w:widowControl/>
              <w:numPr>
                <w:ilvl w:val="0"/>
                <w:numId w:val="40"/>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配置≥128G DDR4内存；</w:t>
            </w:r>
          </w:p>
          <w:p w14:paraId="58960234">
            <w:pPr>
              <w:pageBreakBefore w:val="0"/>
              <w:widowControl/>
              <w:numPr>
                <w:ilvl w:val="0"/>
                <w:numId w:val="40"/>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配置≥2块600G 10K SAS硬盘（Raid1）；</w:t>
            </w:r>
          </w:p>
          <w:p w14:paraId="0941BD99">
            <w:pPr>
              <w:pageBreakBefore w:val="0"/>
              <w:widowControl/>
              <w:numPr>
                <w:ilvl w:val="0"/>
                <w:numId w:val="40"/>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配置SAS_HBA卡（支持RAID 0/1/10）；</w:t>
            </w:r>
          </w:p>
          <w:p w14:paraId="6AD607C3">
            <w:pPr>
              <w:pageBreakBefore w:val="0"/>
              <w:widowControl/>
              <w:numPr>
                <w:ilvl w:val="0"/>
                <w:numId w:val="40"/>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标配≥2个千兆电口，可选配置≥2个万兆网口，支持选配10GbE SFP+等多种网络接口；</w:t>
            </w:r>
          </w:p>
          <w:p w14:paraId="5787ECE9">
            <w:pPr>
              <w:pageBreakBefore w:val="0"/>
              <w:widowControl/>
              <w:numPr>
                <w:ilvl w:val="0"/>
                <w:numId w:val="40"/>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配置≥800W（1+1）冗余电源；</w:t>
            </w:r>
          </w:p>
        </w:tc>
        <w:tc>
          <w:tcPr>
            <w:tcW w:w="348" w:type="pct"/>
            <w:noWrap w:val="0"/>
            <w:vAlign w:val="center"/>
          </w:tcPr>
          <w:p w14:paraId="7450B273">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台</w:t>
            </w:r>
          </w:p>
        </w:tc>
        <w:tc>
          <w:tcPr>
            <w:tcW w:w="369" w:type="pct"/>
            <w:noWrap w:val="0"/>
            <w:vAlign w:val="center"/>
          </w:tcPr>
          <w:p w14:paraId="52832B64">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1</w:t>
            </w:r>
          </w:p>
        </w:tc>
        <w:tc>
          <w:tcPr>
            <w:tcW w:w="317" w:type="pct"/>
            <w:noWrap w:val="0"/>
            <w:vAlign w:val="center"/>
          </w:tcPr>
          <w:p w14:paraId="3FF7F16A">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硬件设备</w:t>
            </w:r>
          </w:p>
        </w:tc>
      </w:tr>
      <w:tr w14:paraId="5BDA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4BA2AB1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w:t>
            </w:r>
          </w:p>
        </w:tc>
        <w:tc>
          <w:tcPr>
            <w:tcW w:w="607" w:type="pct"/>
            <w:shd w:val="clear" w:color="auto" w:fill="auto"/>
            <w:noWrap w:val="0"/>
            <w:vAlign w:val="center"/>
          </w:tcPr>
          <w:p w14:paraId="1E7EA416">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交通信号控制平台</w:t>
            </w:r>
          </w:p>
        </w:tc>
        <w:tc>
          <w:tcPr>
            <w:tcW w:w="2949" w:type="pct"/>
            <w:shd w:val="clear" w:color="auto" w:fill="auto"/>
            <w:noWrap w:val="0"/>
            <w:vAlign w:val="center"/>
          </w:tcPr>
          <w:p w14:paraId="64B4C773">
            <w:pPr>
              <w:pageBreakBefore w:val="0"/>
              <w:widowControl/>
              <w:shd w:val="clear"/>
              <w:kinsoku/>
              <w:wordWrap/>
              <w:overflowPunct/>
              <w:topLinePunct w:val="0"/>
              <w:autoSpaceDE w:val="0"/>
              <w:autoSpaceDN w:val="0"/>
              <w:bidi w:val="0"/>
              <w:adjustRightInd w:val="0"/>
              <w:snapToGrid w:val="0"/>
              <w:spacing w:line="360" w:lineRule="auto"/>
              <w:jc w:val="both"/>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详见</w:t>
            </w:r>
            <w:r>
              <w:rPr>
                <w:rFonts w:hint="eastAsia" w:ascii="宋体" w:hAnsi="宋体" w:eastAsia="宋体" w:cs="宋体"/>
                <w:b/>
                <w:bCs/>
                <w:snapToGrid w:val="0"/>
                <w:color w:val="auto"/>
                <w:sz w:val="21"/>
                <w:szCs w:val="21"/>
                <w:highlight w:val="none"/>
                <w:lang w:bidi="ar"/>
              </w:rPr>
              <w:fldChar w:fldCharType="begin"/>
            </w:r>
            <w:r>
              <w:rPr>
                <w:rFonts w:hint="eastAsia" w:ascii="宋体" w:hAnsi="宋体" w:eastAsia="宋体" w:cs="宋体"/>
                <w:b/>
                <w:bCs/>
                <w:snapToGrid w:val="0"/>
                <w:color w:val="auto"/>
                <w:sz w:val="21"/>
                <w:szCs w:val="21"/>
                <w:highlight w:val="none"/>
                <w:lang w:bidi="ar"/>
              </w:rPr>
              <w:instrText xml:space="preserve"> REF _Ref2306 \h </w:instrText>
            </w:r>
            <w:r>
              <w:rPr>
                <w:rFonts w:hint="eastAsia" w:ascii="宋体" w:hAnsi="宋体" w:eastAsia="宋体" w:cs="宋体"/>
                <w:b/>
                <w:bCs/>
                <w:snapToGrid w:val="0"/>
                <w:color w:val="auto"/>
                <w:sz w:val="21"/>
                <w:szCs w:val="21"/>
                <w:highlight w:val="none"/>
                <w:lang w:bidi="ar"/>
              </w:rPr>
              <w:fldChar w:fldCharType="separate"/>
            </w:r>
            <w:r>
              <w:rPr>
                <w:rFonts w:hint="eastAsia" w:ascii="宋体" w:hAnsi="宋体" w:eastAsia="宋体" w:cs="宋体"/>
                <w:b/>
                <w:bCs/>
                <w:snapToGrid w:val="0"/>
                <w:color w:val="auto"/>
                <w:sz w:val="21"/>
                <w:szCs w:val="21"/>
                <w:highlight w:val="none"/>
                <w:lang w:bidi="ar"/>
              </w:rPr>
              <w:t>采购需求</w:t>
            </w:r>
            <w:r>
              <w:rPr>
                <w:rFonts w:hint="eastAsia" w:ascii="宋体" w:hAnsi="宋体" w:eastAsia="宋体" w:cs="宋体"/>
                <w:b/>
                <w:bCs/>
                <w:snapToGrid w:val="0"/>
                <w:color w:val="auto"/>
                <w:sz w:val="21"/>
                <w:szCs w:val="21"/>
                <w:highlight w:val="none"/>
                <w:lang w:bidi="ar"/>
              </w:rPr>
              <w:fldChar w:fldCharType="end"/>
            </w:r>
            <w:r>
              <w:rPr>
                <w:rFonts w:hint="eastAsia" w:ascii="宋体" w:hAnsi="宋体" w:eastAsia="宋体" w:cs="宋体"/>
                <w:snapToGrid w:val="0"/>
                <w:color w:val="auto"/>
                <w:sz w:val="21"/>
                <w:szCs w:val="21"/>
                <w:highlight w:val="none"/>
                <w:lang w:bidi="ar"/>
              </w:rPr>
              <w:t>内的“</w:t>
            </w:r>
            <w:r>
              <w:rPr>
                <w:rFonts w:hint="eastAsia" w:ascii="宋体" w:hAnsi="宋体" w:eastAsia="宋体" w:cs="宋体"/>
                <w:b/>
                <w:bCs/>
                <w:snapToGrid w:val="0"/>
                <w:color w:val="auto"/>
                <w:sz w:val="21"/>
                <w:szCs w:val="21"/>
                <w:highlight w:val="none"/>
                <w:lang w:bidi="ar"/>
              </w:rPr>
              <w:fldChar w:fldCharType="begin"/>
            </w:r>
            <w:r>
              <w:rPr>
                <w:rFonts w:hint="eastAsia" w:ascii="宋体" w:hAnsi="宋体" w:eastAsia="宋体" w:cs="宋体"/>
                <w:b/>
                <w:bCs/>
                <w:snapToGrid w:val="0"/>
                <w:color w:val="auto"/>
                <w:sz w:val="21"/>
                <w:szCs w:val="21"/>
                <w:highlight w:val="none"/>
                <w:lang w:bidi="ar"/>
              </w:rPr>
              <w:instrText xml:space="preserve"> REF _Ref739 \n \h </w:instrText>
            </w:r>
            <w:r>
              <w:rPr>
                <w:rFonts w:hint="eastAsia" w:ascii="宋体" w:hAnsi="宋体" w:eastAsia="宋体" w:cs="宋体"/>
                <w:b/>
                <w:bCs/>
                <w:snapToGrid w:val="0"/>
                <w:color w:val="auto"/>
                <w:sz w:val="21"/>
                <w:szCs w:val="21"/>
                <w:highlight w:val="none"/>
                <w:lang w:bidi="ar"/>
              </w:rPr>
              <w:fldChar w:fldCharType="separate"/>
            </w:r>
            <w:r>
              <w:rPr>
                <w:rFonts w:hint="eastAsia" w:ascii="宋体" w:hAnsi="宋体" w:eastAsia="宋体" w:cs="宋体"/>
                <w:b/>
                <w:bCs/>
                <w:snapToGrid w:val="0"/>
                <w:color w:val="auto"/>
                <w:sz w:val="21"/>
                <w:szCs w:val="21"/>
                <w:highlight w:val="none"/>
                <w:lang w:bidi="ar"/>
              </w:rPr>
              <w:t>1.2.5</w:t>
            </w:r>
            <w:r>
              <w:rPr>
                <w:rFonts w:hint="eastAsia" w:ascii="宋体" w:hAnsi="宋体" w:eastAsia="宋体" w:cs="宋体"/>
                <w:b/>
                <w:bCs/>
                <w:snapToGrid w:val="0"/>
                <w:color w:val="auto"/>
                <w:sz w:val="21"/>
                <w:szCs w:val="21"/>
                <w:highlight w:val="none"/>
                <w:lang w:bidi="ar"/>
              </w:rPr>
              <w:fldChar w:fldCharType="end"/>
            </w:r>
            <w:r>
              <w:rPr>
                <w:rFonts w:hint="eastAsia" w:ascii="宋体" w:hAnsi="宋体" w:eastAsia="宋体" w:cs="宋体"/>
                <w:b/>
                <w:bCs/>
                <w:snapToGrid w:val="0"/>
                <w:color w:val="auto"/>
                <w:sz w:val="21"/>
                <w:szCs w:val="21"/>
                <w:highlight w:val="none"/>
                <w:lang w:bidi="ar"/>
              </w:rPr>
              <w:t>.</w:t>
            </w:r>
            <w:r>
              <w:rPr>
                <w:rFonts w:hint="eastAsia" w:ascii="宋体" w:hAnsi="宋体" w:eastAsia="宋体" w:cs="宋体"/>
                <w:b/>
                <w:bCs/>
                <w:snapToGrid w:val="0"/>
                <w:color w:val="auto"/>
                <w:sz w:val="21"/>
                <w:szCs w:val="21"/>
                <w:highlight w:val="none"/>
                <w:lang w:bidi="ar"/>
              </w:rPr>
              <w:fldChar w:fldCharType="begin"/>
            </w:r>
            <w:r>
              <w:rPr>
                <w:rFonts w:hint="eastAsia" w:ascii="宋体" w:hAnsi="宋体" w:eastAsia="宋体" w:cs="宋体"/>
                <w:b/>
                <w:bCs/>
                <w:snapToGrid w:val="0"/>
                <w:color w:val="auto"/>
                <w:sz w:val="21"/>
                <w:szCs w:val="21"/>
                <w:highlight w:val="none"/>
                <w:lang w:bidi="ar"/>
              </w:rPr>
              <w:instrText xml:space="preserve"> REF _Ref1104 \h </w:instrText>
            </w:r>
            <w:r>
              <w:rPr>
                <w:rFonts w:hint="eastAsia" w:ascii="宋体" w:hAnsi="宋体" w:eastAsia="宋体" w:cs="宋体"/>
                <w:b/>
                <w:bCs/>
                <w:snapToGrid w:val="0"/>
                <w:color w:val="auto"/>
                <w:sz w:val="21"/>
                <w:szCs w:val="21"/>
                <w:highlight w:val="none"/>
                <w:lang w:bidi="ar"/>
              </w:rPr>
              <w:fldChar w:fldCharType="separate"/>
            </w:r>
            <w:r>
              <w:rPr>
                <w:rFonts w:hint="eastAsia" w:ascii="宋体" w:hAnsi="宋体" w:eastAsia="宋体" w:cs="宋体"/>
                <w:b/>
                <w:bCs/>
                <w:snapToGrid w:val="0"/>
                <w:color w:val="auto"/>
                <w:sz w:val="21"/>
                <w:szCs w:val="21"/>
                <w:highlight w:val="none"/>
                <w:lang w:bidi="ar"/>
              </w:rPr>
              <w:t>交通信号控制平台功能要求</w:t>
            </w:r>
            <w:r>
              <w:rPr>
                <w:rFonts w:hint="eastAsia" w:ascii="宋体" w:hAnsi="宋体" w:eastAsia="宋体" w:cs="宋体"/>
                <w:b/>
                <w:bCs/>
                <w:snapToGrid w:val="0"/>
                <w:color w:val="auto"/>
                <w:sz w:val="21"/>
                <w:szCs w:val="21"/>
                <w:highlight w:val="none"/>
                <w:lang w:bidi="ar"/>
              </w:rPr>
              <w:fldChar w:fldCharType="end"/>
            </w:r>
            <w:r>
              <w:rPr>
                <w:rFonts w:hint="eastAsia" w:ascii="宋体" w:hAnsi="宋体" w:eastAsia="宋体" w:cs="宋体"/>
                <w:snapToGrid w:val="0"/>
                <w:color w:val="auto"/>
                <w:sz w:val="21"/>
                <w:szCs w:val="21"/>
                <w:highlight w:val="none"/>
                <w:lang w:bidi="ar"/>
              </w:rPr>
              <w:t>”相关章节</w:t>
            </w:r>
          </w:p>
        </w:tc>
        <w:tc>
          <w:tcPr>
            <w:tcW w:w="348" w:type="pct"/>
            <w:shd w:val="clear" w:color="auto" w:fill="auto"/>
            <w:noWrap w:val="0"/>
            <w:vAlign w:val="center"/>
          </w:tcPr>
          <w:p w14:paraId="40CAE78E">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套</w:t>
            </w:r>
          </w:p>
        </w:tc>
        <w:tc>
          <w:tcPr>
            <w:tcW w:w="369" w:type="pct"/>
            <w:shd w:val="clear" w:color="auto" w:fill="auto"/>
            <w:noWrap w:val="0"/>
            <w:vAlign w:val="center"/>
          </w:tcPr>
          <w:p w14:paraId="1CD83393">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1</w:t>
            </w:r>
          </w:p>
        </w:tc>
        <w:tc>
          <w:tcPr>
            <w:tcW w:w="317" w:type="pct"/>
            <w:shd w:val="clear" w:color="auto" w:fill="auto"/>
            <w:noWrap w:val="0"/>
            <w:vAlign w:val="center"/>
          </w:tcPr>
          <w:p w14:paraId="4661B77B">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成品软件</w:t>
            </w:r>
          </w:p>
        </w:tc>
      </w:tr>
      <w:tr w14:paraId="02D08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049DDC98">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3</w:t>
            </w:r>
          </w:p>
        </w:tc>
        <w:tc>
          <w:tcPr>
            <w:tcW w:w="607" w:type="pct"/>
            <w:noWrap w:val="0"/>
            <w:vAlign w:val="center"/>
          </w:tcPr>
          <w:p w14:paraId="13EBF0AC">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网络存储设备</w:t>
            </w:r>
          </w:p>
        </w:tc>
        <w:tc>
          <w:tcPr>
            <w:tcW w:w="2949" w:type="pct"/>
            <w:noWrap w:val="0"/>
            <w:vAlign w:val="top"/>
          </w:tcPr>
          <w:p w14:paraId="45B653B6">
            <w:pPr>
              <w:pageBreakBefore w:val="0"/>
              <w:widowControl/>
              <w:numPr>
                <w:ilvl w:val="0"/>
                <w:numId w:val="4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具有不少于36个硬盘热插拔插槽；</w:t>
            </w:r>
          </w:p>
          <w:p w14:paraId="425B49A5">
            <w:pPr>
              <w:pageBreakBefore w:val="0"/>
              <w:widowControl/>
              <w:numPr>
                <w:ilvl w:val="0"/>
                <w:numId w:val="4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设备配置：≥1颗64位多核处理器，≥8GB内存，内存支持扩展到≥256GB，内置SSD固态硬盘，配置≥4个风扇，风扇支持热插拔并可冗余温控调速；支持热插拔1+1AC220V电源或1+1直流冗余电源供电；</w:t>
            </w:r>
          </w:p>
          <w:p w14:paraId="7413FDA4">
            <w:pPr>
              <w:pageBreakBefore w:val="0"/>
              <w:widowControl/>
              <w:numPr>
                <w:ilvl w:val="0"/>
                <w:numId w:val="4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设备标配：≥4个2.5Gb网口，支持2个前置 USB2.0接口、2个后置USB3.0接口，支持1个前置VGA接口、1个后置HDMI接口，支持1个RS-232串口，支持4个PCI-E3.0；</w:t>
            </w:r>
          </w:p>
          <w:p w14:paraId="1756100B">
            <w:pPr>
              <w:pageBreakBefore w:val="0"/>
              <w:widowControl/>
              <w:numPr>
                <w:ilvl w:val="0"/>
                <w:numId w:val="4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支持硬盘热插拔设备在读写数据时，热插拔设备内的任意块硬盘，设备正常运行不宕机，硬盘不损坏，数据不丢失，业务不中断；</w:t>
            </w:r>
          </w:p>
          <w:p w14:paraId="50FD6322">
            <w:pPr>
              <w:pageBreakBefore w:val="0"/>
              <w:widowControl/>
              <w:numPr>
                <w:ilvl w:val="0"/>
                <w:numId w:val="4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rPr>
              <w:t>设备具备1个定位灯、1个电源灯、1个设备报警灯、1个就绪灯、1个网络状态灯、1个系统盘状态灯、1个硬盘状态灯，机箱具备防尘滤网，采用双立柱防震设计；（提供公安部检测机构或其他经国家认可的第三方检测机构出具的检测报告复印件并加盖投标人公章）</w:t>
            </w:r>
          </w:p>
          <w:p w14:paraId="4E894DB2">
            <w:pPr>
              <w:pageBreakBefore w:val="0"/>
              <w:widowControl/>
              <w:numPr>
                <w:ilvl w:val="0"/>
                <w:numId w:val="4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可接入2T/3T/4T/6T/8T/10T/12T/14T/16T/18T/20T/25T/26T/30T SATA/SAS硬盘；支持NL-SAS 硬盘、HDD硬盘、SSD硬盘、氦气硬盘、空气硬盘；支持 CMR或SMR硬盘；支持硬盘交错/分时启动；</w:t>
            </w:r>
          </w:p>
          <w:p w14:paraId="2730F4DD">
            <w:pPr>
              <w:pageBreakBefore w:val="0"/>
              <w:widowControl/>
              <w:numPr>
                <w:ilvl w:val="0"/>
                <w:numId w:val="4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支持视音频、图片、智能数据流进行混合直存，无须存储服务器和图片服务器的参与，平台服务器宕机时，存储业务正常；支持国际GB/T 28181和Onvif视频流直存模式；支持iSCSI直存功能，前端网络摄像机和设备之间可直接通过iSCSI协议进行块存储；</w:t>
            </w:r>
          </w:p>
          <w:p w14:paraId="79AC0C7F">
            <w:pPr>
              <w:pageBreakBefore w:val="0"/>
              <w:widowControl/>
              <w:numPr>
                <w:ilvl w:val="0"/>
                <w:numId w:val="4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支持 ONVIF、PSIA、TCP/IP、UDP、SIP、SIP2.0、RTSP、RTP、RTCP、iSCSI、CIFS(SMB)、NFS、FTP、HTTP、AFP、RSYNC、SNMP、IPV4、IPV6、HLS、S3、OSS等协议，支持IP组播；</w:t>
            </w:r>
          </w:p>
          <w:p w14:paraId="094D5B01">
            <w:pPr>
              <w:pageBreakBefore w:val="0"/>
              <w:widowControl/>
              <w:numPr>
                <w:ilvl w:val="0"/>
                <w:numId w:val="4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设备支持版本回退功能，在当前版本出现故障或操作失误后，可进行回退到历史版本，回退后录像正常回放，且历史录像完整；</w:t>
            </w:r>
          </w:p>
          <w:p w14:paraId="5A4CDC7D">
            <w:pPr>
              <w:pageBreakBefore w:val="0"/>
              <w:widowControl/>
              <w:numPr>
                <w:ilvl w:val="0"/>
                <w:numId w:val="4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设备支持MAID2.0磁盘节能功能，当磁盘不工作时，可根据设置的时间自动启动磁盘降速或磁盘休眠指令，降低磁盘驱动能耗；</w:t>
            </w:r>
          </w:p>
          <w:p w14:paraId="7D671DFF">
            <w:pPr>
              <w:pageBreakBefore w:val="0"/>
              <w:widowControl/>
              <w:numPr>
                <w:ilvl w:val="0"/>
                <w:numId w:val="41"/>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BMC支持复杂密码，设备首次使用默认密码登录BMC时，提示修改密码，并且需要强制修改完密码后重新登陆，否则无法进入BMC web；（提供公安部检测机构或其他经国家认可的第三方检测机构出具的检测报告复印件并加盖投标人公章）</w:t>
            </w:r>
          </w:p>
        </w:tc>
        <w:tc>
          <w:tcPr>
            <w:tcW w:w="348" w:type="pct"/>
            <w:noWrap w:val="0"/>
            <w:vAlign w:val="center"/>
          </w:tcPr>
          <w:p w14:paraId="21E46900">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台</w:t>
            </w:r>
          </w:p>
        </w:tc>
        <w:tc>
          <w:tcPr>
            <w:tcW w:w="369" w:type="pct"/>
            <w:noWrap w:val="0"/>
            <w:vAlign w:val="center"/>
          </w:tcPr>
          <w:p w14:paraId="7FA74183">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w:t>
            </w:r>
          </w:p>
        </w:tc>
        <w:tc>
          <w:tcPr>
            <w:tcW w:w="317" w:type="pct"/>
            <w:noWrap w:val="0"/>
            <w:vAlign w:val="center"/>
          </w:tcPr>
          <w:p w14:paraId="17474C38">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硬件设备</w:t>
            </w:r>
          </w:p>
        </w:tc>
      </w:tr>
      <w:tr w14:paraId="18B98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5C0F97B7">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4</w:t>
            </w:r>
          </w:p>
        </w:tc>
        <w:tc>
          <w:tcPr>
            <w:tcW w:w="607" w:type="pct"/>
            <w:noWrap w:val="0"/>
            <w:vAlign w:val="center"/>
          </w:tcPr>
          <w:p w14:paraId="3082F43E">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硬盘</w:t>
            </w:r>
          </w:p>
        </w:tc>
        <w:tc>
          <w:tcPr>
            <w:tcW w:w="2949" w:type="pct"/>
            <w:noWrap w:val="0"/>
            <w:vAlign w:val="top"/>
          </w:tcPr>
          <w:p w14:paraId="3CD3D44A">
            <w:pPr>
              <w:pageBreakBefore w:val="0"/>
              <w:widowControl/>
              <w:numPr>
                <w:ilvl w:val="0"/>
                <w:numId w:val="4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8TB​监控级 HDD​。</w:t>
            </w:r>
          </w:p>
          <w:p w14:paraId="49E86729">
            <w:pPr>
              <w:pageBreakBefore w:val="0"/>
              <w:widowControl/>
              <w:numPr>
                <w:ilvl w:val="0"/>
                <w:numId w:val="4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转速：5400 RPM（低功耗、静音）。</w:t>
            </w:r>
          </w:p>
          <w:p w14:paraId="37109DA5">
            <w:pPr>
              <w:pageBreakBefore w:val="0"/>
              <w:widowControl/>
              <w:numPr>
                <w:ilvl w:val="0"/>
                <w:numId w:val="4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缓存：256MB 或更高，提升多路视频流并发写入能力。</w:t>
            </w:r>
          </w:p>
          <w:p w14:paraId="7DDF2047">
            <w:pPr>
              <w:pageBreakBefore w:val="0"/>
              <w:widowControl/>
              <w:numPr>
                <w:ilvl w:val="0"/>
                <w:numId w:val="4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平均故障间隔（MTBF）​：≥1,000,000 小时。</w:t>
            </w:r>
          </w:p>
          <w:p w14:paraId="7BFCB4BE">
            <w:pPr>
              <w:pageBreakBefore w:val="0"/>
              <w:widowControl/>
              <w:numPr>
                <w:ilvl w:val="0"/>
                <w:numId w:val="4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接口与兼容性​接口：SATA III（6Gbps）。</w:t>
            </w:r>
          </w:p>
          <w:p w14:paraId="28D79132">
            <w:pPr>
              <w:pageBreakBefore w:val="0"/>
              <w:widowControl/>
              <w:numPr>
                <w:ilvl w:val="0"/>
                <w:numId w:val="42"/>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尺寸：3.5 英寸。</w:t>
            </w:r>
          </w:p>
        </w:tc>
        <w:tc>
          <w:tcPr>
            <w:tcW w:w="348" w:type="pct"/>
            <w:noWrap w:val="0"/>
            <w:vAlign w:val="center"/>
          </w:tcPr>
          <w:p w14:paraId="4A6FA216">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块</w:t>
            </w:r>
          </w:p>
        </w:tc>
        <w:tc>
          <w:tcPr>
            <w:tcW w:w="369" w:type="pct"/>
            <w:noWrap w:val="0"/>
            <w:vAlign w:val="center"/>
          </w:tcPr>
          <w:p w14:paraId="11E4EC7C">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72</w:t>
            </w:r>
          </w:p>
        </w:tc>
        <w:tc>
          <w:tcPr>
            <w:tcW w:w="317" w:type="pct"/>
            <w:noWrap w:val="0"/>
            <w:vAlign w:val="center"/>
          </w:tcPr>
          <w:p w14:paraId="50EECA4C">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608B0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374DE72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5</w:t>
            </w:r>
          </w:p>
        </w:tc>
        <w:tc>
          <w:tcPr>
            <w:tcW w:w="607" w:type="pct"/>
            <w:noWrap w:val="0"/>
            <w:vAlign w:val="center"/>
          </w:tcPr>
          <w:p w14:paraId="2C5F1988">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应用服务器</w:t>
            </w:r>
          </w:p>
        </w:tc>
        <w:tc>
          <w:tcPr>
            <w:tcW w:w="2949" w:type="pct"/>
            <w:noWrap w:val="0"/>
            <w:vAlign w:val="top"/>
          </w:tcPr>
          <w:p w14:paraId="6062BA16">
            <w:pPr>
              <w:pageBreakBefore w:val="0"/>
              <w:widowControl/>
              <w:numPr>
                <w:ilvl w:val="0"/>
                <w:numId w:val="4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2U单路标准机架式服务器；</w:t>
            </w:r>
          </w:p>
          <w:p w14:paraId="656F28AF">
            <w:pPr>
              <w:pageBreakBefore w:val="0"/>
              <w:widowControl/>
              <w:numPr>
                <w:ilvl w:val="0"/>
                <w:numId w:val="4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配置≥1颗国产C86或ARM架构CPU处理器，核数≥16核，主频≥2.5GHz；</w:t>
            </w:r>
          </w:p>
          <w:p w14:paraId="4AD5E784">
            <w:pPr>
              <w:pageBreakBefore w:val="0"/>
              <w:widowControl/>
              <w:numPr>
                <w:ilvl w:val="0"/>
                <w:numId w:val="4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配置≥128G DDR4内存，16根内存插槽，最大支持扩展至1TB内存；</w:t>
            </w:r>
          </w:p>
          <w:p w14:paraId="4CFD466A">
            <w:pPr>
              <w:pageBreakBefore w:val="0"/>
              <w:widowControl/>
              <w:numPr>
                <w:ilvl w:val="0"/>
                <w:numId w:val="4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配置≥2块480G SSD硬盘，2块4T 7.2K SATA硬盘；</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5. 配置SAS+HBA卡（支持RAID 0/1/10）；</w:t>
            </w:r>
          </w:p>
          <w:p w14:paraId="32934FC9">
            <w:pPr>
              <w:pageBreakBefore w:val="0"/>
              <w:widowControl/>
              <w:numPr>
                <w:ilvl w:val="0"/>
                <w:numId w:val="4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最大可支持6个PCIe扩展插槽；</w:t>
            </w:r>
          </w:p>
          <w:p w14:paraId="206C99C7">
            <w:pPr>
              <w:pageBreakBefore w:val="0"/>
              <w:widowControl/>
              <w:numPr>
                <w:ilvl w:val="0"/>
                <w:numId w:val="4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板载≥2个千兆电口，支持选配10GbE、25GbE SFP+等多种网络接口；</w:t>
            </w:r>
          </w:p>
          <w:p w14:paraId="0AD7D611">
            <w:pPr>
              <w:pageBreakBefore w:val="0"/>
              <w:widowControl/>
              <w:numPr>
                <w:ilvl w:val="0"/>
                <w:numId w:val="4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 xml:space="preserve">配置≥1个千兆RJ-45管理接口，≥4个USB 3.0接口； </w:t>
            </w:r>
          </w:p>
          <w:p w14:paraId="0BA11AD8">
            <w:pPr>
              <w:pageBreakBefore w:val="0"/>
              <w:widowControl/>
              <w:numPr>
                <w:ilvl w:val="0"/>
                <w:numId w:val="43"/>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配置1+1冗余电源；</w:t>
            </w:r>
          </w:p>
        </w:tc>
        <w:tc>
          <w:tcPr>
            <w:tcW w:w="348" w:type="pct"/>
            <w:noWrap w:val="0"/>
            <w:vAlign w:val="center"/>
          </w:tcPr>
          <w:p w14:paraId="693DEE3A">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台</w:t>
            </w:r>
          </w:p>
        </w:tc>
        <w:tc>
          <w:tcPr>
            <w:tcW w:w="369" w:type="pct"/>
            <w:noWrap w:val="0"/>
            <w:vAlign w:val="center"/>
          </w:tcPr>
          <w:p w14:paraId="0EE25745">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w:t>
            </w:r>
          </w:p>
        </w:tc>
        <w:tc>
          <w:tcPr>
            <w:tcW w:w="317" w:type="pct"/>
            <w:noWrap w:val="0"/>
            <w:vAlign w:val="center"/>
          </w:tcPr>
          <w:p w14:paraId="51DA44C3">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硬件设备</w:t>
            </w:r>
          </w:p>
        </w:tc>
      </w:tr>
      <w:tr w14:paraId="63152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0BBA1035">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6</w:t>
            </w:r>
          </w:p>
        </w:tc>
        <w:tc>
          <w:tcPr>
            <w:tcW w:w="607" w:type="pct"/>
            <w:noWrap w:val="0"/>
            <w:vAlign w:val="center"/>
          </w:tcPr>
          <w:p w14:paraId="31F53758">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感知服务器</w:t>
            </w:r>
          </w:p>
        </w:tc>
        <w:tc>
          <w:tcPr>
            <w:tcW w:w="2949" w:type="pct"/>
            <w:noWrap w:val="0"/>
            <w:vAlign w:val="top"/>
          </w:tcPr>
          <w:p w14:paraId="1023452A">
            <w:pPr>
              <w:pageBreakBefore w:val="0"/>
              <w:widowControl/>
              <w:numPr>
                <w:ilvl w:val="0"/>
                <w:numId w:val="4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2U单路标准机架式服务器；</w:t>
            </w:r>
          </w:p>
          <w:p w14:paraId="3D4C968F">
            <w:pPr>
              <w:pageBreakBefore w:val="0"/>
              <w:widowControl/>
              <w:numPr>
                <w:ilvl w:val="0"/>
                <w:numId w:val="4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配置≥1颗国产C86或ARM架构CPU处理器，核数≥24核，主频≥2.0GHz；</w:t>
            </w:r>
          </w:p>
          <w:p w14:paraId="57E6D6F1">
            <w:pPr>
              <w:pageBreakBefore w:val="0"/>
              <w:widowControl/>
              <w:numPr>
                <w:ilvl w:val="0"/>
                <w:numId w:val="4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配置≥64G DDR4内存，16根内存插槽，最大支持扩展至1TB内存；</w:t>
            </w:r>
          </w:p>
          <w:p w14:paraId="6D270342">
            <w:pPr>
              <w:pageBreakBefore w:val="0"/>
              <w:widowControl/>
              <w:numPr>
                <w:ilvl w:val="0"/>
                <w:numId w:val="4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配置≥2块600G 10K SAS硬盘，≥2块4T 7.2K SAS硬盘；</w:t>
            </w:r>
          </w:p>
          <w:p w14:paraId="5D611344">
            <w:pPr>
              <w:pageBreakBefore w:val="0"/>
              <w:widowControl/>
              <w:numPr>
                <w:ilvl w:val="0"/>
                <w:numId w:val="4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配置SAS+HBA卡；</w:t>
            </w:r>
          </w:p>
          <w:p w14:paraId="2F84E61C">
            <w:pPr>
              <w:pageBreakBefore w:val="0"/>
              <w:widowControl/>
              <w:numPr>
                <w:ilvl w:val="0"/>
                <w:numId w:val="4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板载≥2个千兆电口；</w:t>
            </w:r>
          </w:p>
          <w:p w14:paraId="13265F41">
            <w:pPr>
              <w:pageBreakBefore w:val="0"/>
              <w:widowControl/>
              <w:numPr>
                <w:ilvl w:val="0"/>
                <w:numId w:val="44"/>
              </w:numPr>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配置1+1冗余电源；</w:t>
            </w:r>
          </w:p>
        </w:tc>
        <w:tc>
          <w:tcPr>
            <w:tcW w:w="348" w:type="pct"/>
            <w:noWrap w:val="0"/>
            <w:vAlign w:val="center"/>
          </w:tcPr>
          <w:p w14:paraId="0C9FF7F6">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台</w:t>
            </w:r>
          </w:p>
        </w:tc>
        <w:tc>
          <w:tcPr>
            <w:tcW w:w="369" w:type="pct"/>
            <w:noWrap w:val="0"/>
            <w:vAlign w:val="center"/>
          </w:tcPr>
          <w:p w14:paraId="6B6E6EE9">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1</w:t>
            </w:r>
          </w:p>
        </w:tc>
        <w:tc>
          <w:tcPr>
            <w:tcW w:w="317" w:type="pct"/>
            <w:noWrap/>
            <w:vAlign w:val="center"/>
          </w:tcPr>
          <w:p w14:paraId="077BD582">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硬件设备</w:t>
            </w:r>
          </w:p>
        </w:tc>
      </w:tr>
      <w:tr w14:paraId="76CD5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35E973BE">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7</w:t>
            </w:r>
          </w:p>
        </w:tc>
        <w:tc>
          <w:tcPr>
            <w:tcW w:w="607" w:type="pct"/>
            <w:noWrap w:val="0"/>
            <w:vAlign w:val="center"/>
          </w:tcPr>
          <w:p w14:paraId="3AD14E61">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大数据软件</w:t>
            </w:r>
          </w:p>
        </w:tc>
        <w:tc>
          <w:tcPr>
            <w:tcW w:w="2949" w:type="pct"/>
            <w:noWrap w:val="0"/>
            <w:vAlign w:val="top"/>
          </w:tcPr>
          <w:p w14:paraId="249139F1">
            <w:pPr>
              <w:pageBreakBefore w:val="0"/>
              <w:widowControl/>
              <w:numPr>
                <w:ilvl w:val="0"/>
                <w:numId w:val="45"/>
              </w:numPr>
              <w:shd w:val="clear"/>
              <w:kinsoku/>
              <w:wordWrap/>
              <w:overflowPunct/>
              <w:topLinePunct w:val="0"/>
              <w:autoSpaceDE w:val="0"/>
              <w:autoSpaceDN w:val="0"/>
              <w:bidi w:val="0"/>
              <w:adjustRightInd w:val="0"/>
              <w:snapToGrid w:val="0"/>
              <w:spacing w:line="360" w:lineRule="auto"/>
              <w:textAlignment w:val="top"/>
              <w:rPr>
                <w:rFonts w:hint="eastAsia" w:ascii="宋体" w:hAnsi="宋体" w:eastAsia="宋体" w:cs="宋体"/>
                <w:snapToGrid w:val="0"/>
                <w:color w:val="auto"/>
                <w:sz w:val="21"/>
                <w:szCs w:val="21"/>
                <w:highlight w:val="none"/>
                <w:lang w:bidi="ar"/>
              </w:rPr>
            </w:pP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车辆数据接入及任务管理</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（1）支持车辆抓拍数据接入和处理服务，包括一转多、过车数据解析、过车数据处理、时间范围过滤等功能；</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（2）支持按节点查看每个车辆抓拍数据接入任务节点的信息，根据不同节点类型，展示不同节点的参数和运行状况，包括数据量报表、执行日志、性能日志、样例数据和执行记录；</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（3）支持设置每个车辆抓拍数据接入任务的重试开关是否开启、重试次数上报阈值、重试间隔、单批重试次数、复制线程数等属性；</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（4）支持设置每个车辆抓拍数据接入任务的增量激活状态、执行类型、周期配置（执行周期、排除周期、时间间隔）等运行策略配置；</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（5）支持查看每个车辆抓拍数据接入任务的输入数据量、输出数据量、异常数据量统计；支持按时、日、周、月查看每个人像数据接入任务输入、输出、异常数据量趋势；</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（6）支持查看每个车辆抓拍数据接入任务的任务运行记录，包括开始时间、结束时间、输入数据量、输出数据量、异常数据量，并可下载日志；</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 xml:space="preserve">2. </w:t>
            </w: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车辆违法数据接入及任务管理</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（1）支持车辆违法数据接入和处理服务，包括车辆违法数据解析、车辆违法数据处理、时间范围过滤等功能；</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（2）支持按节点查看每个车辆违法数据接入任务节点的信息，根据不同节点类型，展示不同节点的参数和运行状况，包括数据量报表、执行日志、性能日志、样例数据和执行记录；</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（3）支持设置每个车辆违法数据接入任务的重试开关是否开启、重试次数上报阈值、重试间隔、单批重试次数、复制线程数等属性；</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（4）支持设置每个车辆违法数据接入任务的增量激活状态、执行类型、周期配置（执行周期、排除周期、时间间隔）等运行策略配置；</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（5）支持查看每个车辆违法数据接入任务的输入数据量、输出数据量、异常数据量统计；支持按时、日、周、月查看每个人像数据接入任务输入、输出、异常数据量趋势；</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（6）支持查看每个车违法辆数据接入任务的任务运行记录，包括开始时间、结束时间、输入数据量、输出数据量、异常数据量，并可下载日志；</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 xml:space="preserve">3. </w:t>
            </w: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车辆抓拍数据统计及任务管理</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（1）支持按车道方向、归属地、车辆品牌、区域统计车辆抓拍数据；</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（2）支持统计每个设备每小时的车辆抓拍数据量；</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 xml:space="preserve">4. </w:t>
            </w: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车辆应用服务接口</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（1）支持修改过车数据服务接口；</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（2）支持过车数据查询服务接口；</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（3）支持过车数据统计服务接口；</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5.</w:t>
            </w: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感知数据存储</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（1）支持统一建表服务，支持车辆抓拍、车辆违法、非机动车等抓拍记录、计算结果等数据表统一创建；</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（2）支持多个专用于感知数据接入和治理的插件，包括感知数据处理插件、感知数据解析插件、时间过滤插件；</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（3）支持数据生命周期管理功能，自动按照配置信息保留指定时间范围内的数据；</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（4）可支持日增300万数据接入，存储总量最多可支持5亿条；</w:t>
            </w:r>
          </w:p>
          <w:p w14:paraId="2D50578C">
            <w:pPr>
              <w:pageBreakBefore w:val="0"/>
              <w:widowControl/>
              <w:shd w:val="clear"/>
              <w:kinsoku/>
              <w:wordWrap/>
              <w:overflowPunct/>
              <w:topLinePunct w:val="0"/>
              <w:autoSpaceDE w:val="0"/>
              <w:autoSpaceDN w:val="0"/>
              <w:bidi w:val="0"/>
              <w:adjustRightInd w:val="0"/>
              <w:snapToGrid w:val="0"/>
              <w:spacing w:line="360" w:lineRule="auto"/>
              <w:textAlignment w:val="top"/>
              <w:rPr>
                <w:rFonts w:hint="eastAsia" w:ascii="宋体" w:hAnsi="宋体" w:eastAsia="宋体" w:cs="宋体"/>
                <w:snapToGrid w:val="0"/>
                <w:color w:val="auto"/>
                <w:sz w:val="21"/>
                <w:szCs w:val="21"/>
                <w:highlight w:val="none"/>
                <w:lang w:bidi="ar"/>
              </w:rPr>
            </w:pPr>
            <w:r>
              <w:rPr>
                <w:rFonts w:hint="eastAsia" w:ascii="宋体" w:hAnsi="宋体" w:eastAsia="宋体" w:cs="宋体"/>
                <w:snapToGrid w:val="0"/>
                <w:color w:val="auto"/>
                <w:sz w:val="21"/>
                <w:szCs w:val="21"/>
                <w:highlight w:val="none"/>
                <w:lang w:bidi="ar"/>
              </w:rPr>
              <w:t>6.</w:t>
            </w:r>
            <w:r>
              <w:rPr>
                <w:rFonts w:hint="eastAsia" w:ascii="宋体" w:hAnsi="宋体" w:eastAsia="宋体" w:cs="宋体"/>
                <w:color w:val="auto"/>
                <w:sz w:val="21"/>
                <w:szCs w:val="21"/>
                <w:highlight w:val="none"/>
                <w:lang w:bidi="ar"/>
              </w:rPr>
              <w:t>▲</w:t>
            </w:r>
            <w:r>
              <w:rPr>
                <w:rFonts w:hint="eastAsia" w:ascii="宋体" w:hAnsi="宋体" w:eastAsia="宋体" w:cs="宋体"/>
                <w:snapToGrid w:val="0"/>
                <w:color w:val="auto"/>
                <w:sz w:val="21"/>
                <w:szCs w:val="21"/>
                <w:highlight w:val="none"/>
                <w:lang w:bidi="ar"/>
              </w:rPr>
              <w:t>感知数据量授权不少于5亿条</w:t>
            </w:r>
          </w:p>
        </w:tc>
        <w:tc>
          <w:tcPr>
            <w:tcW w:w="348" w:type="pct"/>
            <w:noWrap w:val="0"/>
            <w:vAlign w:val="center"/>
          </w:tcPr>
          <w:p w14:paraId="5C213A5B">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套</w:t>
            </w:r>
          </w:p>
        </w:tc>
        <w:tc>
          <w:tcPr>
            <w:tcW w:w="369" w:type="pct"/>
            <w:noWrap w:val="0"/>
            <w:vAlign w:val="center"/>
          </w:tcPr>
          <w:p w14:paraId="2A24FBA0">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1</w:t>
            </w:r>
          </w:p>
        </w:tc>
        <w:tc>
          <w:tcPr>
            <w:tcW w:w="317" w:type="pct"/>
            <w:noWrap w:val="0"/>
            <w:vAlign w:val="center"/>
          </w:tcPr>
          <w:p w14:paraId="6F1FBFD0">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成品软件</w:t>
            </w:r>
          </w:p>
        </w:tc>
      </w:tr>
      <w:tr w14:paraId="03D92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48DB562A">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8</w:t>
            </w:r>
          </w:p>
        </w:tc>
        <w:tc>
          <w:tcPr>
            <w:tcW w:w="607" w:type="pct"/>
            <w:noWrap w:val="0"/>
            <w:vAlign w:val="center"/>
          </w:tcPr>
          <w:p w14:paraId="6F11E200">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bookmarkStart w:id="365" w:name="OLE_LINK6"/>
            <w:r>
              <w:rPr>
                <w:rFonts w:hint="eastAsia" w:ascii="宋体" w:hAnsi="宋体" w:eastAsia="宋体" w:cs="宋体"/>
                <w:snapToGrid w:val="0"/>
                <w:color w:val="auto"/>
                <w:sz w:val="21"/>
                <w:szCs w:val="21"/>
                <w:highlight w:val="none"/>
                <w:lang w:bidi="ar"/>
              </w:rPr>
              <w:t>交通综合管控平台</w:t>
            </w:r>
            <w:bookmarkEnd w:id="365"/>
            <w:r>
              <w:rPr>
                <w:rFonts w:hint="eastAsia" w:ascii="宋体" w:hAnsi="宋体" w:eastAsia="宋体" w:cs="宋体"/>
                <w:snapToGrid w:val="0"/>
                <w:color w:val="auto"/>
                <w:sz w:val="21"/>
                <w:szCs w:val="21"/>
                <w:highlight w:val="none"/>
                <w:lang w:bidi="ar"/>
              </w:rPr>
              <w:t>升级</w:t>
            </w:r>
          </w:p>
        </w:tc>
        <w:tc>
          <w:tcPr>
            <w:tcW w:w="2949" w:type="pct"/>
            <w:noWrap w:val="0"/>
            <w:vAlign w:val="center"/>
          </w:tcPr>
          <w:p w14:paraId="0F19E7F9">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详见</w:t>
            </w:r>
            <w:r>
              <w:rPr>
                <w:rFonts w:hint="eastAsia" w:ascii="宋体" w:hAnsi="宋体" w:eastAsia="宋体" w:cs="宋体"/>
                <w:b/>
                <w:bCs/>
                <w:snapToGrid w:val="0"/>
                <w:color w:val="auto"/>
                <w:sz w:val="21"/>
                <w:szCs w:val="21"/>
                <w:highlight w:val="none"/>
                <w:lang w:bidi="ar"/>
              </w:rPr>
              <w:fldChar w:fldCharType="begin"/>
            </w:r>
            <w:r>
              <w:rPr>
                <w:rFonts w:hint="eastAsia" w:ascii="宋体" w:hAnsi="宋体" w:eastAsia="宋体" w:cs="宋体"/>
                <w:b/>
                <w:bCs/>
                <w:snapToGrid w:val="0"/>
                <w:color w:val="auto"/>
                <w:sz w:val="21"/>
                <w:szCs w:val="21"/>
                <w:highlight w:val="none"/>
                <w:lang w:bidi="ar"/>
              </w:rPr>
              <w:instrText xml:space="preserve"> REF _Ref2306 \h </w:instrText>
            </w:r>
            <w:r>
              <w:rPr>
                <w:rFonts w:hint="eastAsia" w:ascii="宋体" w:hAnsi="宋体" w:eastAsia="宋体" w:cs="宋体"/>
                <w:b/>
                <w:bCs/>
                <w:snapToGrid w:val="0"/>
                <w:color w:val="auto"/>
                <w:sz w:val="21"/>
                <w:szCs w:val="21"/>
                <w:highlight w:val="none"/>
                <w:lang w:bidi="ar"/>
              </w:rPr>
              <w:fldChar w:fldCharType="separate"/>
            </w:r>
            <w:r>
              <w:rPr>
                <w:rFonts w:hint="eastAsia" w:ascii="宋体" w:hAnsi="宋体" w:eastAsia="宋体" w:cs="宋体"/>
                <w:b/>
                <w:bCs/>
                <w:snapToGrid w:val="0"/>
                <w:color w:val="auto"/>
                <w:sz w:val="21"/>
                <w:szCs w:val="21"/>
                <w:highlight w:val="none"/>
                <w:lang w:bidi="ar"/>
              </w:rPr>
              <w:t>采购需求</w:t>
            </w:r>
            <w:r>
              <w:rPr>
                <w:rFonts w:hint="eastAsia" w:ascii="宋体" w:hAnsi="宋体" w:eastAsia="宋体" w:cs="宋体"/>
                <w:b/>
                <w:bCs/>
                <w:snapToGrid w:val="0"/>
                <w:color w:val="auto"/>
                <w:sz w:val="21"/>
                <w:szCs w:val="21"/>
                <w:highlight w:val="none"/>
                <w:lang w:bidi="ar"/>
              </w:rPr>
              <w:fldChar w:fldCharType="end"/>
            </w:r>
            <w:r>
              <w:rPr>
                <w:rFonts w:hint="eastAsia" w:ascii="宋体" w:hAnsi="宋体" w:eastAsia="宋体" w:cs="宋体"/>
                <w:snapToGrid w:val="0"/>
                <w:color w:val="auto"/>
                <w:sz w:val="21"/>
                <w:szCs w:val="21"/>
                <w:highlight w:val="none"/>
                <w:lang w:bidi="ar"/>
              </w:rPr>
              <w:t>内的</w:t>
            </w:r>
            <w:r>
              <w:rPr>
                <w:rFonts w:hint="eastAsia" w:ascii="宋体" w:hAnsi="宋体" w:eastAsia="宋体" w:cs="宋体"/>
                <w:color w:val="auto"/>
                <w:sz w:val="21"/>
                <w:szCs w:val="21"/>
                <w:highlight w:val="none"/>
              </w:rPr>
              <w:t>“</w:t>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REF _Ref1486 \n \h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1.2.6</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REF _Ref1486 \h </w:instrText>
            </w:r>
            <w:r>
              <w:rPr>
                <w:rFonts w:hint="eastAsia" w:ascii="宋体" w:hAnsi="宋体" w:eastAsia="宋体" w:cs="宋体"/>
                <w:color w:val="auto"/>
                <w:sz w:val="21"/>
                <w:szCs w:val="21"/>
                <w:highlight w:val="none"/>
              </w:rPr>
              <w:fldChar w:fldCharType="separate"/>
            </w:r>
            <w:r>
              <w:rPr>
                <w:rFonts w:hint="eastAsia" w:ascii="宋体" w:hAnsi="宋体" w:eastAsia="宋体" w:cs="宋体"/>
                <w:b/>
                <w:bCs/>
                <w:color w:val="auto"/>
                <w:spacing w:val="-4"/>
                <w:sz w:val="21"/>
                <w:szCs w:val="21"/>
                <w:highlight w:val="none"/>
              </w:rPr>
              <w:t>交通综合管控平台功能要求</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”相关章节</w:t>
            </w:r>
          </w:p>
        </w:tc>
        <w:tc>
          <w:tcPr>
            <w:tcW w:w="348" w:type="pct"/>
            <w:noWrap w:val="0"/>
            <w:vAlign w:val="center"/>
          </w:tcPr>
          <w:p w14:paraId="52E6BF50">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套</w:t>
            </w:r>
          </w:p>
        </w:tc>
        <w:tc>
          <w:tcPr>
            <w:tcW w:w="369" w:type="pct"/>
            <w:noWrap w:val="0"/>
            <w:vAlign w:val="center"/>
          </w:tcPr>
          <w:p w14:paraId="67695F7D">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1</w:t>
            </w:r>
          </w:p>
        </w:tc>
        <w:tc>
          <w:tcPr>
            <w:tcW w:w="317" w:type="pct"/>
            <w:noWrap w:val="0"/>
            <w:vAlign w:val="center"/>
          </w:tcPr>
          <w:p w14:paraId="16379329">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成品软件</w:t>
            </w:r>
          </w:p>
        </w:tc>
      </w:tr>
      <w:tr w14:paraId="124D1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3C7F48D1">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9</w:t>
            </w:r>
          </w:p>
        </w:tc>
        <w:tc>
          <w:tcPr>
            <w:tcW w:w="607" w:type="pct"/>
            <w:noWrap w:val="0"/>
            <w:vAlign w:val="center"/>
          </w:tcPr>
          <w:p w14:paraId="1C74BD8A">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国产化消息中间件</w:t>
            </w:r>
          </w:p>
        </w:tc>
        <w:tc>
          <w:tcPr>
            <w:tcW w:w="2949" w:type="pct"/>
            <w:noWrap w:val="0"/>
            <w:vAlign w:val="center"/>
          </w:tcPr>
          <w:p w14:paraId="6B71B3C0">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消息中间件是基于队列与消息传递技术，在网络环境中为应用系统提供同步或异步、可靠的消息传输的支撑性软件系统。消息中间件应满足如下要求：</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1、负载均衡：支持集群和负载均衡；</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2、安全服务：支持界面登录提供验证码，超过次数锁定账号；防SDos攻击等；</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3、兼容性：对开源框架具有广泛的兼容性；</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4、安全管理：提供过滤访问IP、预防Slow HTTP DoS 攻击、禁用不安全HTTP方法、防止网页嵌套等安全设置；</w:t>
            </w:r>
          </w:p>
        </w:tc>
        <w:tc>
          <w:tcPr>
            <w:tcW w:w="348" w:type="pct"/>
            <w:noWrap w:val="0"/>
            <w:vAlign w:val="center"/>
          </w:tcPr>
          <w:p w14:paraId="3362CC01">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套</w:t>
            </w:r>
          </w:p>
        </w:tc>
        <w:tc>
          <w:tcPr>
            <w:tcW w:w="369" w:type="pct"/>
            <w:noWrap w:val="0"/>
            <w:vAlign w:val="center"/>
          </w:tcPr>
          <w:p w14:paraId="600D3896">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2</w:t>
            </w:r>
          </w:p>
        </w:tc>
        <w:tc>
          <w:tcPr>
            <w:tcW w:w="317" w:type="pct"/>
            <w:noWrap w:val="0"/>
            <w:vAlign w:val="center"/>
          </w:tcPr>
          <w:p w14:paraId="612644D0">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7E93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62CF5EB1">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10</w:t>
            </w:r>
          </w:p>
        </w:tc>
        <w:tc>
          <w:tcPr>
            <w:tcW w:w="607" w:type="pct"/>
            <w:noWrap w:val="0"/>
            <w:vAlign w:val="center"/>
          </w:tcPr>
          <w:p w14:paraId="7F20B3DB">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国产化数据库软件</w:t>
            </w:r>
          </w:p>
        </w:tc>
        <w:tc>
          <w:tcPr>
            <w:tcW w:w="2949" w:type="pct"/>
            <w:noWrap w:val="0"/>
            <w:vAlign w:val="center"/>
          </w:tcPr>
          <w:p w14:paraId="456A96A5">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为满足公安交管信息安全要求，本次项目采用国产化数据库软件，要求如下：</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1、可运行在国内外主流软硬件平台上，支持鲲鹏、飞腾、龙芯、申威、兆芯、海光等国产CPU；</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2、提供包括并行计算、索引覆盖等技术在内的多种性能优化手段，提供基于读写分离的负载均衡技术，能从容应对高负载大并发的业务；</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3、提供全新设计的集成开发环境和集成管理平台，能有效降低数据库开发人员和管理人员的使用成本，提高开发和管理效率；</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4、针对关键业务应用的可持续服务需求，可提供容错功能体系，通过如数据备份、恢复、同步复制、多数据副本等高可用技术，确保数据库7x24小时不间断服务，实现99 %的系统可用性；</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5、提供丰富的安全策略；</w:t>
            </w:r>
            <w:r>
              <w:rPr>
                <w:rFonts w:hint="eastAsia" w:ascii="宋体" w:hAnsi="宋体" w:eastAsia="宋体" w:cs="宋体"/>
                <w:snapToGrid w:val="0"/>
                <w:color w:val="auto"/>
                <w:sz w:val="21"/>
                <w:szCs w:val="21"/>
                <w:highlight w:val="none"/>
                <w:lang w:bidi="ar"/>
              </w:rPr>
              <w:br w:type="textWrapping"/>
            </w:r>
            <w:r>
              <w:rPr>
                <w:rFonts w:hint="eastAsia" w:ascii="宋体" w:hAnsi="宋体" w:eastAsia="宋体" w:cs="宋体"/>
                <w:snapToGrid w:val="0"/>
                <w:color w:val="auto"/>
                <w:sz w:val="21"/>
                <w:szCs w:val="21"/>
                <w:highlight w:val="none"/>
                <w:lang w:bidi="ar"/>
              </w:rPr>
              <w:t>6、兼容主流数据库（如Oracle、SQL Server、MySQL等）语法的服务器端、客户端应用开发接口。</w:t>
            </w:r>
          </w:p>
        </w:tc>
        <w:tc>
          <w:tcPr>
            <w:tcW w:w="348" w:type="pct"/>
            <w:noWrap w:val="0"/>
            <w:vAlign w:val="center"/>
          </w:tcPr>
          <w:p w14:paraId="0C79E9D8">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套</w:t>
            </w:r>
          </w:p>
        </w:tc>
        <w:tc>
          <w:tcPr>
            <w:tcW w:w="369" w:type="pct"/>
            <w:noWrap w:val="0"/>
            <w:vAlign w:val="center"/>
          </w:tcPr>
          <w:p w14:paraId="7C073DFE">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1</w:t>
            </w:r>
          </w:p>
        </w:tc>
        <w:tc>
          <w:tcPr>
            <w:tcW w:w="317" w:type="pct"/>
            <w:noWrap w:val="0"/>
            <w:vAlign w:val="center"/>
          </w:tcPr>
          <w:p w14:paraId="45B30786">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735D2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 w:type="pct"/>
            <w:noWrap w:val="0"/>
            <w:vAlign w:val="center"/>
          </w:tcPr>
          <w:p w14:paraId="3DA74A4E">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11</w:t>
            </w:r>
          </w:p>
        </w:tc>
        <w:tc>
          <w:tcPr>
            <w:tcW w:w="607" w:type="pct"/>
            <w:noWrap w:val="0"/>
            <w:vAlign w:val="center"/>
          </w:tcPr>
          <w:p w14:paraId="1E18A180">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国产化操作系统</w:t>
            </w:r>
          </w:p>
        </w:tc>
        <w:tc>
          <w:tcPr>
            <w:tcW w:w="2949" w:type="pct"/>
            <w:noWrap w:val="0"/>
            <w:vAlign w:val="center"/>
          </w:tcPr>
          <w:p w14:paraId="72979BBA">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val="en-US" w:eastAsia="zh-CN" w:bidi="ar"/>
              </w:rPr>
              <w:t>1.</w:t>
            </w:r>
            <w:r>
              <w:rPr>
                <w:rFonts w:hint="eastAsia" w:ascii="宋体" w:hAnsi="宋体" w:eastAsia="宋体" w:cs="宋体"/>
                <w:snapToGrid w:val="0"/>
                <w:color w:val="auto"/>
                <w:sz w:val="21"/>
                <w:szCs w:val="21"/>
                <w:highlight w:val="none"/>
                <w:lang w:bidi="ar"/>
              </w:rPr>
              <w:t>为满足公安交管信息安全要求，本次项目采用国产化操作系统。系统应能支持飞腾或龙芯或申威或兆芯或海光或鲲鹏等国产平台，提供兼容一致的开发和运行接口，为用户提供完全一致的用户体验。</w:t>
            </w:r>
          </w:p>
        </w:tc>
        <w:tc>
          <w:tcPr>
            <w:tcW w:w="348" w:type="pct"/>
            <w:noWrap w:val="0"/>
            <w:vAlign w:val="center"/>
          </w:tcPr>
          <w:p w14:paraId="5344736A">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套</w:t>
            </w:r>
          </w:p>
        </w:tc>
        <w:tc>
          <w:tcPr>
            <w:tcW w:w="369" w:type="pct"/>
            <w:noWrap w:val="0"/>
            <w:vAlign w:val="center"/>
          </w:tcPr>
          <w:p w14:paraId="7B88BF4F">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lang w:bidi="ar"/>
              </w:rPr>
              <w:t>4</w:t>
            </w:r>
          </w:p>
        </w:tc>
        <w:tc>
          <w:tcPr>
            <w:tcW w:w="317" w:type="pct"/>
            <w:noWrap w:val="0"/>
            <w:vAlign w:val="center"/>
          </w:tcPr>
          <w:p w14:paraId="65D8F937">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none"/>
              </w:rPr>
            </w:pPr>
          </w:p>
        </w:tc>
      </w:tr>
      <w:tr w14:paraId="6F80E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407" w:type="pct"/>
            <w:noWrap w:val="0"/>
            <w:vAlign w:val="center"/>
          </w:tcPr>
          <w:p w14:paraId="643750F0">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snapToGrid w:val="0"/>
                <w:color w:val="auto"/>
                <w:sz w:val="21"/>
                <w:szCs w:val="21"/>
                <w:highlight w:val="none"/>
                <w:lang w:bidi="ar"/>
              </w:rPr>
              <w:t>三</w:t>
            </w:r>
          </w:p>
        </w:tc>
        <w:tc>
          <w:tcPr>
            <w:tcW w:w="3556" w:type="pct"/>
            <w:gridSpan w:val="2"/>
            <w:noWrap w:val="0"/>
            <w:vAlign w:val="center"/>
          </w:tcPr>
          <w:p w14:paraId="4AFABA83">
            <w:pPr>
              <w:pageBreakBefore w:val="0"/>
              <w:widowControl/>
              <w:shd w:val="clea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b/>
                <w:bCs/>
                <w:color w:val="auto"/>
                <w:sz w:val="21"/>
                <w:szCs w:val="21"/>
                <w:highlight w:val="none"/>
              </w:rPr>
            </w:pPr>
            <w:r>
              <w:rPr>
                <w:rFonts w:hint="eastAsia" w:ascii="宋体" w:hAnsi="宋体" w:eastAsia="宋体" w:cs="宋体"/>
                <w:b/>
                <w:bCs/>
                <w:snapToGrid w:val="0"/>
                <w:color w:val="auto"/>
                <w:sz w:val="21"/>
                <w:szCs w:val="21"/>
                <w:highlight w:val="none"/>
                <w:lang w:bidi="ar"/>
              </w:rPr>
              <w:t>系统集成实施费</w:t>
            </w:r>
          </w:p>
        </w:tc>
        <w:tc>
          <w:tcPr>
            <w:tcW w:w="348" w:type="pct"/>
            <w:noWrap w:val="0"/>
            <w:vAlign w:val="center"/>
          </w:tcPr>
          <w:p w14:paraId="0B4E6D86">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snapToGrid w:val="0"/>
                <w:color w:val="auto"/>
                <w:sz w:val="21"/>
                <w:szCs w:val="21"/>
                <w:highlight w:val="none"/>
                <w:lang w:bidi="ar"/>
              </w:rPr>
              <w:t>项</w:t>
            </w:r>
          </w:p>
        </w:tc>
        <w:tc>
          <w:tcPr>
            <w:tcW w:w="369" w:type="pct"/>
            <w:noWrap w:val="0"/>
            <w:vAlign w:val="center"/>
          </w:tcPr>
          <w:p w14:paraId="5E9A0A6B">
            <w:pPr>
              <w:pageBreakBefore w:val="0"/>
              <w:widowControl/>
              <w:shd w:val="clear"/>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snapToGrid w:val="0"/>
                <w:color w:val="auto"/>
                <w:sz w:val="21"/>
                <w:szCs w:val="21"/>
                <w:highlight w:val="none"/>
                <w:lang w:bidi="ar"/>
              </w:rPr>
              <w:t>1</w:t>
            </w:r>
          </w:p>
        </w:tc>
        <w:tc>
          <w:tcPr>
            <w:tcW w:w="317" w:type="pct"/>
            <w:noWrap w:val="0"/>
            <w:vAlign w:val="center"/>
          </w:tcPr>
          <w:p w14:paraId="75B85AC7">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1"/>
                <w:szCs w:val="21"/>
                <w:highlight w:val="none"/>
              </w:rPr>
            </w:pPr>
          </w:p>
        </w:tc>
      </w:tr>
    </w:tbl>
    <w:p w14:paraId="7C697AB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p>
    <w:p w14:paraId="05C097A0">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投标人</w:t>
      </w:r>
      <w:r>
        <w:rPr>
          <w:rFonts w:hint="eastAsia" w:ascii="宋体" w:hAnsi="宋体" w:eastAsia="宋体" w:cs="宋体"/>
          <w:b/>
          <w:bCs/>
          <w:color w:val="auto"/>
          <w:sz w:val="24"/>
          <w:highlight w:val="none"/>
        </w:rPr>
        <w:t>报价明细应按</w:t>
      </w:r>
      <w:r>
        <w:rPr>
          <w:rFonts w:hint="eastAsia" w:ascii="宋体" w:hAnsi="宋体" w:eastAsia="宋体" w:cs="宋体"/>
          <w:b/>
          <w:bCs/>
          <w:color w:val="auto"/>
          <w:sz w:val="24"/>
          <w:highlight w:val="none"/>
          <w:lang w:val="en-US" w:eastAsia="zh-CN"/>
        </w:rPr>
        <w:t>本采购清单</w:t>
      </w:r>
      <w:r>
        <w:rPr>
          <w:rFonts w:hint="eastAsia" w:ascii="宋体" w:hAnsi="宋体" w:eastAsia="宋体" w:cs="宋体"/>
          <w:b/>
          <w:bCs/>
          <w:color w:val="auto"/>
          <w:sz w:val="24"/>
          <w:highlight w:val="none"/>
        </w:rPr>
        <w:t>逐项详细填写</w:t>
      </w:r>
      <w:r>
        <w:rPr>
          <w:rFonts w:hint="eastAsia" w:ascii="宋体" w:hAnsi="宋体" w:eastAsia="宋体" w:cs="宋体"/>
          <w:b/>
          <w:bCs/>
          <w:color w:val="auto"/>
          <w:sz w:val="24"/>
          <w:highlight w:val="none"/>
          <w:lang w:eastAsia="zh-CN"/>
        </w:rPr>
        <w:t>。</w:t>
      </w:r>
    </w:p>
    <w:p w14:paraId="0604527D">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w:t>
      </w:r>
      <w:r>
        <w:rPr>
          <w:rFonts w:hint="eastAsia" w:ascii="宋体" w:hAnsi="宋体" w:eastAsia="宋体" w:cs="宋体"/>
          <w:color w:val="auto"/>
          <w:sz w:val="24"/>
          <w:highlight w:val="none"/>
        </w:rPr>
        <w:t>所投标的主要硬件设备和成品软件需提供产品检测报告或</w:t>
      </w:r>
      <w:r>
        <w:rPr>
          <w:rFonts w:hint="eastAsia" w:ascii="宋体" w:hAnsi="宋体" w:eastAsia="宋体" w:cs="宋体"/>
          <w:color w:val="auto"/>
          <w:sz w:val="24"/>
          <w:highlight w:val="none"/>
          <w:lang w:val="en-US" w:eastAsia="zh-CN"/>
        </w:rPr>
        <w:t>生产</w:t>
      </w:r>
      <w:r>
        <w:rPr>
          <w:rFonts w:hint="eastAsia" w:ascii="宋体" w:hAnsi="宋体" w:eastAsia="宋体" w:cs="宋体"/>
          <w:color w:val="auto"/>
          <w:sz w:val="24"/>
          <w:highlight w:val="none"/>
        </w:rPr>
        <w:t>厂商功能参数彩页等佐证材料并加盖投标人公章</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同时</w:t>
      </w:r>
      <w:r>
        <w:rPr>
          <w:rFonts w:hint="eastAsia" w:ascii="宋体" w:hAnsi="宋体" w:eastAsia="宋体" w:cs="宋体"/>
          <w:color w:val="auto"/>
          <w:sz w:val="24"/>
          <w:highlight w:val="none"/>
        </w:rPr>
        <w:t>提供生产厂商对上述材料真实性的承诺函并加盖投标人公章。</w:t>
      </w:r>
    </w:p>
    <w:p w14:paraId="564EF1E5">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前端点位清单</w:t>
      </w:r>
    </w:p>
    <w:p w14:paraId="3689EB16">
      <w:pPr>
        <w:pageBreakBefore w:val="0"/>
        <w:widowControl/>
        <w:shd w:val="clear"/>
        <w:kinsoku/>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auto"/>
          <w:highlight w:val="none"/>
        </w:rPr>
      </w:pPr>
      <w:r>
        <w:rPr>
          <w:rFonts w:hint="eastAsia" w:ascii="宋体" w:hAnsi="宋体" w:eastAsia="宋体" w:cs="宋体"/>
          <w:bCs/>
          <w:color w:val="auto"/>
          <w:sz w:val="24"/>
          <w:highlight w:val="none"/>
          <w:lang w:val="en-US" w:eastAsia="zh-CN" w:bidi="ar"/>
        </w:rPr>
        <w:t>1.</w:t>
      </w:r>
      <w:r>
        <w:rPr>
          <w:rFonts w:hint="eastAsia" w:ascii="宋体" w:hAnsi="宋体" w:eastAsia="宋体" w:cs="宋体"/>
          <w:bCs/>
          <w:color w:val="auto"/>
          <w:sz w:val="24"/>
          <w:highlight w:val="none"/>
          <w:lang w:bidi="ar"/>
        </w:rPr>
        <w:t>届时由采购人提供</w:t>
      </w:r>
    </w:p>
    <w:p w14:paraId="7C8928E1">
      <w:pPr>
        <w:pStyle w:val="2"/>
        <w:pageBreakBefore w:val="0"/>
        <w:widowControl/>
        <w:numPr>
          <w:ilvl w:val="1"/>
          <w:numId w:val="5"/>
        </w:numPr>
        <w:shd w:val="clear"/>
        <w:kinsoku/>
        <w:wordWrap/>
        <w:overflowPunct/>
        <w:topLinePunct w:val="0"/>
        <w:autoSpaceDE w:val="0"/>
        <w:autoSpaceDN w:val="0"/>
        <w:bidi w:val="0"/>
        <w:adjustRightInd w:val="0"/>
        <w:snapToGrid w:val="0"/>
        <w:spacing w:before="240" w:beforeLines="100" w:after="240" w:afterLines="100" w:line="240" w:lineRule="auto"/>
        <w:jc w:val="left"/>
        <w:textAlignment w:val="baseline"/>
        <w:rPr>
          <w:rFonts w:hint="eastAsia" w:ascii="宋体" w:hAnsi="宋体" w:eastAsia="宋体" w:cs="宋体"/>
          <w:color w:val="auto"/>
          <w:spacing w:val="-4"/>
          <w:sz w:val="28"/>
          <w:szCs w:val="20"/>
          <w:highlight w:val="none"/>
        </w:rPr>
      </w:pPr>
      <w:bookmarkStart w:id="366" w:name="_Ref29518"/>
      <w:r>
        <w:rPr>
          <w:rFonts w:hint="eastAsia" w:ascii="宋体" w:hAnsi="宋体" w:eastAsia="宋体" w:cs="宋体"/>
          <w:color w:val="auto"/>
          <w:spacing w:val="-4"/>
          <w:sz w:val="28"/>
          <w:szCs w:val="20"/>
          <w:highlight w:val="none"/>
        </w:rPr>
        <w:t xml:space="preserve"> 商务要求</w:t>
      </w:r>
      <w:bookmarkEnd w:id="366"/>
    </w:p>
    <w:p w14:paraId="102E0034">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240" w:afterLines="100" w:line="240" w:lineRule="auto"/>
        <w:textAlignment w:val="baseline"/>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rPr>
        <w:t>培训要求</w:t>
      </w:r>
    </w:p>
    <w:p w14:paraId="7DA72BF1">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培训目的</w:t>
      </w:r>
    </w:p>
    <w:p w14:paraId="313CD9C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b/>
          <w:bCs/>
          <w:color w:val="auto"/>
          <w:sz w:val="24"/>
          <w:szCs w:val="24"/>
          <w:highlight w:val="none"/>
          <w:shd w:val="clear" w:fill="FFFF00"/>
          <w:lang w:val="en-US" w:eastAsia="zh-CN"/>
        </w:rPr>
        <w:t>1</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在项目建设过程中对相关人员进行技术培训，在以后系统运行过程中亦根据具体情况进行相应内容的培训，以保证系统的管理人员、技术人员和业务人员能够及时、准确地了解和熟练地使用系统。</w:t>
      </w:r>
    </w:p>
    <w:p w14:paraId="05AAC4E0">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培训对</w:t>
      </w:r>
      <w:r>
        <w:rPr>
          <w:rFonts w:hint="eastAsia" w:ascii="宋体" w:hAnsi="宋体" w:eastAsia="宋体" w:cs="宋体"/>
          <w:b/>
          <w:bCs/>
          <w:color w:val="auto"/>
          <w:spacing w:val="-4"/>
          <w:sz w:val="24"/>
          <w:szCs w:val="24"/>
          <w:highlight w:val="none"/>
        </w:rPr>
        <w:t>象和培训内容</w:t>
      </w:r>
    </w:p>
    <w:p w14:paraId="4A72A5A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b/>
          <w:bCs/>
          <w:color w:val="auto"/>
          <w:sz w:val="24"/>
          <w:szCs w:val="24"/>
          <w:highlight w:val="none"/>
          <w:shd w:val="clear" w:fill="FFFF00"/>
          <w:lang w:val="en-US" w:eastAsia="zh-CN"/>
        </w:rPr>
        <w:t>1.</w:t>
      </w:r>
      <w:r>
        <w:rPr>
          <w:rFonts w:hint="eastAsia" w:ascii="宋体" w:hAnsi="宋体" w:eastAsia="宋体" w:cs="宋体"/>
          <w:color w:val="auto"/>
          <w:sz w:val="24"/>
          <w:highlight w:val="none"/>
        </w:rPr>
        <w:t>培训主要内容有：系统应用、软硬件的运行与维护、网络和安全管理等。</w:t>
      </w:r>
    </w:p>
    <w:p w14:paraId="158AAB7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系统管理员培训：掌握系统日常维护各种技术，熟练掌握对网络管理和维护、硬件管理 和维护、应用系统的管理和维护以及安全管理等。</w:t>
      </w:r>
    </w:p>
    <w:p w14:paraId="1870406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技术人员培训：通过各种的培训方式，使项目系统技术人员掌握视频系统、网络系统等 技术，具备一定的维护能力，在系统实施过程中能够参与项目管理和系统搭建，在系统维护过 程中能够自行维护。</w:t>
      </w:r>
    </w:p>
    <w:p w14:paraId="7842F0E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系统操作员培训：能够熟练使用系统各类前台操作模块、快速调用相关业务处理模块并规范输入各种信息。</w:t>
      </w:r>
    </w:p>
    <w:p w14:paraId="16FF1D6A">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培训方式</w:t>
      </w:r>
    </w:p>
    <w:p w14:paraId="56D0A93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color w:val="auto"/>
          <w:sz w:val="24"/>
          <w:highlight w:val="none"/>
        </w:rPr>
        <w:t>现场培训：主要对管理人员在本局实行培训；或对有特殊需要的警种实行送教上门；或对有保障任务的人员实行送教上门。</w:t>
      </w:r>
    </w:p>
    <w:p w14:paraId="610A05E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集中培训：采用分批次集中授课的方式进行现场集中培训，每次培训时间不少于1天，每次培训人数由采购人确定。</w:t>
      </w:r>
    </w:p>
    <w:p w14:paraId="580F22F2">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培训费用</w:t>
      </w:r>
    </w:p>
    <w:p w14:paraId="40D0CB34">
      <w:pPr>
        <w:pageBreakBefore w:val="0"/>
        <w:widowControl/>
        <w:shd w:val="clear"/>
        <w:kinsoku/>
        <w:wordWrap/>
        <w:overflowPunct/>
        <w:topLinePunct w:val="0"/>
        <w:autoSpaceDE w:val="0"/>
        <w:autoSpaceDN w:val="0"/>
        <w:bidi w:val="0"/>
        <w:adjustRightInd w:val="0"/>
        <w:snapToGrid w:val="0"/>
        <w:spacing w:line="240" w:lineRule="auto"/>
        <w:ind w:firstLine="480"/>
        <w:rPr>
          <w:rFonts w:hint="eastAsia" w:ascii="宋体" w:hAnsi="宋体" w:eastAsia="宋体" w:cs="宋体"/>
          <w:color w:val="auto"/>
          <w:sz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color w:val="auto"/>
          <w:sz w:val="24"/>
          <w:highlight w:val="none"/>
        </w:rPr>
        <w:t>培训过程所产生的费用由中标方承担。</w:t>
      </w:r>
    </w:p>
    <w:p w14:paraId="65BCDF36">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240" w:afterLines="100" w:line="240" w:lineRule="auto"/>
        <w:textAlignment w:val="baseline"/>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rPr>
        <w:t>安全生产要求</w:t>
      </w:r>
    </w:p>
    <w:p w14:paraId="1140124E">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建设期与运维期安全生产要求</w:t>
      </w:r>
    </w:p>
    <w:p w14:paraId="7D9F624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color w:val="auto"/>
          <w:sz w:val="24"/>
          <w:highlight w:val="none"/>
        </w:rPr>
        <w:t>中标人必须认真贯彻执行国家制定的安全生产政策、法律、法规，建设期应确保工程施工安全，违反相关安全规定造成的一切后果均由中标人承担。安全生产要求包括但不限于：</w:t>
      </w:r>
    </w:p>
    <w:p w14:paraId="0E4A669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、中标人施工、开工、运行时是安全生产的直接责任人，必须严格执行有关安全生产的规定、制度，按规定在现场设置警示标识和障碍物；施工现场，须有专职安全员和安全管理人员全程监督和检查。</w:t>
      </w:r>
    </w:p>
    <w:p w14:paraId="2CF5CAC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中标人负责为所有安装、开工、运行施工人员办理医疗及工伤社会保险，并根据需要为从事危险工作的人员购买适当的人身意外伤害保险，在施工过程中如发生人身伤亡事故或财产损失，由中标人全权承担责任；</w:t>
      </w:r>
    </w:p>
    <w:p w14:paraId="6ED9CC6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、中标人应对现场安装、开工、运行施工的行为完全负责，安装施工人员不得违章作业，冒险作业，不能疲劳作业，并按规定做好保护工作；</w:t>
      </w:r>
    </w:p>
    <w:p w14:paraId="7425D67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、中标人在施工现场人员必须有配备齐全的安全防护用品，不能满足安全施工需要时，人员不得进入施工现场；</w:t>
      </w:r>
    </w:p>
    <w:p w14:paraId="215081A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、中标人对从事特种作业人员严禁无证上岗或不具备资质的行为；</w:t>
      </w:r>
    </w:p>
    <w:p w14:paraId="55111D7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、班组作业必须戴安全帽；</w:t>
      </w:r>
    </w:p>
    <w:p w14:paraId="53A7F1C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、班前不得喝酒，在禁止吸烟的区域不得吸烟；</w:t>
      </w:r>
    </w:p>
    <w:p w14:paraId="319AA2F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、现场内不得赤脚，不得穿拖鞋、高跟鞋，高空作业需佩戴安全防护设施，不得穿皮鞋和带钉易滑鞋；</w:t>
      </w:r>
    </w:p>
    <w:p w14:paraId="4DEB812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、未经相关单位负责人批准，不得随便拆除已架设的安全防护设施及安全装置和安全标牌；</w:t>
      </w:r>
    </w:p>
    <w:p w14:paraId="71C0397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施工用电要按照施工安全规范要求设置配电箱等安全设备，并有专业电工负责施工用电，确保用电安全，避免触电伤人事故。不得私自乱接乱拉电线，保护工地上临时用电电缆及配电箱的完好，禁止用材料、工具等压砸电缆电线，确保用电安全；</w:t>
      </w:r>
    </w:p>
    <w:p w14:paraId="5E334C4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、未经业主方许可不得在施工现场动火；</w:t>
      </w:r>
    </w:p>
    <w:p w14:paraId="6E8A4EFB">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、不得从高处向下抛扔任何物资、材料，堆放时不得超过支撑限重的70%；</w:t>
      </w:r>
    </w:p>
    <w:p w14:paraId="3D650F33">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13</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、不得在高处临边一米范围内堆放活动材料；</w:t>
      </w:r>
    </w:p>
    <w:p w14:paraId="2010E48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14</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、不得在操作面上及高处临边竖立放置工具和线材；</w:t>
      </w:r>
    </w:p>
    <w:p w14:paraId="21DE650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15</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、生产施工过程中必须严格遵守安全操作规程；</w:t>
      </w:r>
    </w:p>
    <w:p w14:paraId="10D6E65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16</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、合格的基坑在开挖当天完成浇筑，所有开挖坑洞必须设立护栏（或围挡）、警示标识；</w:t>
      </w:r>
    </w:p>
    <w:p w14:paraId="73F4480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、不得从雨水井、污水井中敷设电缆；</w:t>
      </w:r>
    </w:p>
    <w:p w14:paraId="5A75555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18</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、夜间作业要求穿反光衣，必须采取必要的照明措施；</w:t>
      </w:r>
    </w:p>
    <w:p w14:paraId="2CCFEBF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、所有特殊作业人员必须持有效证件上岗；</w:t>
      </w:r>
    </w:p>
    <w:p w14:paraId="6DBF0FC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20</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、施工现场设立防撞锥、警示牌，施工材料和机具按章堆放，不影响交通；</w:t>
      </w:r>
    </w:p>
    <w:p w14:paraId="4F9F4EE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21</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、施工人员必须当天对垃圾、渣土进行清理，开挖产生的垃圾、渣土，必须当天清理和外运，运输渣土时按照市级与各区城管、市政要求，采用环保封闭渣土车进行运输。开挖结束后必须用围挡防护；</w:t>
      </w:r>
    </w:p>
    <w:p w14:paraId="59BC0F0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、中标人应编制可操作性和针对性强的安全文明施工组织设计及安全类专项安全施工方案，在实际施工过程中应严格按照审批后的安全方案组织施工；</w:t>
      </w:r>
    </w:p>
    <w:p w14:paraId="45EB721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23</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、施工作业期间，中标人应为本项目配置专职安全员，专职安全员必须每日驻守现场，保持通讯畅通，认真进行现场安全隐患排查。专职安全员因特殊情况需离岗的，必须报经监理单位或业主方批准；</w:t>
      </w:r>
    </w:p>
    <w:p w14:paraId="75F86EC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24</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、现场指挥和作业人员必须遵照安全技术规范和操作规程文明施工，不得有违章指挥、违章操作和不服从管理等不文明行为。</w:t>
      </w:r>
    </w:p>
    <w:p w14:paraId="6B5DABB7">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违反处罚</w:t>
      </w:r>
    </w:p>
    <w:p w14:paraId="21B0A644">
      <w:pPr>
        <w:pageBreakBefore w:val="0"/>
        <w:widowControl/>
        <w:shd w:val="clear"/>
        <w:kinsoku/>
        <w:wordWrap/>
        <w:overflowPunct/>
        <w:topLinePunct w:val="0"/>
        <w:autoSpaceDE w:val="0"/>
        <w:autoSpaceDN w:val="0"/>
        <w:bidi w:val="0"/>
        <w:adjustRightInd w:val="0"/>
        <w:snapToGrid w:val="0"/>
        <w:spacing w:line="240" w:lineRule="auto"/>
        <w:ind w:firstLine="480"/>
        <w:rPr>
          <w:rFonts w:hint="eastAsia" w:ascii="宋体" w:hAnsi="宋体" w:eastAsia="宋体" w:cs="宋体"/>
          <w:color w:val="auto"/>
          <w:sz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color w:val="auto"/>
          <w:sz w:val="24"/>
          <w:highlight w:val="none"/>
        </w:rPr>
        <w:t>详见合同章节。</w:t>
      </w:r>
    </w:p>
    <w:p w14:paraId="33784028">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240" w:afterLines="100" w:line="240" w:lineRule="auto"/>
        <w:textAlignment w:val="baseline"/>
        <w:rPr>
          <w:rFonts w:hint="eastAsia" w:ascii="宋体" w:hAnsi="宋体" w:eastAsia="宋体" w:cs="宋体"/>
          <w:color w:val="auto"/>
          <w:spacing w:val="-4"/>
          <w:sz w:val="28"/>
          <w:szCs w:val="28"/>
          <w:highlight w:val="none"/>
        </w:rPr>
      </w:pPr>
      <w:bookmarkStart w:id="367" w:name="_Ref30119"/>
      <w:r>
        <w:rPr>
          <w:rFonts w:hint="eastAsia" w:ascii="宋体" w:hAnsi="宋体" w:eastAsia="宋体" w:cs="宋体"/>
          <w:color w:val="auto"/>
          <w:spacing w:val="-4"/>
          <w:sz w:val="28"/>
          <w:szCs w:val="28"/>
          <w:highlight w:val="none"/>
        </w:rPr>
        <w:t>★设备到货要求</w:t>
      </w:r>
      <w:bookmarkEnd w:id="367"/>
    </w:p>
    <w:p w14:paraId="6E6292B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设备到货要求：合同签订后60天内。</w:t>
      </w:r>
    </w:p>
    <w:p w14:paraId="733550EF">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240" w:afterLines="100" w:line="240" w:lineRule="auto"/>
        <w:textAlignment w:val="baseline"/>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rPr>
        <w:t>售后运维要求</w:t>
      </w:r>
    </w:p>
    <w:p w14:paraId="08BEDA6B">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color w:val="auto"/>
          <w:spacing w:val="-4"/>
          <w:sz w:val="28"/>
          <w:szCs w:val="28"/>
          <w:highlight w:val="none"/>
        </w:rPr>
      </w:pPr>
      <w:bookmarkStart w:id="368" w:name="_Toc170370058"/>
      <w:bookmarkStart w:id="369" w:name="_Toc85443575"/>
      <w:r>
        <w:rPr>
          <w:rFonts w:hint="eastAsia" w:ascii="宋体" w:hAnsi="宋体" w:eastAsia="宋体" w:cs="宋体"/>
          <w:b/>
          <w:bCs/>
          <w:color w:val="auto"/>
          <w:spacing w:val="-4"/>
          <w:sz w:val="28"/>
          <w:szCs w:val="28"/>
          <w:highlight w:val="none"/>
        </w:rPr>
        <w:t xml:space="preserve"> 运维管理规范</w:t>
      </w:r>
      <w:bookmarkEnd w:id="368"/>
      <w:bookmarkEnd w:id="369"/>
    </w:p>
    <w:p w14:paraId="2378B10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color w:val="auto"/>
          <w:sz w:val="24"/>
          <w:highlight w:val="none"/>
        </w:rPr>
        <w:t>投标人应建立统一的系统运维管理制度与标准规范，具备完备的运维规章制度和管理办法，保障运维工作开展的一致性，增强系统运维管理的统一性，并利用各类运行维护管理工具，实现运行系统管理维护的自动化和规范化。</w:t>
      </w:r>
    </w:p>
    <w:p w14:paraId="5BE93D6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运维团队需对故障进行分析处理及建立完善预警机制，按月、季、年提交运维服务工作总结和计划，整理和提交运维过程资料和相关配套维护文档，协调设备提供商提供运维服务。按年度分析运维过程中出现的技术问题和服务质量问题，并给出整改方案。</w:t>
      </w:r>
    </w:p>
    <w:p w14:paraId="64C4586E">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color w:val="auto"/>
          <w:spacing w:val="-4"/>
          <w:sz w:val="28"/>
          <w:szCs w:val="24"/>
          <w:highlight w:val="none"/>
        </w:rPr>
      </w:pPr>
      <w:bookmarkStart w:id="370" w:name="_Toc170370059"/>
      <w:bookmarkStart w:id="371" w:name="_Toc85443576"/>
      <w:r>
        <w:rPr>
          <w:rFonts w:hint="eastAsia" w:ascii="宋体" w:hAnsi="宋体" w:eastAsia="宋体" w:cs="宋体"/>
          <w:b/>
          <w:bCs/>
          <w:color w:val="auto"/>
          <w:spacing w:val="-4"/>
          <w:sz w:val="28"/>
          <w:szCs w:val="24"/>
          <w:highlight w:val="none"/>
        </w:rPr>
        <w:t xml:space="preserve"> 运维服务内容</w:t>
      </w:r>
      <w:bookmarkEnd w:id="370"/>
      <w:bookmarkEnd w:id="371"/>
    </w:p>
    <w:p w14:paraId="5BD3B670">
      <w:pPr>
        <w:pageBreakBefore w:val="0"/>
        <w:widowControl/>
        <w:shd w:val="clear"/>
        <w:kinsoku/>
        <w:wordWrap/>
        <w:overflowPunct/>
        <w:topLinePunct w:val="0"/>
        <w:autoSpaceDE w:val="0"/>
        <w:autoSpaceDN w:val="0"/>
        <w:bidi w:val="0"/>
        <w:adjustRightInd w:val="0"/>
        <w:snapToGrid w:val="0"/>
        <w:spacing w:line="240" w:lineRule="auto"/>
        <w:ind w:firstLine="480"/>
        <w:rPr>
          <w:rFonts w:hint="eastAsia" w:ascii="宋体" w:hAnsi="宋体" w:eastAsia="宋体" w:cs="宋体"/>
          <w:color w:val="auto"/>
          <w:sz w:val="24"/>
          <w:highlight w:val="none"/>
        </w:rPr>
      </w:pPr>
      <w:r>
        <w:rPr>
          <w:rFonts w:hint="eastAsia" w:ascii="宋体" w:hAnsi="宋体" w:eastAsia="宋体" w:cs="宋体"/>
          <w:b/>
          <w:bCs/>
          <w:color w:val="auto"/>
          <w:sz w:val="24"/>
          <w:szCs w:val="24"/>
          <w:highlight w:val="none"/>
          <w:lang w:val="en-US" w:eastAsia="zh-CN"/>
        </w:rPr>
        <w:t>1.投</w:t>
      </w:r>
      <w:r>
        <w:rPr>
          <w:rFonts w:hint="eastAsia" w:ascii="宋体" w:hAnsi="宋体" w:eastAsia="宋体" w:cs="宋体"/>
          <w:color w:val="auto"/>
          <w:sz w:val="24"/>
          <w:highlight w:val="none"/>
        </w:rPr>
        <w:t>标人提供包括定期跟踪巡检、维护、维修、故障排除、前端摄像机除尘、系统优化、软件升级、应急服务、数据容灾在内的多项服务。投标人应制定日常故障处理方案、定期巡检维护方案及应急保障服务方案。</w:t>
      </w:r>
    </w:p>
    <w:p w14:paraId="08A9AE5E">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snapToGrid w:val="0"/>
          <w:color w:val="auto"/>
          <w:kern w:val="0"/>
          <w:sz w:val="24"/>
          <w:szCs w:val="24"/>
          <w:highlight w:val="none"/>
          <w:lang w:val="en-US" w:eastAsia="zh-CN"/>
        </w:rPr>
      </w:pPr>
      <w:r>
        <w:rPr>
          <w:rFonts w:hint="eastAsia" w:ascii="宋体" w:hAnsi="宋体" w:eastAsia="宋体" w:cs="宋体"/>
          <w:b/>
          <w:bCs/>
          <w:snapToGrid w:val="0"/>
          <w:color w:val="auto"/>
          <w:kern w:val="0"/>
          <w:sz w:val="24"/>
          <w:szCs w:val="24"/>
          <w:highlight w:val="none"/>
          <w:lang w:val="en-US" w:eastAsia="zh-CN"/>
        </w:rPr>
        <w:t>前端设备运维内容</w:t>
      </w:r>
    </w:p>
    <w:p w14:paraId="10800C5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b/>
          <w:bCs/>
          <w:snapToGrid w:val="0"/>
          <w:color w:val="auto"/>
          <w:kern w:val="0"/>
          <w:sz w:val="24"/>
          <w:szCs w:val="24"/>
          <w:highlight w:val="none"/>
          <w:lang w:val="en-US" w:eastAsia="zh-CN"/>
        </w:rPr>
        <w:t>1.</w:t>
      </w:r>
      <w:r>
        <w:rPr>
          <w:rFonts w:hint="eastAsia" w:ascii="宋体" w:hAnsi="宋体" w:eastAsia="宋体" w:cs="宋体"/>
          <w:color w:val="auto"/>
          <w:sz w:val="24"/>
          <w:highlight w:val="none"/>
        </w:rPr>
        <w:t>工作范围</w:t>
      </w:r>
    </w:p>
    <w:p w14:paraId="7400C3D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辖区范围前端设备的运行检查、运维保养、设备调试、设备维修、无法修复设备更换、前端抓拍设备数据下载，以及设备现场安全设施、标线与路标路口的规范性检查。</w:t>
      </w:r>
    </w:p>
    <w:p w14:paraId="67801B0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b/>
          <w:bCs/>
          <w:color w:val="auto"/>
          <w:sz w:val="24"/>
          <w:szCs w:val="24"/>
          <w:highlight w:val="none"/>
          <w:lang w:val="en-US" w:eastAsia="zh-CN"/>
        </w:rPr>
        <w:t>2.常</w:t>
      </w:r>
      <w:r>
        <w:rPr>
          <w:rFonts w:hint="eastAsia" w:ascii="宋体" w:hAnsi="宋体" w:eastAsia="宋体" w:cs="宋体"/>
          <w:color w:val="auto"/>
          <w:sz w:val="24"/>
          <w:highlight w:val="none"/>
        </w:rPr>
        <w:t>规工作内容</w:t>
      </w:r>
    </w:p>
    <w:p w14:paraId="510B618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（1）开展外场巡视工作，包括：各点位的设备运行情况检查，警示标线与标牌的规范性情况检查，发现问题及时修复。</w:t>
      </w:r>
    </w:p>
    <w:p w14:paraId="28F2040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（2）外场设备的日常运维与保养，包括但不限于主机设备、监控设备、闪光灯、设备杆等设备的清洁、补漆、检修、调试、运维等内容。</w:t>
      </w:r>
    </w:p>
    <w:p w14:paraId="3CF42D4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（3）树枝遮挡，影响设备抓拍时，协调相关部门，进行树枝修剪工作；</w:t>
      </w:r>
    </w:p>
    <w:p w14:paraId="7F47243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（4）负责对外场设备故障的分析处理，并及时解决故障；</w:t>
      </w:r>
    </w:p>
    <w:p w14:paraId="18CF821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（5）负责故障设备的检修，并配足易损耗设备；</w:t>
      </w:r>
    </w:p>
    <w:p w14:paraId="690F047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（6）运维期间，若涉及到高空作业车和交通运维车辆调度，由投标人自行解决，费用由投标人负责。</w:t>
      </w:r>
    </w:p>
    <w:p w14:paraId="0A3C25E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特殊情况处理</w:t>
      </w:r>
    </w:p>
    <w:p w14:paraId="33747EC0">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外场设备出现以下情况不能正常运行的，由投标人先行恢复，相关产权部门验收合格后追偿权转移至投标人，进行追偿施工费用。</w:t>
      </w:r>
    </w:p>
    <w:p w14:paraId="549CE0C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（1）外场设备因交通事故损坏且能够确定事故肇事方的。</w:t>
      </w:r>
    </w:p>
    <w:p w14:paraId="6C9B3A3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（2）外场设备被盗且已破案的。</w:t>
      </w:r>
    </w:p>
    <w:p w14:paraId="14B4844C">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（3）由于道路施工或政府其它决策等原因导致的前端点位拆改的，配合采购人完成点位迁改工程（质保期内，该项所产生的费用由投标人出资）。</w:t>
      </w:r>
    </w:p>
    <w:p w14:paraId="2925156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（4）其它特殊原因导致施工的参照执行。</w:t>
      </w:r>
    </w:p>
    <w:p w14:paraId="1009FC60">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color w:val="auto"/>
          <w:spacing w:val="-4"/>
          <w:highlight w:val="none"/>
        </w:rPr>
      </w:pPr>
      <w:r>
        <w:rPr>
          <w:rFonts w:hint="eastAsia" w:ascii="宋体" w:hAnsi="宋体" w:eastAsia="宋体" w:cs="宋体"/>
          <w:b/>
          <w:bCs/>
          <w:color w:val="auto"/>
          <w:spacing w:val="-4"/>
          <w:highlight w:val="none"/>
        </w:rPr>
        <w:t>前端设备巡</w:t>
      </w:r>
      <w:r>
        <w:rPr>
          <w:rFonts w:hint="eastAsia" w:ascii="宋体" w:hAnsi="宋体" w:eastAsia="宋体" w:cs="宋体"/>
          <w:b/>
          <w:bCs/>
          <w:color w:val="auto"/>
          <w:spacing w:val="-4"/>
          <w:sz w:val="28"/>
          <w:szCs w:val="24"/>
          <w:highlight w:val="none"/>
        </w:rPr>
        <w:t>检要求</w:t>
      </w:r>
    </w:p>
    <w:p w14:paraId="6A9E5BD2">
      <w:pPr>
        <w:pageBreakBefore w:val="0"/>
        <w:widowControl/>
        <w:shd w:val="clear"/>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巡检分为平台巡检和现场巡检两种方式。</w:t>
      </w:r>
    </w:p>
    <w:p w14:paraId="7E3CA630">
      <w:pPr>
        <w:pageBreakBefore w:val="0"/>
        <w:widowControl/>
        <w:shd w:val="clear"/>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平台巡检：运维人员通过现有监控平台的前端设备掉线提示、网络设备、服务器、存储等相关设备的指示灯、面板和相关工具判断设备是否工作正常；前端设备常规为每日巡检1次，运维人员通过对监控画面、系统显示等判断前端设备是否工作正常，并及时对发现的问题进行定位记录和维护处理。</w:t>
      </w:r>
    </w:p>
    <w:p w14:paraId="77E62A4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现场巡检：每月按时进行现场巡检并提交巡检报告，在强风、高温、高湿、沙尘等恶劣气象环境和抖动、移动等工作环境下应增加巡检频次，巡检周期不大于15天。现场巡检应检查运维设备外观、杆件、防护、电源、电缆、避雷设备、接地、通信设备，校准设备时钟等，现场检查运维情况应录入设备运维台账。对于需更换部件的，负责设备诊断、维修和安装调试。</w:t>
      </w:r>
    </w:p>
    <w:p w14:paraId="5E887C6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对巡检发现的安全隐患、运行故障等应及时向采购人汇报并做好整改。</w:t>
      </w:r>
    </w:p>
    <w:p w14:paraId="19616D56">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后端平台软硬件运维内容及频率</w:t>
      </w:r>
    </w:p>
    <w:p w14:paraId="3373571E">
      <w:pPr>
        <w:pStyle w:val="4"/>
        <w:pageBreakBefore w:val="0"/>
        <w:widowControl/>
        <w:numPr>
          <w:ilvl w:val="3"/>
          <w:numId w:val="0"/>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ind w:leftChars="0"/>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Cs w:val="0"/>
          <w:snapToGrid w:val="0"/>
          <w:color w:val="auto"/>
          <w:kern w:val="0"/>
          <w:sz w:val="24"/>
          <w:szCs w:val="21"/>
          <w:highlight w:val="none"/>
          <w:lang w:val="en-US" w:eastAsia="zh-CN"/>
        </w:rPr>
        <w:t>1.</w:t>
      </w:r>
      <w:r>
        <w:rPr>
          <w:rFonts w:hint="eastAsia" w:ascii="宋体" w:hAnsi="宋体" w:eastAsia="宋体" w:cs="宋体"/>
          <w:b/>
          <w:bCs/>
          <w:color w:val="auto"/>
          <w:spacing w:val="-4"/>
          <w:sz w:val="28"/>
          <w:szCs w:val="24"/>
          <w:highlight w:val="none"/>
        </w:rPr>
        <w:t>后端平台软硬件运维内容及频率</w:t>
      </w:r>
    </w:p>
    <w:tbl>
      <w:tblPr>
        <w:tblStyle w:val="11"/>
        <w:tblW w:w="8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268"/>
        <w:gridCol w:w="4111"/>
        <w:gridCol w:w="1457"/>
      </w:tblGrid>
      <w:tr w14:paraId="02A1D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blHeader/>
          <w:jc w:val="center"/>
        </w:trPr>
        <w:tc>
          <w:tcPr>
            <w:tcW w:w="704" w:type="dxa"/>
            <w:shd w:val="clear" w:color="000000" w:fill="FFFFFF"/>
            <w:noWrap w:val="0"/>
            <w:vAlign w:val="center"/>
          </w:tcPr>
          <w:p w14:paraId="4FE404E0">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268" w:type="dxa"/>
            <w:shd w:val="clear" w:color="000000" w:fill="FFFFFF"/>
            <w:noWrap w:val="0"/>
            <w:vAlign w:val="center"/>
          </w:tcPr>
          <w:p w14:paraId="680ACCF0">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服务项目</w:t>
            </w:r>
          </w:p>
        </w:tc>
        <w:tc>
          <w:tcPr>
            <w:tcW w:w="4111" w:type="dxa"/>
            <w:shd w:val="clear" w:color="000000" w:fill="FFFFFF"/>
            <w:noWrap w:val="0"/>
            <w:vAlign w:val="center"/>
          </w:tcPr>
          <w:p w14:paraId="76D036AB">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维护内容概要</w:t>
            </w:r>
          </w:p>
        </w:tc>
        <w:tc>
          <w:tcPr>
            <w:tcW w:w="1457" w:type="dxa"/>
            <w:shd w:val="clear" w:color="000000" w:fill="FFFFFF"/>
            <w:noWrap w:val="0"/>
            <w:vAlign w:val="center"/>
          </w:tcPr>
          <w:p w14:paraId="5B3967B1">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服务频率</w:t>
            </w:r>
          </w:p>
        </w:tc>
      </w:tr>
      <w:tr w14:paraId="759BC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540" w:type="dxa"/>
            <w:gridSpan w:val="4"/>
            <w:shd w:val="clear" w:color="000000" w:fill="FFFFFF"/>
            <w:noWrap w:val="0"/>
            <w:vAlign w:val="center"/>
          </w:tcPr>
          <w:p w14:paraId="4BA7E130">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一、服务器服务</w:t>
            </w:r>
          </w:p>
        </w:tc>
      </w:tr>
      <w:tr w14:paraId="51983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04" w:type="dxa"/>
            <w:shd w:val="clear" w:color="000000" w:fill="FFFFFF"/>
            <w:noWrap w:val="0"/>
            <w:vAlign w:val="center"/>
          </w:tcPr>
          <w:p w14:paraId="4576E77C">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268" w:type="dxa"/>
            <w:shd w:val="clear" w:color="000000" w:fill="FFFFFF"/>
            <w:noWrap w:val="0"/>
            <w:vAlign w:val="center"/>
          </w:tcPr>
          <w:p w14:paraId="454380AC">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服务器硬件定期监控，以及对出现的硬件问题解决跟进</w:t>
            </w:r>
          </w:p>
        </w:tc>
        <w:tc>
          <w:tcPr>
            <w:tcW w:w="4111" w:type="dxa"/>
            <w:shd w:val="clear" w:color="000000" w:fill="FFFFFF"/>
            <w:noWrap w:val="0"/>
            <w:vAlign w:val="center"/>
          </w:tcPr>
          <w:p w14:paraId="20411BA0">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定期检查后台支撑集群服务器硬件的健康情况，并及时跟进催促处理所出现的各种硬件问题。</w:t>
            </w:r>
          </w:p>
        </w:tc>
        <w:tc>
          <w:tcPr>
            <w:tcW w:w="1457" w:type="dxa"/>
            <w:shd w:val="clear" w:color="000000" w:fill="FFFFFF"/>
            <w:noWrap w:val="0"/>
            <w:vAlign w:val="center"/>
          </w:tcPr>
          <w:p w14:paraId="65668562">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预计平均每月一次</w:t>
            </w:r>
          </w:p>
        </w:tc>
      </w:tr>
      <w:tr w14:paraId="087B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704" w:type="dxa"/>
            <w:shd w:val="clear" w:color="000000" w:fill="FFFFFF"/>
            <w:noWrap w:val="0"/>
            <w:vAlign w:val="center"/>
          </w:tcPr>
          <w:p w14:paraId="27A816E9">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268" w:type="dxa"/>
            <w:shd w:val="clear" w:color="000000" w:fill="FFFFFF"/>
            <w:noWrap w:val="0"/>
            <w:vAlign w:val="center"/>
          </w:tcPr>
          <w:p w14:paraId="737F0C0E">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服务器操作系统维护监控</w:t>
            </w:r>
          </w:p>
        </w:tc>
        <w:tc>
          <w:tcPr>
            <w:tcW w:w="4111" w:type="dxa"/>
            <w:shd w:val="clear" w:color="000000" w:fill="FFFFFF"/>
            <w:noWrap w:val="0"/>
            <w:vAlign w:val="center"/>
          </w:tcPr>
          <w:p w14:paraId="4950C62E">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操作系统是否需要补丁更新，是否需要版本升级，故障修复。 </w:t>
            </w:r>
          </w:p>
        </w:tc>
        <w:tc>
          <w:tcPr>
            <w:tcW w:w="1457" w:type="dxa"/>
            <w:shd w:val="clear" w:color="000000" w:fill="FFFFFF"/>
            <w:noWrap w:val="0"/>
            <w:vAlign w:val="center"/>
          </w:tcPr>
          <w:p w14:paraId="298BDD3A">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预计平均二个月一次</w:t>
            </w:r>
          </w:p>
        </w:tc>
      </w:tr>
      <w:tr w14:paraId="07790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704" w:type="dxa"/>
            <w:shd w:val="clear" w:color="000000" w:fill="FFFFFF"/>
            <w:noWrap w:val="0"/>
            <w:vAlign w:val="center"/>
          </w:tcPr>
          <w:p w14:paraId="0D0FC928">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268" w:type="dxa"/>
            <w:shd w:val="clear" w:color="000000" w:fill="FFFFFF"/>
            <w:noWrap w:val="0"/>
            <w:vAlign w:val="center"/>
          </w:tcPr>
          <w:p w14:paraId="3B0AAACB">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服务器操作系统性能日常维护</w:t>
            </w:r>
          </w:p>
        </w:tc>
        <w:tc>
          <w:tcPr>
            <w:tcW w:w="4111" w:type="dxa"/>
            <w:shd w:val="clear" w:color="000000" w:fill="FFFFFF"/>
            <w:noWrap w:val="0"/>
            <w:vAlign w:val="center"/>
          </w:tcPr>
          <w:p w14:paraId="343997B5">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定期巡检操作系统日志，并查看日志。检查日志文件是否过大、检查硬盘空间是否已满，检查内存使用情况。 </w:t>
            </w:r>
          </w:p>
        </w:tc>
        <w:tc>
          <w:tcPr>
            <w:tcW w:w="1457" w:type="dxa"/>
            <w:shd w:val="clear" w:color="000000" w:fill="FFFFFF"/>
            <w:noWrap w:val="0"/>
            <w:vAlign w:val="center"/>
          </w:tcPr>
          <w:p w14:paraId="59C9869E">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预计平均每月一次</w:t>
            </w:r>
          </w:p>
        </w:tc>
      </w:tr>
      <w:tr w14:paraId="1EC13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540" w:type="dxa"/>
            <w:gridSpan w:val="4"/>
            <w:shd w:val="clear" w:color="000000" w:fill="FFFFFF"/>
            <w:noWrap w:val="0"/>
            <w:vAlign w:val="center"/>
          </w:tcPr>
          <w:p w14:paraId="517434D7">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二、服务器网络与网络安全情况维护</w:t>
            </w:r>
          </w:p>
        </w:tc>
      </w:tr>
      <w:tr w14:paraId="3DA2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04" w:type="dxa"/>
            <w:shd w:val="clear" w:color="000000" w:fill="FFFFFF"/>
            <w:noWrap w:val="0"/>
            <w:vAlign w:val="center"/>
          </w:tcPr>
          <w:p w14:paraId="53C3840A">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268" w:type="dxa"/>
            <w:shd w:val="clear" w:color="000000" w:fill="FFFFFF"/>
            <w:noWrap w:val="0"/>
            <w:vAlign w:val="center"/>
          </w:tcPr>
          <w:p w14:paraId="010C6086">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定期检查服务器的网络情况 </w:t>
            </w:r>
          </w:p>
        </w:tc>
        <w:tc>
          <w:tcPr>
            <w:tcW w:w="4111" w:type="dxa"/>
            <w:shd w:val="clear" w:color="000000" w:fill="FFFFFF"/>
            <w:noWrap w:val="0"/>
            <w:vAlign w:val="center"/>
          </w:tcPr>
          <w:p w14:paraId="750A7516">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包含每台服务器网络连接情况。如果不正常的需要跟进并直到解决为止。</w:t>
            </w:r>
          </w:p>
        </w:tc>
        <w:tc>
          <w:tcPr>
            <w:tcW w:w="1457" w:type="dxa"/>
            <w:shd w:val="clear" w:color="000000" w:fill="FFFFFF"/>
            <w:noWrap w:val="0"/>
            <w:vAlign w:val="center"/>
          </w:tcPr>
          <w:p w14:paraId="1D9588A8">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预计平均每月一次</w:t>
            </w:r>
          </w:p>
        </w:tc>
      </w:tr>
      <w:tr w14:paraId="61ADB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704" w:type="dxa"/>
            <w:shd w:val="clear" w:color="000000" w:fill="FFFFFF"/>
            <w:noWrap w:val="0"/>
            <w:vAlign w:val="center"/>
          </w:tcPr>
          <w:p w14:paraId="7D54AA54">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268" w:type="dxa"/>
            <w:shd w:val="clear" w:color="000000" w:fill="FFFFFF"/>
            <w:noWrap w:val="0"/>
            <w:vAlign w:val="center"/>
          </w:tcPr>
          <w:p w14:paraId="0FE86320">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定期检查安全设备或者安全软件，检查安全情况</w:t>
            </w:r>
          </w:p>
        </w:tc>
        <w:tc>
          <w:tcPr>
            <w:tcW w:w="4111" w:type="dxa"/>
            <w:shd w:val="clear" w:color="000000" w:fill="FFFFFF"/>
            <w:noWrap w:val="0"/>
            <w:vAlign w:val="center"/>
          </w:tcPr>
          <w:p w14:paraId="22C7293D">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定期查看日志，并测试是否生效，并查看是否有被攻击等异常情况。</w:t>
            </w:r>
          </w:p>
        </w:tc>
        <w:tc>
          <w:tcPr>
            <w:tcW w:w="1457" w:type="dxa"/>
            <w:shd w:val="clear" w:color="000000" w:fill="FFFFFF"/>
            <w:noWrap w:val="0"/>
            <w:vAlign w:val="center"/>
          </w:tcPr>
          <w:p w14:paraId="05C5CF0F">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预计平均每月一次</w:t>
            </w:r>
          </w:p>
        </w:tc>
      </w:tr>
      <w:tr w14:paraId="1F812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540" w:type="dxa"/>
            <w:gridSpan w:val="4"/>
            <w:shd w:val="clear" w:color="000000" w:fill="FFFFFF"/>
            <w:noWrap w:val="0"/>
            <w:vAlign w:val="center"/>
          </w:tcPr>
          <w:p w14:paraId="0176BEB7">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三、业务系统维护</w:t>
            </w:r>
          </w:p>
        </w:tc>
      </w:tr>
      <w:tr w14:paraId="7A49C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704" w:type="dxa"/>
            <w:shd w:val="clear" w:color="000000" w:fill="FFFFFF"/>
            <w:noWrap w:val="0"/>
            <w:vAlign w:val="center"/>
          </w:tcPr>
          <w:p w14:paraId="4A6B3F32">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2268" w:type="dxa"/>
            <w:shd w:val="clear" w:color="000000" w:fill="FFFFFF"/>
            <w:noWrap w:val="0"/>
            <w:vAlign w:val="center"/>
          </w:tcPr>
          <w:p w14:paraId="402648E6">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系统性能日常维护 </w:t>
            </w:r>
          </w:p>
        </w:tc>
        <w:tc>
          <w:tcPr>
            <w:tcW w:w="4111" w:type="dxa"/>
            <w:shd w:val="clear" w:color="000000" w:fill="FFFFFF"/>
            <w:noWrap w:val="0"/>
            <w:vAlign w:val="center"/>
          </w:tcPr>
          <w:p w14:paraId="637929AF">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定期巡检，补丁升级，日志检查分析，错误分析及统计。</w:t>
            </w:r>
          </w:p>
        </w:tc>
        <w:tc>
          <w:tcPr>
            <w:tcW w:w="1457" w:type="dxa"/>
            <w:shd w:val="clear" w:color="000000" w:fill="FFFFFF"/>
            <w:noWrap w:val="0"/>
            <w:vAlign w:val="center"/>
          </w:tcPr>
          <w:p w14:paraId="5AEF305B">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预计平均每月一次</w:t>
            </w:r>
          </w:p>
        </w:tc>
      </w:tr>
      <w:tr w14:paraId="096BD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704" w:type="dxa"/>
            <w:shd w:val="clear" w:color="000000" w:fill="FFFFFF"/>
            <w:noWrap w:val="0"/>
            <w:vAlign w:val="center"/>
          </w:tcPr>
          <w:p w14:paraId="2AD35B00">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2268" w:type="dxa"/>
            <w:shd w:val="clear" w:color="000000" w:fill="FFFFFF"/>
            <w:noWrap w:val="0"/>
            <w:vAlign w:val="center"/>
          </w:tcPr>
          <w:p w14:paraId="1F20ED9E">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系统故障检测及排除</w:t>
            </w:r>
          </w:p>
        </w:tc>
        <w:tc>
          <w:tcPr>
            <w:tcW w:w="4111" w:type="dxa"/>
            <w:shd w:val="clear" w:color="000000" w:fill="FFFFFF"/>
            <w:noWrap w:val="0"/>
            <w:vAlign w:val="center"/>
          </w:tcPr>
          <w:p w14:paraId="58667EDA">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按照业务保障需求，检测各功能，如果检测到故障后，第一时间排除 </w:t>
            </w:r>
          </w:p>
        </w:tc>
        <w:tc>
          <w:tcPr>
            <w:tcW w:w="1457" w:type="dxa"/>
            <w:shd w:val="clear" w:color="000000" w:fill="FFFFFF"/>
            <w:noWrap w:val="0"/>
            <w:vAlign w:val="center"/>
          </w:tcPr>
          <w:p w14:paraId="694B1C38">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预计平均每月三次</w:t>
            </w:r>
          </w:p>
        </w:tc>
      </w:tr>
      <w:tr w14:paraId="113C1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704" w:type="dxa"/>
            <w:shd w:val="clear" w:color="000000" w:fill="FFFFFF"/>
            <w:noWrap w:val="0"/>
            <w:vAlign w:val="center"/>
          </w:tcPr>
          <w:p w14:paraId="6A445236">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2268" w:type="dxa"/>
            <w:shd w:val="clear" w:color="000000" w:fill="FFFFFF"/>
            <w:noWrap w:val="0"/>
            <w:vAlign w:val="center"/>
          </w:tcPr>
          <w:p w14:paraId="1608B356">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系统运行状态监控以及预警</w:t>
            </w:r>
          </w:p>
        </w:tc>
        <w:tc>
          <w:tcPr>
            <w:tcW w:w="4111" w:type="dxa"/>
            <w:shd w:val="clear" w:color="000000" w:fill="FFFFFF"/>
            <w:noWrap w:val="0"/>
            <w:vAlign w:val="center"/>
          </w:tcPr>
          <w:p w14:paraId="4ECC78B7">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系统日志大小，无用资源的清除，图片等资源文件占用磁盘大小等日常管理。</w:t>
            </w:r>
          </w:p>
        </w:tc>
        <w:tc>
          <w:tcPr>
            <w:tcW w:w="1457" w:type="dxa"/>
            <w:shd w:val="clear" w:color="000000" w:fill="FFFFFF"/>
            <w:noWrap w:val="0"/>
            <w:vAlign w:val="center"/>
          </w:tcPr>
          <w:p w14:paraId="0B7A6F33">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预计平均每月一次</w:t>
            </w:r>
          </w:p>
        </w:tc>
      </w:tr>
      <w:tr w14:paraId="68F83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704" w:type="dxa"/>
            <w:shd w:val="clear" w:color="000000" w:fill="FFFFFF"/>
            <w:noWrap w:val="0"/>
            <w:vAlign w:val="center"/>
          </w:tcPr>
          <w:p w14:paraId="584D2263">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2268" w:type="dxa"/>
            <w:shd w:val="clear" w:color="000000" w:fill="FFFFFF"/>
            <w:noWrap w:val="0"/>
            <w:vAlign w:val="center"/>
          </w:tcPr>
          <w:p w14:paraId="3741AB4D">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系统的调试和备份</w:t>
            </w:r>
          </w:p>
        </w:tc>
        <w:tc>
          <w:tcPr>
            <w:tcW w:w="4111" w:type="dxa"/>
            <w:shd w:val="clear" w:color="000000" w:fill="FFFFFF"/>
            <w:noWrap w:val="0"/>
            <w:vAlign w:val="center"/>
          </w:tcPr>
          <w:p w14:paraId="3CAE0150">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按照业务保障需求，对业务系统进行日常调试和备用。</w:t>
            </w:r>
          </w:p>
        </w:tc>
        <w:tc>
          <w:tcPr>
            <w:tcW w:w="1457" w:type="dxa"/>
            <w:shd w:val="clear" w:color="000000" w:fill="FFFFFF"/>
            <w:noWrap w:val="0"/>
            <w:vAlign w:val="center"/>
          </w:tcPr>
          <w:p w14:paraId="0C7AFDF4">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预计平均每月一次</w:t>
            </w:r>
          </w:p>
        </w:tc>
      </w:tr>
      <w:tr w14:paraId="4E6FA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540" w:type="dxa"/>
            <w:gridSpan w:val="4"/>
            <w:shd w:val="clear" w:color="000000" w:fill="FFFFFF"/>
            <w:noWrap w:val="0"/>
            <w:vAlign w:val="center"/>
          </w:tcPr>
          <w:p w14:paraId="47975970">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四、数据库维护</w:t>
            </w:r>
          </w:p>
        </w:tc>
      </w:tr>
      <w:tr w14:paraId="0AC02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704" w:type="dxa"/>
            <w:shd w:val="clear" w:color="000000" w:fill="FFFFFF"/>
            <w:noWrap w:val="0"/>
            <w:vAlign w:val="center"/>
          </w:tcPr>
          <w:p w14:paraId="600475B1">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2268" w:type="dxa"/>
            <w:shd w:val="clear" w:color="000000" w:fill="FFFFFF"/>
            <w:noWrap w:val="0"/>
            <w:vAlign w:val="center"/>
          </w:tcPr>
          <w:p w14:paraId="7DF63541">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数据处理</w:t>
            </w:r>
          </w:p>
        </w:tc>
        <w:tc>
          <w:tcPr>
            <w:tcW w:w="4111" w:type="dxa"/>
            <w:shd w:val="clear" w:color="000000" w:fill="FFFFFF"/>
            <w:noWrap w:val="0"/>
            <w:vAlign w:val="center"/>
          </w:tcPr>
          <w:p w14:paraId="166DCDF6">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对数据库进行日常巡检；异常数据查找修正，并且反馈给开发工程师。</w:t>
            </w:r>
          </w:p>
        </w:tc>
        <w:tc>
          <w:tcPr>
            <w:tcW w:w="1457" w:type="dxa"/>
            <w:shd w:val="clear" w:color="000000" w:fill="FFFFFF"/>
            <w:noWrap w:val="0"/>
            <w:vAlign w:val="center"/>
          </w:tcPr>
          <w:p w14:paraId="41A90493">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预计平均每月一次</w:t>
            </w:r>
          </w:p>
        </w:tc>
      </w:tr>
      <w:tr w14:paraId="70419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704" w:type="dxa"/>
            <w:shd w:val="clear" w:color="000000" w:fill="FFFFFF"/>
            <w:noWrap w:val="0"/>
            <w:vAlign w:val="center"/>
          </w:tcPr>
          <w:p w14:paraId="60340E4A">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2268" w:type="dxa"/>
            <w:shd w:val="clear" w:color="000000" w:fill="FFFFFF"/>
            <w:noWrap w:val="0"/>
            <w:vAlign w:val="center"/>
          </w:tcPr>
          <w:p w14:paraId="4BE6E260">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数据库的备份 </w:t>
            </w:r>
          </w:p>
        </w:tc>
        <w:tc>
          <w:tcPr>
            <w:tcW w:w="4111" w:type="dxa"/>
            <w:shd w:val="clear" w:color="000000" w:fill="FFFFFF"/>
            <w:noWrap w:val="0"/>
            <w:vAlign w:val="center"/>
          </w:tcPr>
          <w:p w14:paraId="303F731B">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按照维护计划定期手动备份数据或者检查系统自动定期备份的数据。</w:t>
            </w:r>
          </w:p>
        </w:tc>
        <w:tc>
          <w:tcPr>
            <w:tcW w:w="1457" w:type="dxa"/>
            <w:shd w:val="clear" w:color="000000" w:fill="FFFFFF"/>
            <w:noWrap w:val="0"/>
            <w:vAlign w:val="center"/>
          </w:tcPr>
          <w:p w14:paraId="24E7C709">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预计平均每月一次</w:t>
            </w:r>
          </w:p>
        </w:tc>
      </w:tr>
      <w:tr w14:paraId="64965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704" w:type="dxa"/>
            <w:shd w:val="clear" w:color="000000" w:fill="FFFFFF"/>
            <w:noWrap w:val="0"/>
            <w:vAlign w:val="center"/>
          </w:tcPr>
          <w:p w14:paraId="7F357A6E">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2268" w:type="dxa"/>
            <w:shd w:val="clear" w:color="000000" w:fill="FFFFFF"/>
            <w:noWrap w:val="0"/>
            <w:vAlign w:val="center"/>
          </w:tcPr>
          <w:p w14:paraId="5CFB3EE3">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数据库情况监控</w:t>
            </w:r>
          </w:p>
        </w:tc>
        <w:tc>
          <w:tcPr>
            <w:tcW w:w="4111" w:type="dxa"/>
            <w:shd w:val="clear" w:color="000000" w:fill="FFFFFF"/>
            <w:noWrap w:val="0"/>
            <w:vAlign w:val="center"/>
          </w:tcPr>
          <w:p w14:paraId="1F3716EB">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监控数据库的运行情况、负载情况以及进行相应的优化；包括巨量数据迁移、数据库空间碎片整理，数据库性能监控分析 </w:t>
            </w:r>
          </w:p>
        </w:tc>
        <w:tc>
          <w:tcPr>
            <w:tcW w:w="1457" w:type="dxa"/>
            <w:shd w:val="clear" w:color="000000" w:fill="FFFFFF"/>
            <w:noWrap w:val="0"/>
            <w:vAlign w:val="center"/>
          </w:tcPr>
          <w:p w14:paraId="454ACCFE">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预计平均每月一次</w:t>
            </w:r>
          </w:p>
        </w:tc>
      </w:tr>
    </w:tbl>
    <w:p w14:paraId="7064BF06">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特殊保障服务要求</w:t>
      </w:r>
    </w:p>
    <w:p w14:paraId="591B6692">
      <w:pPr>
        <w:pageBreakBefore w:val="0"/>
        <w:widowControl/>
        <w:shd w:val="clear"/>
        <w:kinsoku/>
        <w:wordWrap/>
        <w:overflowPunct/>
        <w:topLinePunct w:val="0"/>
        <w:autoSpaceDE w:val="0"/>
        <w:autoSpaceDN w:val="0"/>
        <w:bidi w:val="0"/>
        <w:adjustRightInd w:val="0"/>
        <w:snapToGrid w:val="0"/>
        <w:spacing w:line="240" w:lineRule="auto"/>
        <w:ind w:firstLine="566" w:firstLineChars="236"/>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投</w:t>
      </w:r>
      <w:r>
        <w:rPr>
          <w:rFonts w:hint="eastAsia" w:ascii="宋体" w:hAnsi="宋体" w:eastAsia="宋体" w:cs="宋体"/>
          <w:snapToGrid w:val="0"/>
          <w:color w:val="auto"/>
          <w:kern w:val="2"/>
          <w:sz w:val="24"/>
          <w:szCs w:val="21"/>
          <w:highlight w:val="none"/>
        </w:rPr>
        <w:t>标人在重大演练、重大安保、春节国庆各类节假日期间，需在本地参与活动保障，应对相关</w:t>
      </w:r>
      <w:r>
        <w:rPr>
          <w:rFonts w:hint="eastAsia" w:ascii="宋体" w:hAnsi="宋体" w:eastAsia="宋体" w:cs="宋体"/>
          <w:color w:val="auto"/>
          <w:sz w:val="24"/>
          <w:highlight w:val="none"/>
        </w:rPr>
        <w:t>软硬件进行重点监控巡检，做好值守安排。可根据具体情况采取以下措施：</w:t>
      </w:r>
    </w:p>
    <w:p w14:paraId="7E544E47">
      <w:pPr>
        <w:pStyle w:val="19"/>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kern w:val="2"/>
          <w:sz w:val="24"/>
          <w:highlight w:val="none"/>
        </w:rPr>
      </w:pPr>
      <w:r>
        <w:rPr>
          <w:rFonts w:hint="eastAsia" w:ascii="宋体" w:hAnsi="宋体" w:eastAsia="宋体" w:cs="宋体"/>
          <w:color w:val="auto"/>
          <w:kern w:val="2"/>
          <w:sz w:val="24"/>
          <w:highlight w:val="none"/>
        </w:rPr>
        <w:t>（1）特殊活动前对软硬件运行情况进行全面检查，排除故障隐患。</w:t>
      </w:r>
    </w:p>
    <w:p w14:paraId="696594AE">
      <w:pPr>
        <w:pStyle w:val="19"/>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kern w:val="2"/>
          <w:sz w:val="24"/>
          <w:highlight w:val="none"/>
        </w:rPr>
      </w:pPr>
      <w:r>
        <w:rPr>
          <w:rFonts w:hint="eastAsia" w:ascii="宋体" w:hAnsi="宋体" w:eastAsia="宋体" w:cs="宋体"/>
          <w:color w:val="auto"/>
          <w:kern w:val="2"/>
          <w:sz w:val="24"/>
          <w:highlight w:val="none"/>
        </w:rPr>
        <w:t>（2）必要时对重点单元采取冗余备份措施。</w:t>
      </w:r>
    </w:p>
    <w:p w14:paraId="226184EC">
      <w:pPr>
        <w:pStyle w:val="19"/>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kern w:val="2"/>
          <w:sz w:val="24"/>
          <w:highlight w:val="none"/>
        </w:rPr>
      </w:pPr>
      <w:r>
        <w:rPr>
          <w:rFonts w:hint="eastAsia" w:ascii="宋体" w:hAnsi="宋体" w:eastAsia="宋体" w:cs="宋体"/>
          <w:color w:val="auto"/>
          <w:kern w:val="2"/>
          <w:sz w:val="24"/>
          <w:highlight w:val="none"/>
        </w:rPr>
        <w:t>（3）制定紧急情况下的应急通信方案。</w:t>
      </w:r>
    </w:p>
    <w:p w14:paraId="78DB187F">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（4）启动特殊保障流程，进行相应的保障人员及应急车辆、备品等配备。</w:t>
      </w:r>
    </w:p>
    <w:p w14:paraId="2B91D19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（5）重要活动安保期间，严格落实7×24小时值班值守要求，保障重点区域监控前端设备实时在线率或历史调阅率达100%，加强巡检确保图像质量合格，及时处理发现的安全漏洞。</w:t>
      </w:r>
      <w:bookmarkStart w:id="372" w:name="_Toc170370060"/>
      <w:bookmarkStart w:id="373" w:name="_Toc85443577"/>
    </w:p>
    <w:p w14:paraId="1A3855B4">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其他运维服务要求</w:t>
      </w:r>
    </w:p>
    <w:p w14:paraId="058E53A5">
      <w:pPr>
        <w:pageBreakBefore w:val="0"/>
        <w:widowControl/>
        <w:shd w:val="clear"/>
        <w:kinsoku/>
        <w:wordWrap/>
        <w:overflowPunct/>
        <w:topLinePunct w:val="0"/>
        <w:autoSpaceDE w:val="0"/>
        <w:autoSpaceDN w:val="0"/>
        <w:bidi w:val="0"/>
        <w:adjustRightInd w:val="0"/>
        <w:snapToGrid w:val="0"/>
        <w:spacing w:line="240" w:lineRule="auto"/>
        <w:ind w:firstLine="566" w:firstLineChars="236"/>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投标人应确保项目系统安全、稳定运行，配合采购人网络安全等级保护测评和整改工作，配合采购人做好设备资产管理、视频图像数据治理、视频图像数据上报等相关工作。</w:t>
      </w:r>
    </w:p>
    <w:p w14:paraId="728A362E">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color w:val="auto"/>
          <w:spacing w:val="-4"/>
          <w:sz w:val="28"/>
          <w:szCs w:val="24"/>
          <w:highlight w:val="none"/>
        </w:rPr>
      </w:pPr>
      <w:r>
        <w:rPr>
          <w:rFonts w:hint="eastAsia" w:ascii="宋体" w:hAnsi="宋体" w:eastAsia="宋体" w:cs="宋体"/>
          <w:b/>
          <w:bCs/>
          <w:color w:val="auto"/>
          <w:spacing w:val="-4"/>
          <w:sz w:val="28"/>
          <w:szCs w:val="24"/>
          <w:highlight w:val="none"/>
        </w:rPr>
        <w:t xml:space="preserve"> 运维服务方式</w:t>
      </w:r>
      <w:bookmarkEnd w:id="372"/>
      <w:bookmarkEnd w:id="373"/>
    </w:p>
    <w:p w14:paraId="7AAB2EEE">
      <w:pPr>
        <w:pageBreakBefore w:val="0"/>
        <w:widowControl/>
        <w:shd w:val="clear"/>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hint="eastAsia" w:ascii="宋体" w:hAnsi="宋体" w:eastAsia="宋体" w:cs="宋体"/>
          <w:b/>
          <w:bCs/>
          <w:color w:val="auto"/>
          <w:sz w:val="24"/>
          <w:highlight w:val="none"/>
        </w:rPr>
        <w:t>现场值守：</w:t>
      </w:r>
      <w:r>
        <w:rPr>
          <w:rFonts w:hint="eastAsia" w:ascii="宋体" w:hAnsi="宋体" w:eastAsia="宋体" w:cs="宋体"/>
          <w:color w:val="auto"/>
          <w:sz w:val="24"/>
          <w:highlight w:val="none"/>
        </w:rPr>
        <w:t>投标人提供7×24小时现场驻点值守服务，值守人员需要熟悉业务管理与处置流程，具备一定的事务协调沟通能力，具备一定的网络故障维护能力、安全防护保障能力、视频服务管理能力，熟悉各项前端和业务系统的操作维护和简单的故障修复。</w:t>
      </w:r>
    </w:p>
    <w:p w14:paraId="22EA338C">
      <w:pPr>
        <w:pageBreakBefore w:val="0"/>
        <w:widowControl/>
        <w:shd w:val="clear"/>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现场值守分为日常维护和重大活动保障两个部分。日常服务期间，投标人应按按要求提供技术人员驻场运维保障；重大活动保障期间，按采购人实际需求足额配备技术人员进行现场保障。</w:t>
      </w:r>
    </w:p>
    <w:p w14:paraId="776B2364">
      <w:pPr>
        <w:pageBreakBefore w:val="0"/>
        <w:widowControl/>
        <w:shd w:val="clear"/>
        <w:kinsoku/>
        <w:wordWrap/>
        <w:overflowPunct/>
        <w:topLinePunct w:val="0"/>
        <w:autoSpaceDE w:val="0"/>
        <w:autoSpaceDN w:val="0"/>
        <w:bidi w:val="0"/>
        <w:adjustRightInd w:val="0"/>
        <w:snapToGrid w:val="0"/>
        <w:spacing w:line="240" w:lineRule="auto"/>
        <w:ind w:firstLine="564" w:firstLineChars="235"/>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b/>
          <w:bCs/>
          <w:color w:val="auto"/>
          <w:sz w:val="24"/>
          <w:highlight w:val="none"/>
        </w:rPr>
        <w:t>远程维护：</w:t>
      </w:r>
      <w:r>
        <w:rPr>
          <w:rFonts w:hint="eastAsia" w:ascii="宋体" w:hAnsi="宋体" w:eastAsia="宋体" w:cs="宋体"/>
          <w:color w:val="auto"/>
          <w:sz w:val="24"/>
          <w:highlight w:val="none"/>
        </w:rPr>
        <w:t>投标人提供远程维护服务，通过网络、电话、电子邮件、即时通信、远程协助等方式提供技术支持，远程进行系统故障的修复处理、帮助驻点服务人员解决前方解决不了的复杂问题，对于重大故障及疑难问题，必要时可现场支持。</w:t>
      </w:r>
    </w:p>
    <w:p w14:paraId="52718F42">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color w:val="auto"/>
          <w:spacing w:val="-4"/>
          <w:sz w:val="28"/>
          <w:szCs w:val="24"/>
          <w:highlight w:val="none"/>
        </w:rPr>
      </w:pPr>
      <w:bookmarkStart w:id="374" w:name="_Toc170370062"/>
      <w:bookmarkStart w:id="375" w:name="_Toc85443579"/>
      <w:r>
        <w:rPr>
          <w:rFonts w:hint="eastAsia" w:ascii="宋体" w:hAnsi="宋体" w:eastAsia="宋体" w:cs="宋体"/>
          <w:b/>
          <w:bCs/>
          <w:color w:val="auto"/>
          <w:spacing w:val="-4"/>
          <w:sz w:val="28"/>
          <w:szCs w:val="24"/>
          <w:highlight w:val="none"/>
        </w:rPr>
        <w:t xml:space="preserve"> 应急措施</w:t>
      </w:r>
      <w:bookmarkEnd w:id="374"/>
      <w:bookmarkEnd w:id="375"/>
    </w:p>
    <w:p w14:paraId="4D87D78B">
      <w:pPr>
        <w:pStyle w:val="19"/>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投标人需提供应急响应方案，包括事件类别、报告流程、处置流程、整改完善等方面，并定期组织应急演练，制定应急演练方案和计划，进行安全事件演练。</w:t>
      </w:r>
    </w:p>
    <w:p w14:paraId="1C7FD139">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前端设备故障事件应急预案：前端设备发生故障事件后，运维人员应及时查清原因，在紧急情况下，运维人员先行更换备品备件，予以解决。</w:t>
      </w:r>
    </w:p>
    <w:p w14:paraId="566C23F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网络故障事件应急预案：发生网络故障事件后，运维人员应及时查清网络故障位置和原因，并予以解决。</w:t>
      </w:r>
    </w:p>
    <w:p w14:paraId="03153C2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3.服务器故障应急预案：服务器故障后，可以切换到备用服务器运行，完成快速自动切换。运维人员确定故障设备及故障原因，并通知相关厂商处理硬件故障问题。</w:t>
      </w:r>
    </w:p>
    <w:p w14:paraId="0D93888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软件故障事件应急预案：发生软件系统故障后，运维人员进行紧急处理，必要情况下，通知各业务部门停止业务操作和对系统数据进行备份，并且组织有关人员在保持原始数据安全的情况下，对系统进行修复；修复系统成功后，利用备份数据恢复丢</w:t>
      </w:r>
      <w:r>
        <w:rPr>
          <w:rFonts w:hint="eastAsia" w:ascii="宋体" w:hAnsi="宋体" w:eastAsia="宋体" w:cs="宋体"/>
          <w:color w:val="auto"/>
          <w:sz w:val="24"/>
          <w:highlight w:val="none"/>
        </w:rPr>
        <w:t>失的数据。</w:t>
      </w:r>
    </w:p>
    <w:p w14:paraId="2489E92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5.故障处</w:t>
      </w:r>
      <w:r>
        <w:rPr>
          <w:rFonts w:hint="eastAsia" w:ascii="宋体" w:hAnsi="宋体" w:eastAsia="宋体" w:cs="宋体"/>
          <w:color w:val="auto"/>
          <w:sz w:val="24"/>
          <w:highlight w:val="none"/>
        </w:rPr>
        <w:t>理时限要求</w:t>
      </w:r>
    </w:p>
    <w:tbl>
      <w:tblPr>
        <w:tblStyle w:val="11"/>
        <w:tblW w:w="86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1121"/>
        <w:gridCol w:w="2814"/>
        <w:gridCol w:w="1573"/>
        <w:gridCol w:w="1627"/>
      </w:tblGrid>
      <w:tr w14:paraId="196EA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blHeader/>
          <w:jc w:val="center"/>
        </w:trPr>
        <w:tc>
          <w:tcPr>
            <w:tcW w:w="1516" w:type="dxa"/>
            <w:noWrap w:val="0"/>
            <w:vAlign w:val="center"/>
          </w:tcPr>
          <w:p w14:paraId="67EB3D46">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故障类别</w:t>
            </w:r>
          </w:p>
        </w:tc>
        <w:tc>
          <w:tcPr>
            <w:tcW w:w="1121" w:type="dxa"/>
            <w:noWrap w:val="0"/>
            <w:vAlign w:val="center"/>
          </w:tcPr>
          <w:p w14:paraId="66932E1A">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电话响应</w:t>
            </w:r>
          </w:p>
        </w:tc>
        <w:tc>
          <w:tcPr>
            <w:tcW w:w="2814" w:type="dxa"/>
            <w:noWrap w:val="0"/>
            <w:vAlign w:val="center"/>
          </w:tcPr>
          <w:p w14:paraId="7B45DE3F">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现场响应</w:t>
            </w:r>
          </w:p>
        </w:tc>
        <w:tc>
          <w:tcPr>
            <w:tcW w:w="1573" w:type="dxa"/>
            <w:noWrap w:val="0"/>
            <w:vAlign w:val="center"/>
          </w:tcPr>
          <w:p w14:paraId="0799B738">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业务恢复时间</w:t>
            </w:r>
          </w:p>
        </w:tc>
        <w:tc>
          <w:tcPr>
            <w:tcW w:w="1627" w:type="dxa"/>
            <w:noWrap w:val="0"/>
            <w:vAlign w:val="center"/>
          </w:tcPr>
          <w:p w14:paraId="6002543B">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故障解决时间</w:t>
            </w:r>
          </w:p>
        </w:tc>
      </w:tr>
      <w:tr w14:paraId="64560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1516" w:type="dxa"/>
            <w:noWrap w:val="0"/>
            <w:vAlign w:val="center"/>
          </w:tcPr>
          <w:p w14:paraId="6A3B86E0">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前端设备故障</w:t>
            </w:r>
          </w:p>
        </w:tc>
        <w:tc>
          <w:tcPr>
            <w:tcW w:w="1121" w:type="dxa"/>
            <w:noWrap w:val="0"/>
            <w:vAlign w:val="center"/>
          </w:tcPr>
          <w:p w14:paraId="213BBFDE">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24小时</w:t>
            </w:r>
          </w:p>
        </w:tc>
        <w:tc>
          <w:tcPr>
            <w:tcW w:w="2814" w:type="dxa"/>
            <w:noWrap w:val="0"/>
            <w:vAlign w:val="center"/>
          </w:tcPr>
          <w:p w14:paraId="5AF9D6F3">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立即响应，2小时内到现场</w:t>
            </w:r>
          </w:p>
        </w:tc>
        <w:tc>
          <w:tcPr>
            <w:tcW w:w="1573" w:type="dxa"/>
            <w:noWrap w:val="0"/>
            <w:vAlign w:val="center"/>
          </w:tcPr>
          <w:p w14:paraId="70D1D47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1小时</w:t>
            </w:r>
          </w:p>
        </w:tc>
        <w:tc>
          <w:tcPr>
            <w:tcW w:w="1627" w:type="dxa"/>
            <w:noWrap w:val="0"/>
            <w:vAlign w:val="center"/>
          </w:tcPr>
          <w:p w14:paraId="5FB3CA68">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8小时</w:t>
            </w:r>
          </w:p>
        </w:tc>
      </w:tr>
      <w:tr w14:paraId="52500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16" w:type="dxa"/>
            <w:noWrap w:val="0"/>
            <w:vAlign w:val="center"/>
          </w:tcPr>
          <w:p w14:paraId="763B8F4A">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网络故障</w:t>
            </w:r>
          </w:p>
        </w:tc>
        <w:tc>
          <w:tcPr>
            <w:tcW w:w="1121" w:type="dxa"/>
            <w:noWrap w:val="0"/>
            <w:vAlign w:val="center"/>
          </w:tcPr>
          <w:p w14:paraId="30924063">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24小时</w:t>
            </w:r>
          </w:p>
        </w:tc>
        <w:tc>
          <w:tcPr>
            <w:tcW w:w="2814" w:type="dxa"/>
            <w:noWrap w:val="0"/>
            <w:vAlign w:val="center"/>
          </w:tcPr>
          <w:p w14:paraId="378FA416">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立即响应，2小时内到现场</w:t>
            </w:r>
          </w:p>
        </w:tc>
        <w:tc>
          <w:tcPr>
            <w:tcW w:w="1573" w:type="dxa"/>
            <w:noWrap w:val="0"/>
            <w:vAlign w:val="center"/>
          </w:tcPr>
          <w:p w14:paraId="44A4A36E">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1小时</w:t>
            </w:r>
          </w:p>
        </w:tc>
        <w:tc>
          <w:tcPr>
            <w:tcW w:w="1627" w:type="dxa"/>
            <w:noWrap w:val="0"/>
            <w:vAlign w:val="center"/>
          </w:tcPr>
          <w:p w14:paraId="64609B6F">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8小时</w:t>
            </w:r>
          </w:p>
        </w:tc>
      </w:tr>
      <w:tr w14:paraId="3F2E9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516" w:type="dxa"/>
            <w:noWrap w:val="0"/>
            <w:vAlign w:val="center"/>
          </w:tcPr>
          <w:p w14:paraId="5D40A543">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服务器故障</w:t>
            </w:r>
          </w:p>
        </w:tc>
        <w:tc>
          <w:tcPr>
            <w:tcW w:w="1121" w:type="dxa"/>
            <w:noWrap w:val="0"/>
            <w:vAlign w:val="center"/>
          </w:tcPr>
          <w:p w14:paraId="1D553673">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24小时</w:t>
            </w:r>
          </w:p>
        </w:tc>
        <w:tc>
          <w:tcPr>
            <w:tcW w:w="2814" w:type="dxa"/>
            <w:noWrap w:val="0"/>
            <w:vAlign w:val="center"/>
          </w:tcPr>
          <w:p w14:paraId="38BED883">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立即响应，半小时内到现场</w:t>
            </w:r>
          </w:p>
        </w:tc>
        <w:tc>
          <w:tcPr>
            <w:tcW w:w="1573" w:type="dxa"/>
            <w:noWrap w:val="0"/>
            <w:vAlign w:val="center"/>
          </w:tcPr>
          <w:p w14:paraId="6285132D">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1小时</w:t>
            </w:r>
          </w:p>
        </w:tc>
        <w:tc>
          <w:tcPr>
            <w:tcW w:w="1627" w:type="dxa"/>
            <w:noWrap w:val="0"/>
            <w:vAlign w:val="center"/>
          </w:tcPr>
          <w:p w14:paraId="5BADD9A7">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8小时</w:t>
            </w:r>
          </w:p>
        </w:tc>
      </w:tr>
      <w:tr w14:paraId="0564B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516" w:type="dxa"/>
            <w:noWrap w:val="0"/>
            <w:vAlign w:val="center"/>
          </w:tcPr>
          <w:p w14:paraId="4A3A3559">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软件故障</w:t>
            </w:r>
          </w:p>
        </w:tc>
        <w:tc>
          <w:tcPr>
            <w:tcW w:w="1121" w:type="dxa"/>
            <w:noWrap w:val="0"/>
            <w:vAlign w:val="center"/>
          </w:tcPr>
          <w:p w14:paraId="7F1B0D95">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24小时</w:t>
            </w:r>
          </w:p>
        </w:tc>
        <w:tc>
          <w:tcPr>
            <w:tcW w:w="2814" w:type="dxa"/>
            <w:noWrap w:val="0"/>
            <w:vAlign w:val="center"/>
          </w:tcPr>
          <w:p w14:paraId="5C188883">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立即响应，半小时内到现场</w:t>
            </w:r>
          </w:p>
        </w:tc>
        <w:tc>
          <w:tcPr>
            <w:tcW w:w="1573" w:type="dxa"/>
            <w:noWrap w:val="0"/>
            <w:vAlign w:val="center"/>
          </w:tcPr>
          <w:p w14:paraId="4878BB14">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1小时</w:t>
            </w:r>
          </w:p>
        </w:tc>
        <w:tc>
          <w:tcPr>
            <w:tcW w:w="1627" w:type="dxa"/>
            <w:noWrap w:val="0"/>
            <w:vAlign w:val="center"/>
          </w:tcPr>
          <w:p w14:paraId="210BE3AE">
            <w:pPr>
              <w:pageBreakBefore w:val="0"/>
              <w:widowControl/>
              <w:shd w:val="clear"/>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8小时</w:t>
            </w:r>
          </w:p>
        </w:tc>
      </w:tr>
    </w:tbl>
    <w:p w14:paraId="4745073B">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color w:val="auto"/>
          <w:spacing w:val="-4"/>
          <w:sz w:val="28"/>
          <w:szCs w:val="24"/>
          <w:highlight w:val="none"/>
        </w:rPr>
      </w:pPr>
      <w:bookmarkStart w:id="376" w:name="_Toc170370063"/>
      <w:bookmarkStart w:id="377" w:name="_Ref30161"/>
      <w:bookmarkStart w:id="378" w:name="_Toc85443580"/>
      <w:r>
        <w:rPr>
          <w:rFonts w:hint="eastAsia" w:ascii="宋体" w:hAnsi="宋体" w:eastAsia="宋体" w:cs="宋体"/>
          <w:b/>
          <w:bCs/>
          <w:color w:val="auto"/>
          <w:spacing w:val="-4"/>
          <w:sz w:val="28"/>
          <w:szCs w:val="24"/>
          <w:highlight w:val="none"/>
        </w:rPr>
        <w:t>★运维服务质量与考核</w:t>
      </w:r>
      <w:bookmarkEnd w:id="376"/>
      <w:bookmarkEnd w:id="377"/>
      <w:bookmarkEnd w:id="378"/>
    </w:p>
    <w:p w14:paraId="53A17CAF">
      <w:pPr>
        <w:pageBreakBefore w:val="0"/>
        <w:widowControl/>
        <w:shd w:val="clear"/>
        <w:kinsoku/>
        <w:wordWrap/>
        <w:overflowPunct/>
        <w:topLinePunct w:val="0"/>
        <w:autoSpaceDE w:val="0"/>
        <w:autoSpaceDN w:val="0"/>
        <w:bidi w:val="0"/>
        <w:adjustRightInd w:val="0"/>
        <w:snapToGrid w:val="0"/>
        <w:spacing w:line="24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一、</w:t>
      </w:r>
      <w:r>
        <w:rPr>
          <w:rFonts w:hint="eastAsia" w:ascii="宋体" w:hAnsi="宋体" w:eastAsia="宋体" w:cs="宋体"/>
          <w:color w:val="auto"/>
          <w:sz w:val="24"/>
          <w:highlight w:val="none"/>
        </w:rPr>
        <w:t>考核标准：</w:t>
      </w:r>
    </w:p>
    <w:p w14:paraId="79D6E02A">
      <w:pPr>
        <w:pageBreakBefore w:val="0"/>
        <w:widowControl/>
        <w:shd w:val="clear"/>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参照海南省公安厅或公安部《公安视频图像数据治理工作方案》、部省运维工作考核指标等要求。</w:t>
      </w:r>
    </w:p>
    <w:p w14:paraId="758A6735">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二、</w:t>
      </w:r>
      <w:r>
        <w:rPr>
          <w:rFonts w:hint="eastAsia" w:ascii="宋体" w:hAnsi="宋体" w:eastAsia="宋体" w:cs="宋体"/>
          <w:color w:val="auto"/>
          <w:sz w:val="24"/>
          <w:highlight w:val="none"/>
        </w:rPr>
        <w:t>考核项目考核指标值</w:t>
      </w:r>
    </w:p>
    <w:p w14:paraId="64E0E6D1">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、数据治理不限于以下内容：设备基础信息合规性（100%）、字幕标注合格率（100%）、视频在线率（98%）、视频完好率（90%）、实时视频和历史录像可调阅率（95%）、前端设备时钟准确率（100%）等项；</w:t>
      </w:r>
    </w:p>
    <w:p w14:paraId="6310CD2C">
      <w:pPr>
        <w:pageBreakBefore w:val="0"/>
        <w:widowControl/>
        <w:numPr>
          <w:ilvl w:val="0"/>
          <w:numId w:val="0"/>
        </w:numPr>
        <w:shd w:val="clear"/>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安全整改不限于以下内容：资产漏洞整改比例（100%）、资产弱口令整改比例（100%）；</w:t>
      </w:r>
    </w:p>
    <w:p w14:paraId="4DD54E34">
      <w:pPr>
        <w:pageBreakBefore w:val="0"/>
        <w:widowControl/>
        <w:numPr>
          <w:ilvl w:val="0"/>
          <w:numId w:val="0"/>
        </w:numPr>
        <w:shd w:val="clear"/>
        <w:kinsoku/>
        <w:wordWrap/>
        <w:overflowPunct/>
        <w:topLinePunct w:val="0"/>
        <w:autoSpaceDE w:val="0"/>
        <w:autoSpaceDN w:val="0"/>
        <w:bidi w:val="0"/>
        <w:adjustRightInd w:val="0"/>
        <w:snapToGrid w:val="0"/>
        <w:spacing w:line="24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考核周期为月度。</w:t>
      </w:r>
    </w:p>
    <w:p w14:paraId="11F73641">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color w:val="auto"/>
          <w:spacing w:val="-4"/>
          <w:sz w:val="28"/>
          <w:szCs w:val="24"/>
          <w:highlight w:val="none"/>
        </w:rPr>
      </w:pPr>
      <w:bookmarkStart w:id="379" w:name="_Ref30204"/>
      <w:r>
        <w:rPr>
          <w:rFonts w:hint="eastAsia" w:ascii="宋体" w:hAnsi="宋体" w:eastAsia="宋体" w:cs="宋体"/>
          <w:b/>
          <w:bCs/>
          <w:color w:val="auto"/>
          <w:spacing w:val="-4"/>
          <w:sz w:val="28"/>
          <w:szCs w:val="24"/>
          <w:highlight w:val="none"/>
        </w:rPr>
        <w:t>★驻场人员要求</w:t>
      </w:r>
      <w:bookmarkEnd w:id="379"/>
    </w:p>
    <w:p w14:paraId="2C6325E2">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在质保期内，本项目需提供不少于4名现场驻场人员，内外驻场人员要对本项目的外围点位部署、线路铺设结构、软件部署架构等均需熟悉，人员相对固定不得随意更换。</w:t>
      </w:r>
    </w:p>
    <w:p w14:paraId="53398423">
      <w:pPr>
        <w:pStyle w:val="4"/>
        <w:pageBreakBefore w:val="0"/>
        <w:widowControl/>
        <w:numPr>
          <w:ilvl w:val="3"/>
          <w:numId w:val="5"/>
        </w:numPr>
        <w:shd w:val="clear"/>
        <w:tabs>
          <w:tab w:val="left" w:pos="425"/>
        </w:tabs>
        <w:kinsoku/>
        <w:wordWrap/>
        <w:overflowPunct/>
        <w:topLinePunct w:val="0"/>
        <w:autoSpaceDE w:val="0"/>
        <w:autoSpaceDN w:val="0"/>
        <w:bidi w:val="0"/>
        <w:adjustRightInd w:val="0"/>
        <w:snapToGrid w:val="0"/>
        <w:spacing w:before="240" w:beforeLines="100" w:after="240" w:afterLines="100" w:line="240" w:lineRule="auto"/>
        <w:textAlignment w:val="baseline"/>
        <w:rPr>
          <w:rFonts w:hint="eastAsia" w:ascii="宋体" w:hAnsi="宋体" w:eastAsia="宋体" w:cs="宋体"/>
          <w:b/>
          <w:bCs/>
          <w:color w:val="auto"/>
          <w:spacing w:val="-4"/>
          <w:sz w:val="28"/>
          <w:szCs w:val="24"/>
          <w:highlight w:val="none"/>
        </w:rPr>
      </w:pPr>
      <w:bookmarkStart w:id="380" w:name="_Ref30246"/>
      <w:r>
        <w:rPr>
          <w:rFonts w:hint="eastAsia" w:ascii="宋体" w:hAnsi="宋体" w:eastAsia="宋体" w:cs="宋体"/>
          <w:b/>
          <w:bCs/>
          <w:color w:val="auto"/>
          <w:spacing w:val="-4"/>
          <w:sz w:val="28"/>
          <w:szCs w:val="24"/>
          <w:highlight w:val="none"/>
        </w:rPr>
        <w:t>★软硬件售后服务</w:t>
      </w:r>
      <w:bookmarkEnd w:id="380"/>
    </w:p>
    <w:p w14:paraId="576B40C0">
      <w:pPr>
        <w:pageBreakBefore w:val="0"/>
        <w:widowControl/>
        <w:shd w:val="clear"/>
        <w:kinsoku/>
        <w:wordWrap/>
        <w:overflowPunct/>
        <w:topLinePunct w:val="0"/>
        <w:autoSpaceDE w:val="0"/>
        <w:autoSpaceDN w:val="0"/>
        <w:bidi w:val="0"/>
        <w:adjustRightInd w:val="0"/>
        <w:snapToGrid w:val="0"/>
        <w:spacing w:line="360" w:lineRule="auto"/>
        <w:ind w:firstLine="436" w:firstLineChars="182"/>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lang w:val="en-US" w:eastAsia="zh-CN"/>
        </w:rPr>
        <w:t>一、</w:t>
      </w:r>
      <w:r>
        <w:rPr>
          <w:rFonts w:hint="eastAsia" w:ascii="宋体" w:hAnsi="宋体" w:eastAsia="宋体" w:cs="宋体"/>
          <w:color w:val="auto"/>
          <w:sz w:val="24"/>
          <w:highlight w:val="none"/>
          <w:shd w:val="clear"/>
        </w:rPr>
        <w:t>硬</w:t>
      </w:r>
      <w:r>
        <w:rPr>
          <w:rFonts w:hint="eastAsia" w:ascii="宋体" w:hAnsi="宋体" w:eastAsia="宋体" w:cs="宋体"/>
          <w:color w:val="auto"/>
          <w:sz w:val="24"/>
          <w:highlight w:val="none"/>
        </w:rPr>
        <w:t>件要求：</w:t>
      </w:r>
    </w:p>
    <w:p w14:paraId="6F0FABF5">
      <w:pPr>
        <w:pageBreakBefore w:val="0"/>
        <w:widowControl/>
        <w:shd w:val="clear"/>
        <w:kinsoku/>
        <w:wordWrap/>
        <w:overflowPunct/>
        <w:topLinePunct w:val="0"/>
        <w:autoSpaceDE w:val="0"/>
        <w:autoSpaceDN w:val="0"/>
        <w:bidi w:val="0"/>
        <w:adjustRightInd w:val="0"/>
        <w:snapToGrid w:val="0"/>
        <w:spacing w:line="360" w:lineRule="auto"/>
        <w:ind w:firstLine="436" w:firstLineChars="182"/>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、提供3年原厂免费上门维保和存储介质不返还服务，质保期自最终验收合格之日起算。</w:t>
      </w:r>
    </w:p>
    <w:p w14:paraId="0028F2AD">
      <w:pPr>
        <w:pageBreakBefore w:val="0"/>
        <w:widowControl/>
        <w:shd w:val="clear"/>
        <w:kinsoku/>
        <w:wordWrap/>
        <w:overflowPunct/>
        <w:topLinePunct w:val="0"/>
        <w:autoSpaceDE w:val="0"/>
        <w:autoSpaceDN w:val="0"/>
        <w:bidi w:val="0"/>
        <w:adjustRightInd w:val="0"/>
        <w:snapToGrid w:val="0"/>
        <w:spacing w:line="360" w:lineRule="auto"/>
        <w:ind w:firstLine="436" w:firstLineChars="182"/>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、质保期内，由于设备本身质量问题，免费更换，更换设备为同种品牌不低于原规格型号的新部件；损坏或更换的硬盘介质不返还厂商，由采购人自行销毁处理。</w:t>
      </w:r>
    </w:p>
    <w:p w14:paraId="0C7D9110">
      <w:pPr>
        <w:pageBreakBefore w:val="0"/>
        <w:widowControl/>
        <w:shd w:val="clear"/>
        <w:kinsoku/>
        <w:wordWrap/>
        <w:overflowPunct/>
        <w:topLinePunct w:val="0"/>
        <w:autoSpaceDE w:val="0"/>
        <w:autoSpaceDN w:val="0"/>
        <w:bidi w:val="0"/>
        <w:adjustRightInd w:val="0"/>
        <w:snapToGrid w:val="0"/>
        <w:spacing w:line="360" w:lineRule="auto"/>
        <w:ind w:firstLine="436" w:firstLineChars="182"/>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、对于不能明确是否是硬件出现故障时，须全力配合用户进行检查，包括但不限于提供替代品、零配件、专业工具等，并在承诺的响应时间内到达现场协助排除故障。</w:t>
      </w:r>
    </w:p>
    <w:p w14:paraId="4755052D">
      <w:pPr>
        <w:pageBreakBefore w:val="0"/>
        <w:widowControl/>
        <w:shd w:val="clear"/>
        <w:kinsoku/>
        <w:wordWrap/>
        <w:overflowPunct/>
        <w:topLinePunct w:val="0"/>
        <w:autoSpaceDE w:val="0"/>
        <w:autoSpaceDN w:val="0"/>
        <w:bidi w:val="0"/>
        <w:adjustRightInd w:val="0"/>
        <w:snapToGrid w:val="0"/>
        <w:spacing w:line="360" w:lineRule="auto"/>
        <w:ind w:firstLine="436" w:firstLineChars="182"/>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、保证设备在出现故障时得到及时修复，对于8小时内不能解决问题的设备，24小时内免费提供同等档次或高于现有规格的设备给用户代用，保证系统的连续不间断运行。</w:t>
      </w:r>
    </w:p>
    <w:p w14:paraId="31505682">
      <w:pPr>
        <w:pageBreakBefore w:val="0"/>
        <w:widowControl/>
        <w:shd w:val="clear"/>
        <w:kinsoku/>
        <w:wordWrap/>
        <w:overflowPunct/>
        <w:topLinePunct w:val="0"/>
        <w:autoSpaceDE w:val="0"/>
        <w:autoSpaceDN w:val="0"/>
        <w:bidi w:val="0"/>
        <w:adjustRightInd w:val="0"/>
        <w:snapToGrid w:val="0"/>
        <w:spacing w:line="360" w:lineRule="auto"/>
        <w:ind w:firstLine="436" w:firstLineChars="182"/>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二、</w:t>
      </w:r>
      <w:r>
        <w:rPr>
          <w:rFonts w:hint="eastAsia" w:ascii="宋体" w:hAnsi="宋体" w:eastAsia="宋体" w:cs="宋体"/>
          <w:color w:val="auto"/>
          <w:sz w:val="24"/>
          <w:highlight w:val="none"/>
        </w:rPr>
        <w:t>软件要求：</w:t>
      </w:r>
    </w:p>
    <w:p w14:paraId="3A3CA401">
      <w:pPr>
        <w:pageBreakBefore w:val="0"/>
        <w:widowControl/>
        <w:shd w:val="clear"/>
        <w:kinsoku/>
        <w:wordWrap/>
        <w:overflowPunct/>
        <w:topLinePunct w:val="0"/>
        <w:autoSpaceDE w:val="0"/>
        <w:autoSpaceDN w:val="0"/>
        <w:bidi w:val="0"/>
        <w:adjustRightInd w:val="0"/>
        <w:snapToGrid w:val="0"/>
        <w:spacing w:line="360" w:lineRule="auto"/>
        <w:ind w:firstLine="436" w:firstLineChars="182"/>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、提供3年原厂免费上门维保服务，质保期自最终验收合格之日起算。</w:t>
      </w:r>
    </w:p>
    <w:p w14:paraId="30F49E5D">
      <w:pPr>
        <w:pageBreakBefore w:val="0"/>
        <w:widowControl/>
        <w:shd w:val="clear"/>
        <w:kinsoku/>
        <w:wordWrap/>
        <w:overflowPunct/>
        <w:topLinePunct w:val="0"/>
        <w:autoSpaceDE w:val="0"/>
        <w:autoSpaceDN w:val="0"/>
        <w:bidi w:val="0"/>
        <w:adjustRightInd w:val="0"/>
        <w:snapToGrid w:val="0"/>
        <w:spacing w:line="360" w:lineRule="auto"/>
        <w:ind w:firstLine="436" w:firstLineChars="182"/>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、质保期内提供软件免费升级和原厂现场维护服务。</w:t>
      </w:r>
    </w:p>
    <w:p w14:paraId="125EE72C">
      <w:pPr>
        <w:pageBreakBefore w:val="0"/>
        <w:widowControl/>
        <w:shd w:val="clear"/>
        <w:kinsoku/>
        <w:wordWrap/>
        <w:overflowPunct/>
        <w:topLinePunct w:val="0"/>
        <w:autoSpaceDE w:val="0"/>
        <w:autoSpaceDN w:val="0"/>
        <w:bidi w:val="0"/>
        <w:adjustRightInd w:val="0"/>
        <w:snapToGrid w:val="0"/>
        <w:spacing w:line="360" w:lineRule="auto"/>
        <w:ind w:firstLine="436" w:firstLineChars="182"/>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、在采购人有需求的情况下，软件应免费提供SDK包，并免费与其他系统对接。</w:t>
      </w:r>
    </w:p>
    <w:p w14:paraId="3F887B22">
      <w:pPr>
        <w:pageBreakBefore w:val="0"/>
        <w:widowControl/>
        <w:shd w:val="clear"/>
        <w:kinsoku/>
        <w:wordWrap/>
        <w:overflowPunct/>
        <w:topLinePunct w:val="0"/>
        <w:autoSpaceDE w:val="0"/>
        <w:autoSpaceDN w:val="0"/>
        <w:bidi w:val="0"/>
        <w:adjustRightInd w:val="0"/>
        <w:snapToGrid w:val="0"/>
        <w:spacing w:line="360" w:lineRule="auto"/>
        <w:ind w:firstLine="436" w:firstLineChars="182"/>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、涉及到的系统软件及应用软件等全部由投标人提供，须为正版软件。</w:t>
      </w:r>
    </w:p>
    <w:p w14:paraId="13717A45">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240" w:afterLines="100" w:line="240" w:lineRule="auto"/>
        <w:textAlignment w:val="baseline"/>
        <w:rPr>
          <w:rFonts w:hint="eastAsia" w:ascii="宋体" w:hAnsi="宋体" w:eastAsia="宋体" w:cs="宋体"/>
          <w:color w:val="auto"/>
          <w:spacing w:val="-4"/>
          <w:sz w:val="28"/>
          <w:szCs w:val="28"/>
          <w:highlight w:val="none"/>
        </w:rPr>
      </w:pPr>
      <w:bookmarkStart w:id="381" w:name="_Ref30276"/>
      <w:r>
        <w:rPr>
          <w:rFonts w:hint="eastAsia" w:ascii="宋体" w:hAnsi="宋体" w:eastAsia="宋体" w:cs="宋体"/>
          <w:color w:val="auto"/>
          <w:spacing w:val="-4"/>
          <w:sz w:val="28"/>
          <w:szCs w:val="28"/>
          <w:highlight w:val="none"/>
        </w:rPr>
        <w:t>★质保期</w:t>
      </w:r>
      <w:bookmarkEnd w:id="381"/>
    </w:p>
    <w:p w14:paraId="5ED63146">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本项目购置的软硬件设备提供至少3年的质量保证期。在质保期内，因产品自身质量问题影响采购人使用的，由投标人无条件负责退货和更换。质保期自最终验收合格之日起算。</w:t>
      </w:r>
    </w:p>
    <w:p w14:paraId="7118B515">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240" w:afterLines="100" w:line="240" w:lineRule="auto"/>
        <w:textAlignment w:val="baseline"/>
        <w:rPr>
          <w:rFonts w:hint="eastAsia" w:ascii="宋体" w:hAnsi="宋体" w:eastAsia="宋体" w:cs="宋体"/>
          <w:color w:val="auto"/>
          <w:spacing w:val="-4"/>
          <w:sz w:val="28"/>
          <w:szCs w:val="28"/>
          <w:highlight w:val="none"/>
        </w:rPr>
      </w:pPr>
      <w:bookmarkStart w:id="382" w:name="_Ref30351"/>
      <w:r>
        <w:rPr>
          <w:rFonts w:hint="eastAsia" w:ascii="宋体" w:hAnsi="宋体" w:eastAsia="宋体" w:cs="宋体"/>
          <w:color w:val="auto"/>
          <w:spacing w:val="-4"/>
          <w:sz w:val="28"/>
          <w:szCs w:val="28"/>
          <w:highlight w:val="none"/>
        </w:rPr>
        <w:t>★验收要求</w:t>
      </w:r>
      <w:bookmarkEnd w:id="382"/>
    </w:p>
    <w:p w14:paraId="2DF267EA">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highlight w:val="none"/>
        </w:rPr>
        <w:t>项目验收按国家、地方和行业的相关政策、法规实施。项目实施期间或试运行期间，所提供的产品或服务出现缺陷问题，投标人须及时解决或更换，由此引起的相关费用由投标人承担，对采购人造成损失的，赔偿相应损失。</w:t>
      </w:r>
    </w:p>
    <w:p w14:paraId="26C03FD7">
      <w:pPr>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2、本项目接受项目监理的全过程监督检查；</w:t>
      </w:r>
    </w:p>
    <w:p w14:paraId="74C65EFD">
      <w:pPr>
        <w:pageBreakBefore w:val="0"/>
        <w:widowControl/>
        <w:shd w:val="clear"/>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3、试运行结束后，项目必须通过业务主管部门组织的验收。</w:t>
      </w:r>
    </w:p>
    <w:p w14:paraId="7D3273A7">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240" w:afterLines="100" w:line="360" w:lineRule="auto"/>
        <w:textAlignment w:val="baseline"/>
        <w:rPr>
          <w:rFonts w:hint="eastAsia" w:ascii="宋体" w:hAnsi="宋体" w:eastAsia="宋体" w:cs="宋体"/>
          <w:color w:val="auto"/>
          <w:spacing w:val="-4"/>
          <w:sz w:val="28"/>
          <w:szCs w:val="28"/>
          <w:highlight w:val="none"/>
        </w:rPr>
      </w:pPr>
      <w:bookmarkStart w:id="383" w:name="_Ref30377"/>
      <w:r>
        <w:rPr>
          <w:rFonts w:hint="eastAsia" w:ascii="宋体" w:hAnsi="宋体" w:eastAsia="宋体" w:cs="宋体"/>
          <w:color w:val="auto"/>
          <w:spacing w:val="-4"/>
          <w:sz w:val="28"/>
          <w:szCs w:val="28"/>
          <w:highlight w:val="none"/>
        </w:rPr>
        <w:t>★其它要求</w:t>
      </w:r>
      <w:bookmarkEnd w:id="383"/>
    </w:p>
    <w:p w14:paraId="29892624">
      <w:pPr>
        <w:pageBreakBefore w:val="0"/>
        <w:widowControl/>
        <w:numPr>
          <w:ilvl w:val="1"/>
          <w:numId w:val="0"/>
        </w:numPr>
        <w:shd w:val="clear"/>
        <w:tabs>
          <w:tab w:val="left" w:pos="560"/>
        </w:tabs>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1.投标人在本项目所投产品需符合国产自主可控要求，并提供承诺函。</w:t>
      </w:r>
    </w:p>
    <w:p w14:paraId="1E7C4FA1">
      <w:pPr>
        <w:pageBreakBefore w:val="0"/>
        <w:widowControl/>
        <w:numPr>
          <w:ilvl w:val="1"/>
          <w:numId w:val="0"/>
        </w:numPr>
        <w:shd w:val="clear"/>
        <w:tabs>
          <w:tab w:val="left" w:pos="560"/>
        </w:tabs>
        <w:kinsoku/>
        <w:wordWrap/>
        <w:overflowPunct/>
        <w:topLinePunct w:val="0"/>
        <w:autoSpaceDE w:val="0"/>
        <w:autoSpaceDN w:val="0"/>
        <w:bidi w:val="0"/>
        <w:adjustRightInd w:val="0"/>
        <w:snapToGrid w:val="0"/>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硬件：</w:t>
      </w:r>
      <w:r>
        <w:rPr>
          <w:rFonts w:hint="eastAsia" w:ascii="宋体" w:hAnsi="宋体" w:eastAsia="宋体" w:cs="宋体"/>
          <w:color w:val="auto"/>
          <w:sz w:val="24"/>
          <w:highlight w:val="none"/>
        </w:rPr>
        <w:t>本项目提供的各类前端设备、服务器等设备核心部件采用国产化芯片，设备符合国产自主可控要求。主要硬件设备必须支持连续7×24小时不间断工作。</w:t>
      </w:r>
    </w:p>
    <w:p w14:paraId="656CDEB0">
      <w:pPr>
        <w:pageBreakBefore w:val="0"/>
        <w:widowControl/>
        <w:numPr>
          <w:ilvl w:val="1"/>
          <w:numId w:val="0"/>
        </w:numPr>
        <w:shd w:val="clear"/>
        <w:tabs>
          <w:tab w:val="left" w:pos="560"/>
        </w:tabs>
        <w:kinsoku/>
        <w:wordWrap/>
        <w:overflowPunct/>
        <w:topLinePunct w:val="0"/>
        <w:autoSpaceDE w:val="0"/>
        <w:autoSpaceDN w:val="0"/>
        <w:bidi w:val="0"/>
        <w:adjustRightInd w:val="0"/>
        <w:snapToGrid w:val="0"/>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操作系统：</w:t>
      </w:r>
      <w:r>
        <w:rPr>
          <w:rFonts w:hint="eastAsia" w:ascii="宋体" w:hAnsi="宋体" w:eastAsia="宋体" w:cs="宋体"/>
          <w:color w:val="auto"/>
          <w:sz w:val="24"/>
          <w:highlight w:val="none"/>
        </w:rPr>
        <w:t>国产操作系统。</w:t>
      </w:r>
    </w:p>
    <w:p w14:paraId="2633AF6E">
      <w:pPr>
        <w:pageBreakBefore w:val="0"/>
        <w:widowControl/>
        <w:numPr>
          <w:ilvl w:val="1"/>
          <w:numId w:val="0"/>
        </w:numPr>
        <w:shd w:val="clear"/>
        <w:tabs>
          <w:tab w:val="left" w:pos="560"/>
        </w:tabs>
        <w:kinsoku/>
        <w:wordWrap/>
        <w:overflowPunct/>
        <w:topLinePunct w:val="0"/>
        <w:autoSpaceDE w:val="0"/>
        <w:autoSpaceDN w:val="0"/>
        <w:bidi w:val="0"/>
        <w:adjustRightInd w:val="0"/>
        <w:snapToGrid w:val="0"/>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系统应用：</w:t>
      </w:r>
      <w:r>
        <w:rPr>
          <w:rFonts w:hint="eastAsia" w:ascii="宋体" w:hAnsi="宋体" w:eastAsia="宋体" w:cs="宋体"/>
          <w:color w:val="auto"/>
          <w:sz w:val="24"/>
          <w:highlight w:val="none"/>
        </w:rPr>
        <w:t>本项目所提供的所有应用系统软件，需符合国产自主可控要求，并兼容国内主流国产数据库，可以在国产操作系统及国产PC终端上运行。</w:t>
      </w:r>
    </w:p>
    <w:p w14:paraId="4008BAFC">
      <w:pPr>
        <w:pStyle w:val="7"/>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人必须根据所投产品或服务的技术参数、资质资料等编写投标文件。在中标结果公示期间，采购人有权要求中标候选人提供所投产品或服务参数的证明材料和资质证书等进行核查，如发现与其投标文件中的描述不一致，代理机构将报政府采购主管部门严肃处理，同时废除中标资格，给采购人造成损失的，还必须进行赔偿并承担相关责任。</w:t>
      </w:r>
    </w:p>
    <w:p w14:paraId="25982497">
      <w:pPr>
        <w:pageBreakBefore w:val="0"/>
        <w:widowControl/>
        <w:shd w:val="clear"/>
        <w:tabs>
          <w:tab w:val="left" w:pos="0"/>
        </w:tabs>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人承诺提供新购置的设备应为全新的未使用过的，应完全符合国家相关产品及技术质量标准，采购人可按需对投标人提供的软硬件进行第三方检测，若货物的质量或规格与招标要求不符或证实货物是有缺陷的，包括潜在缺陷或使用不符合要求等，采购人可向投标人提出索赔。</w:t>
      </w:r>
    </w:p>
    <w:p w14:paraId="7423789F">
      <w:pPr>
        <w:pageBreakBefore w:val="0"/>
        <w:widowControl/>
        <w:numPr>
          <w:ilvl w:val="1"/>
          <w:numId w:val="0"/>
        </w:numPr>
        <w:shd w:val="clear"/>
        <w:tabs>
          <w:tab w:val="left" w:pos="560"/>
          <w:tab w:val="left" w:pos="567"/>
        </w:tabs>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4、投标人承诺在实施过程中或质保期内，按采购人要求免费提供涉及本项目服务器所需的国产化操作系统，且国产化操作系统数量与本项目购买的服务器数量一致。</w:t>
      </w:r>
    </w:p>
    <w:p w14:paraId="400C504E">
      <w:pPr>
        <w:pageBreakBefore w:val="0"/>
        <w:widowControl/>
        <w:shd w:val="clear"/>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投标人承诺本项目升级后的平台需兼容并接入原有固定红绿灯路口电子警察系统、卡口测速系统、违停抓拍、逆行抓拍、道路监控、网络存储、服务器等设备，且原有平台功能不得有缺失。平台升级后，如遇设备无法接入或兼容的，</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应无偿更换符合接入要求的设备，以确保系统兼容性及正常运作。</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需提供以上相关内容承诺函（格式自拟）</w:t>
      </w:r>
    </w:p>
    <w:p w14:paraId="32120169">
      <w:pPr>
        <w:pageBreakBefore w:val="0"/>
        <w:widowControl/>
        <w:shd w:val="clear"/>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6、投标人承诺在实施过程中或质保期内，若涉及到部标准或方案需求有变化，应按采购人要求免费调整所涉及的软件功能模块或接口，同时免费提供本项目所涉及软件的版本更新。</w:t>
      </w:r>
    </w:p>
    <w:p w14:paraId="3124CC29">
      <w:pPr>
        <w:pStyle w:val="7"/>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8、投标人承诺本项目提供的国产硬件设备、应用系统软件、操作系统及PC电脑终端之间均满足国产适配。若因国产适配不兼容或适配后性能功能明显下降等问题，从而对项目造成工期延误或其他影响的，采购人可取消投标人中标资格并提出索赔要求。</w:t>
      </w:r>
    </w:p>
    <w:p w14:paraId="6A67BD37">
      <w:pPr>
        <w:pStyle w:val="7"/>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9、若投标人所投服务器高度大于4U，造成采购人机房机柜空间不足的，由投标人免费提供机柜部署服务器，新增的机柜规格应与采购人现有机房机柜外观一致。</w:t>
      </w:r>
    </w:p>
    <w:p w14:paraId="183E84F9">
      <w:pPr>
        <w:pStyle w:val="20"/>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10、投标人应根据本项目建设外场特点，做好常用备品备件准备以应满足项目日常维护应急需求。</w:t>
      </w:r>
    </w:p>
    <w:p w14:paraId="182C761A">
      <w:pPr>
        <w:pStyle w:val="20"/>
        <w:pageBreakBefore w:val="0"/>
        <w:widowControl/>
        <w:shd w:val="clear"/>
        <w:kinsoku/>
        <w:wordWrap/>
        <w:overflowPunct/>
        <w:topLinePunct w:val="0"/>
        <w:autoSpaceDE w:val="0"/>
        <w:autoSpaceDN w:val="0"/>
        <w:bidi w:val="0"/>
        <w:adjustRightInd w:val="0"/>
        <w:snapToGrid w:val="0"/>
        <w:spacing w:line="360" w:lineRule="auto"/>
        <w:ind w:firstLine="410" w:firstLineChars="171"/>
        <w:rPr>
          <w:rFonts w:hint="eastAsia" w:ascii="宋体" w:hAnsi="宋体" w:eastAsia="宋体" w:cs="宋体"/>
          <w:color w:val="auto"/>
          <w:sz w:val="24"/>
          <w:highlight w:val="none"/>
        </w:rPr>
      </w:pPr>
      <w:r>
        <w:rPr>
          <w:rFonts w:hint="eastAsia" w:ascii="宋体" w:hAnsi="宋体" w:eastAsia="宋体" w:cs="宋体"/>
          <w:color w:val="auto"/>
          <w:sz w:val="24"/>
          <w:highlight w:val="none"/>
        </w:rPr>
        <w:t>11、在施工期间和质保期内，投标人应免费提供1台视频监控专用运维台式电脑、1台外围前端点位运维专用笔记本，使用时应严格遵守公安网络运维安全要求，设备专网专用，不得违规外联。质保期后，设备归甲方使用管理。运维人员需报业务部门备案。</w:t>
      </w:r>
    </w:p>
    <w:p w14:paraId="6F548DEE">
      <w:pPr>
        <w:pStyle w:val="20"/>
        <w:pageBreakBefore w:val="0"/>
        <w:widowControl/>
        <w:shd w:val="clear"/>
        <w:kinsoku/>
        <w:wordWrap/>
        <w:overflowPunct/>
        <w:topLinePunct w:val="0"/>
        <w:autoSpaceDE w:val="0"/>
        <w:autoSpaceDN w:val="0"/>
        <w:bidi w:val="0"/>
        <w:adjustRightInd w:val="0"/>
        <w:snapToGrid w:val="0"/>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12、投标人应实地勘察前端点位地理环境，综合考虑供电、线路、照明、地质等综合因素，按采购人需求对前端点位的安装位置、角度、机型、立杆等进行深化设计。</w:t>
      </w:r>
    </w:p>
    <w:p w14:paraId="326704E9">
      <w:pPr>
        <w:pageBreakBefore w:val="0"/>
        <w:widowControl/>
        <w:shd w:val="clear"/>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13、在项目实施期间和质保期内，因市政建设等客观原因导致的拆移杆件等需求，投标人须无偿拆移并重新立杆。</w:t>
      </w:r>
    </w:p>
    <w:p w14:paraId="79950D47">
      <w:pPr>
        <w:pageBreakBefore w:val="0"/>
        <w:widowControl/>
        <w:shd w:val="clear"/>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本项目前端点位立杆部署涉及到城市道路占用挖掘等事项，投标人应按照《海南省城市道路占用挖掘收费管理暂行办法》（琼建城[1993]221号），按规定申请报建手续。前端点位立杆基础开挖、线路（含供电线路和通信线路）铺设开挖等施工需符合每个点位所属道路性质对应的相关标准规范，同时按照原路面规格做好道路挖掘修复（含绿化修复）等工作。城市道路占用挖掘等相关费用由投标人承担。涉路施工涉及到向公路管理机构等部门申请办理许可手续的，投标人应按照规定办理，并提供安全技术评价报告等材料，相关费用由投标人承担。</w:t>
      </w:r>
    </w:p>
    <w:p w14:paraId="76063DA1">
      <w:pPr>
        <w:pageBreakBefore w:val="0"/>
        <w:widowControl/>
        <w:shd w:val="clear"/>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15、投标人所报价格应包含本项目所产生的一切费用（包含各类耗材辅材，包含电表、空开、开户等市电引入费用等等）。</w:t>
      </w:r>
    </w:p>
    <w:p w14:paraId="1434E7DC">
      <w:pPr>
        <w:pageBreakBefore w:val="0"/>
        <w:widowControl/>
        <w:shd w:val="clear"/>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16、若采购人和投标人双方对招标文件中采购需求章节的功能、性能、参数等需求描述理解有歧义时，以项目初步设计方案内容为基准，最终以采购人解释为准。</w:t>
      </w:r>
    </w:p>
    <w:p w14:paraId="17E1CE64">
      <w:pPr>
        <w:pageBreakBefore w:val="0"/>
        <w:widowControl/>
        <w:shd w:val="clear"/>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17、其他未尽事宜以合同约定为准。</w:t>
      </w:r>
    </w:p>
    <w:p w14:paraId="023017F5">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240" w:afterLines="100" w:line="240" w:lineRule="auto"/>
        <w:textAlignment w:val="baseline"/>
        <w:rPr>
          <w:rFonts w:hint="eastAsia" w:ascii="宋体" w:hAnsi="宋体" w:eastAsia="宋体" w:cs="宋体"/>
          <w:color w:val="auto"/>
          <w:spacing w:val="-4"/>
          <w:sz w:val="28"/>
          <w:szCs w:val="28"/>
          <w:highlight w:val="none"/>
        </w:rPr>
      </w:pPr>
      <w:bookmarkStart w:id="384" w:name="_Ref30403"/>
      <w:r>
        <w:rPr>
          <w:rFonts w:hint="eastAsia" w:ascii="宋体" w:hAnsi="宋体" w:eastAsia="宋体" w:cs="宋体"/>
          <w:color w:val="auto"/>
          <w:spacing w:val="-4"/>
          <w:sz w:val="28"/>
          <w:szCs w:val="28"/>
          <w:highlight w:val="none"/>
        </w:rPr>
        <w:t>★合同执行计划</w:t>
      </w:r>
      <w:bookmarkEnd w:id="384"/>
    </w:p>
    <w:p w14:paraId="4EBFFFD9">
      <w:pPr>
        <w:pageBreakBefore w:val="0"/>
        <w:widowControl/>
        <w:shd w:val="clear"/>
        <w:kinsoku/>
        <w:wordWrap/>
        <w:overflowPunct/>
        <w:topLinePunct w:val="0"/>
        <w:autoSpaceDE w:val="0"/>
        <w:autoSpaceDN w:val="0"/>
        <w:bidi w:val="0"/>
        <w:adjustRightInd w:val="0"/>
        <w:snapToGrid w:val="0"/>
        <w:spacing w:line="360" w:lineRule="auto"/>
        <w:ind w:firstLine="420"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1、交付时间：签订合同后，110日历天内完成软硬件安装、调试、交付等工作（含整改时间），交付服务成果。</w:t>
      </w:r>
    </w:p>
    <w:p w14:paraId="55181A62">
      <w:pPr>
        <w:pageBreakBefore w:val="0"/>
        <w:widowControl/>
        <w:shd w:val="clear"/>
        <w:kinsoku/>
        <w:wordWrap/>
        <w:overflowPunct/>
        <w:topLinePunct w:val="0"/>
        <w:autoSpaceDE w:val="0"/>
        <w:autoSpaceDN w:val="0"/>
        <w:bidi w:val="0"/>
        <w:adjustRightInd w:val="0"/>
        <w:snapToGrid w:val="0"/>
        <w:spacing w:line="360" w:lineRule="auto"/>
        <w:ind w:firstLine="420"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2、交货地点：定安县。</w:t>
      </w:r>
    </w:p>
    <w:p w14:paraId="4958387B">
      <w:pPr>
        <w:pageBreakBefore w:val="0"/>
        <w:widowControl/>
        <w:shd w:val="clear"/>
        <w:kinsoku/>
        <w:wordWrap/>
        <w:overflowPunct/>
        <w:topLinePunct w:val="0"/>
        <w:autoSpaceDE w:val="0"/>
        <w:autoSpaceDN w:val="0"/>
        <w:bidi w:val="0"/>
        <w:adjustRightInd w:val="0"/>
        <w:snapToGrid w:val="0"/>
        <w:spacing w:line="360" w:lineRule="auto"/>
        <w:ind w:firstLine="420"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备注：因政策原因，要求加快建设进度的，投标人应最大努力缩短建设服务时间。</w:t>
      </w:r>
    </w:p>
    <w:p w14:paraId="0E996BA8">
      <w:pPr>
        <w:pStyle w:val="3"/>
        <w:pageBreakBefore w:val="0"/>
        <w:widowControl/>
        <w:numPr>
          <w:ilvl w:val="2"/>
          <w:numId w:val="5"/>
        </w:numPr>
        <w:shd w:val="clear"/>
        <w:tabs>
          <w:tab w:val="left" w:pos="425"/>
        </w:tabs>
        <w:kinsoku/>
        <w:wordWrap/>
        <w:overflowPunct/>
        <w:topLinePunct w:val="0"/>
        <w:autoSpaceDE w:val="0"/>
        <w:autoSpaceDN w:val="0"/>
        <w:bidi w:val="0"/>
        <w:adjustRightInd w:val="0"/>
        <w:snapToGrid w:val="0"/>
        <w:spacing w:before="20" w:after="240" w:afterLines="100" w:line="240" w:lineRule="auto"/>
        <w:textAlignment w:val="baseline"/>
        <w:rPr>
          <w:rFonts w:hint="eastAsia" w:ascii="宋体" w:hAnsi="宋体" w:eastAsia="宋体" w:cs="宋体"/>
          <w:color w:val="auto"/>
          <w:sz w:val="24"/>
          <w:highlight w:val="none"/>
        </w:rPr>
      </w:pPr>
      <w:bookmarkStart w:id="385" w:name="_Ref30426"/>
      <w:r>
        <w:rPr>
          <w:rFonts w:hint="eastAsia" w:ascii="宋体" w:hAnsi="宋体" w:eastAsia="宋体" w:cs="宋体"/>
          <w:color w:val="auto"/>
          <w:sz w:val="24"/>
          <w:highlight w:val="none"/>
        </w:rPr>
        <w:t>★采购预算（最高限价）</w:t>
      </w:r>
      <w:bookmarkEnd w:id="385"/>
    </w:p>
    <w:p w14:paraId="573B73BD">
      <w:pPr>
        <w:pageBreakBefore w:val="0"/>
        <w:widowControl/>
        <w:shd w:val="clear"/>
        <w:kinsoku/>
        <w:wordWrap/>
        <w:overflowPunct/>
        <w:topLinePunct w:val="0"/>
        <w:autoSpaceDE w:val="0"/>
        <w:autoSpaceDN w:val="0"/>
        <w:bidi w:val="0"/>
        <w:adjustRightInd w:val="0"/>
        <w:snapToGrid w:val="0"/>
        <w:spacing w:line="24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本项目采购预算（最高限价）：6,293,077.38元（报价不得超过最高限价）</w:t>
      </w:r>
    </w:p>
    <w:p w14:paraId="11B82AC0">
      <w:pPr>
        <w:pStyle w:val="10"/>
        <w:keepNext w:val="0"/>
        <w:keepLines w:val="0"/>
        <w:widowControl/>
        <w:suppressLineNumbers w:val="0"/>
      </w:pPr>
      <w:r>
        <w:rPr>
          <w:rFonts w:hint="eastAsia" w:ascii="宋体" w:hAnsi="宋体" w:eastAsia="宋体" w:cs="宋体"/>
          <w:b/>
          <w:snapToGrid w:val="0"/>
          <w:color w:val="auto"/>
          <w:spacing w:val="-4"/>
          <w:kern w:val="0"/>
          <w:sz w:val="32"/>
          <w:szCs w:val="21"/>
          <w:highlight w:val="none"/>
        </w:rPr>
        <w:t>1.4.★付款方式</w:t>
      </w:r>
      <w:bookmarkStart w:id="386" w:name="_GoBack"/>
      <w:bookmarkEnd w:id="386"/>
      <w:r>
        <w:br w:type="textWrapping"/>
      </w:r>
      <w:r>
        <w:t>签订合同且中标单位提供申请款材料后拨付合同价的30%预付款，设备到场验收通过后拨付合同价的30%款项，项目完工及完成初步验收后拨付合同价的25%款项，完成竣工验收及结算审核后拨付合同价的12%，剩余3%为项目质保金，中标单位提交质保金的银行保函后再拨付。</w:t>
      </w:r>
    </w:p>
    <w:p w14:paraId="3DF6AE65">
      <w:pPr>
        <w:pStyle w:val="10"/>
        <w:keepNext w:val="0"/>
        <w:keepLines w:val="0"/>
        <w:widowControl/>
        <w:suppressLineNumbers w:val="0"/>
        <w:rPr>
          <w:color w:val="auto"/>
          <w:highlight w:val="none"/>
        </w:rPr>
      </w:pPr>
      <w:r>
        <w:rPr>
          <w:rFonts w:hint="eastAsia" w:ascii="宋体" w:hAnsi="宋体" w:eastAsia="宋体" w:cs="宋体"/>
          <w:b/>
          <w:snapToGrid w:val="0"/>
          <w:color w:val="auto"/>
          <w:spacing w:val="-4"/>
          <w:kern w:val="0"/>
          <w:sz w:val="32"/>
          <w:szCs w:val="21"/>
          <w:highlight w:val="none"/>
        </w:rPr>
        <w:t>1.5.★ 说明</w:t>
      </w:r>
      <w:r>
        <w:br w:type="textWrapping"/>
      </w:r>
      <w:r>
        <w:t>1.本项目采购需求“★”条款为不允许偏离的实质性要求和条件，如不满足则认定其投标无效。涉及以上承诺事项，投标人应出具承诺函。</w:t>
      </w:r>
      <w:r>
        <w:rPr>
          <w:rFonts w:ascii="宋体" w:hAnsi="宋体" w:eastAsia="宋体" w:cs="宋体"/>
          <w:sz w:val="24"/>
          <w:szCs w:val="24"/>
        </w:rPr>
        <w:br w:type="textWrapping"/>
      </w:r>
      <w:r>
        <w:rPr>
          <w:rFonts w:hint="eastAsia" w:ascii="宋体" w:hAnsi="宋体" w:eastAsia="宋体" w:cs="宋体"/>
          <w:b/>
          <w:snapToGrid w:val="0"/>
          <w:color w:val="auto"/>
          <w:spacing w:val="-4"/>
          <w:kern w:val="0"/>
          <w:sz w:val="32"/>
          <w:szCs w:val="21"/>
          <w:highlight w:val="none"/>
        </w:rPr>
        <w:t>1.6、其他事项</w:t>
      </w:r>
      <w:r>
        <w:rPr>
          <w:rFonts w:ascii="宋体" w:hAnsi="宋体" w:eastAsia="宋体" w:cs="宋体"/>
          <w:sz w:val="24"/>
          <w:szCs w:val="24"/>
        </w:rPr>
        <w:br w:type="textWrapping"/>
      </w:r>
      <w:r>
        <w:rPr>
          <w:rFonts w:ascii="宋体" w:hAnsi="宋体" w:eastAsia="宋体" w:cs="宋体"/>
          <w:sz w:val="24"/>
          <w:szCs w:val="24"/>
        </w:rPr>
        <w:t>1.本项目核心产品为“1.2.8.1软硬件采购清单/道路交通信号控制机”。</w:t>
      </w:r>
      <w:r>
        <w:rPr>
          <w:rFonts w:ascii="宋体" w:hAnsi="宋体" w:eastAsia="宋体" w:cs="宋体"/>
          <w:sz w:val="24"/>
          <w:szCs w:val="24"/>
        </w:rPr>
        <w:br w:type="textWrapping"/>
      </w:r>
      <w:r>
        <w:rPr>
          <w:rFonts w:hint="eastAsia" w:ascii="宋体" w:hAnsi="宋体" w:eastAsia="宋体" w:cs="宋体"/>
          <w:sz w:val="24"/>
          <w:szCs w:val="24"/>
        </w:rPr>
        <w:t>2.本次采购，带“▲“号条款为允许负偏离的参数需求，若未响应或者不满足，将在综合评审中予以扣分处理。其他条款为允许投标人存在负偏离，但各投标人应保证投报的各类产品实际使用性能和使用效果满足招标文件要求。</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0000000000000000000"/>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7186">
    <w:pPr>
      <w:pStyle w:val="8"/>
      <w:framePr w:wrap="around" w:vAnchor="text" w:hAnchor="margin" w:xAlign="center" w:y="1"/>
      <w:jc w:val="center"/>
      <w:rPr>
        <w:rStyle w:val="13"/>
      </w:rPr>
    </w:pPr>
    <w:r>
      <w:rPr>
        <w:rStyle w:val="13"/>
        <w:rFonts w:hint="eastAsia"/>
      </w:rPr>
      <w:t>第</w:t>
    </w:r>
    <w:r>
      <w:rPr>
        <w:rStyle w:val="13"/>
      </w:rPr>
      <w:fldChar w:fldCharType="begin"/>
    </w:r>
    <w:r>
      <w:rPr>
        <w:rStyle w:val="13"/>
      </w:rPr>
      <w:instrText xml:space="preserve">PAGE  </w:instrText>
    </w:r>
    <w:r>
      <w:rPr>
        <w:rStyle w:val="13"/>
      </w:rPr>
      <w:fldChar w:fldCharType="separate"/>
    </w:r>
    <w:r>
      <w:rPr>
        <w:rStyle w:val="13"/>
      </w:rPr>
      <w:t>3</w:t>
    </w:r>
    <w:r>
      <w:rPr>
        <w:rStyle w:val="13"/>
      </w:rPr>
      <w:fldChar w:fldCharType="end"/>
    </w:r>
    <w:r>
      <w:rPr>
        <w:rStyle w:val="13"/>
        <w:rFonts w:hint="eastAsia"/>
      </w:rPr>
      <w:t>页</w:t>
    </w:r>
  </w:p>
  <w:p w14:paraId="50DA9F77">
    <w:pPr>
      <w:pStyle w:val="8"/>
      <w:wordWrap w:val="0"/>
      <w:ind w:firstLine="199" w:firstLineChars="11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640EC">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E743F">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470D4">
    <w:pPr>
      <w:pStyle w:val="9"/>
      <w:tabs>
        <w:tab w:val="clear" w:pos="4153"/>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CBE2B">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A9EAE">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ACEE9C"/>
    <w:multiLevelType w:val="singleLevel"/>
    <w:tmpl w:val="80ACEE9C"/>
    <w:lvl w:ilvl="0" w:tentative="0">
      <w:start w:val="1"/>
      <w:numFmt w:val="decimal"/>
      <w:lvlText w:val="(%1)"/>
      <w:lvlJc w:val="left"/>
      <w:pPr>
        <w:ind w:left="425" w:hanging="425"/>
      </w:pPr>
      <w:rPr>
        <w:rFonts w:hint="default"/>
      </w:rPr>
    </w:lvl>
  </w:abstractNum>
  <w:abstractNum w:abstractNumId="1">
    <w:nsid w:val="8215CDA3"/>
    <w:multiLevelType w:val="singleLevel"/>
    <w:tmpl w:val="8215CDA3"/>
    <w:lvl w:ilvl="0" w:tentative="0">
      <w:start w:val="1"/>
      <w:numFmt w:val="decimal"/>
      <w:lvlText w:val="%1."/>
      <w:lvlJc w:val="left"/>
      <w:pPr>
        <w:tabs>
          <w:tab w:val="left" w:pos="0"/>
        </w:tabs>
        <w:ind w:left="0" w:leftChars="0" w:firstLine="0" w:firstLineChars="0"/>
      </w:pPr>
      <w:rPr>
        <w:rFonts w:hint="default"/>
      </w:rPr>
    </w:lvl>
  </w:abstractNum>
  <w:abstractNum w:abstractNumId="2">
    <w:nsid w:val="83AE571D"/>
    <w:multiLevelType w:val="singleLevel"/>
    <w:tmpl w:val="83AE571D"/>
    <w:lvl w:ilvl="0" w:tentative="0">
      <w:start w:val="1"/>
      <w:numFmt w:val="decimal"/>
      <w:lvlText w:val="(%1)"/>
      <w:lvlJc w:val="left"/>
      <w:pPr>
        <w:ind w:left="425" w:hanging="425"/>
      </w:pPr>
      <w:rPr>
        <w:rFonts w:hint="default"/>
      </w:rPr>
    </w:lvl>
  </w:abstractNum>
  <w:abstractNum w:abstractNumId="3">
    <w:nsid w:val="864F7C20"/>
    <w:multiLevelType w:val="singleLevel"/>
    <w:tmpl w:val="864F7C20"/>
    <w:lvl w:ilvl="0" w:tentative="0">
      <w:start w:val="1"/>
      <w:numFmt w:val="decimal"/>
      <w:lvlText w:val="(%1)"/>
      <w:lvlJc w:val="left"/>
      <w:pPr>
        <w:ind w:left="425" w:hanging="425"/>
      </w:pPr>
      <w:rPr>
        <w:rFonts w:hint="default"/>
      </w:rPr>
    </w:lvl>
  </w:abstractNum>
  <w:abstractNum w:abstractNumId="4">
    <w:nsid w:val="91117A9A"/>
    <w:multiLevelType w:val="singleLevel"/>
    <w:tmpl w:val="91117A9A"/>
    <w:lvl w:ilvl="0" w:tentative="0">
      <w:start w:val="1"/>
      <w:numFmt w:val="decimal"/>
      <w:lvlText w:val="%1."/>
      <w:lvlJc w:val="left"/>
      <w:pPr>
        <w:tabs>
          <w:tab w:val="left" w:pos="0"/>
        </w:tabs>
        <w:ind w:left="0" w:leftChars="0" w:firstLine="0" w:firstLineChars="0"/>
      </w:pPr>
      <w:rPr>
        <w:rFonts w:hint="default"/>
      </w:rPr>
    </w:lvl>
  </w:abstractNum>
  <w:abstractNum w:abstractNumId="5">
    <w:nsid w:val="A43F23B7"/>
    <w:multiLevelType w:val="singleLevel"/>
    <w:tmpl w:val="A43F23B7"/>
    <w:lvl w:ilvl="0" w:tentative="0">
      <w:start w:val="1"/>
      <w:numFmt w:val="decimal"/>
      <w:lvlText w:val="%1."/>
      <w:lvlJc w:val="left"/>
      <w:pPr>
        <w:tabs>
          <w:tab w:val="left" w:pos="0"/>
        </w:tabs>
        <w:ind w:left="0" w:leftChars="0" w:firstLine="0" w:firstLineChars="0"/>
      </w:pPr>
      <w:rPr>
        <w:rFonts w:hint="default"/>
      </w:rPr>
    </w:lvl>
  </w:abstractNum>
  <w:abstractNum w:abstractNumId="6">
    <w:nsid w:val="ADA6C1C0"/>
    <w:multiLevelType w:val="singleLevel"/>
    <w:tmpl w:val="ADA6C1C0"/>
    <w:lvl w:ilvl="0" w:tentative="0">
      <w:start w:val="1"/>
      <w:numFmt w:val="decimal"/>
      <w:lvlText w:val="%1."/>
      <w:lvlJc w:val="left"/>
      <w:pPr>
        <w:tabs>
          <w:tab w:val="left" w:pos="0"/>
        </w:tabs>
        <w:ind w:left="0" w:leftChars="0" w:firstLine="0" w:firstLineChars="0"/>
      </w:pPr>
      <w:rPr>
        <w:rFonts w:hint="default"/>
      </w:rPr>
    </w:lvl>
  </w:abstractNum>
  <w:abstractNum w:abstractNumId="7">
    <w:nsid w:val="AE090552"/>
    <w:multiLevelType w:val="singleLevel"/>
    <w:tmpl w:val="AE090552"/>
    <w:lvl w:ilvl="0" w:tentative="0">
      <w:start w:val="1"/>
      <w:numFmt w:val="decimal"/>
      <w:lvlText w:val="%1."/>
      <w:lvlJc w:val="left"/>
      <w:pPr>
        <w:tabs>
          <w:tab w:val="left" w:pos="0"/>
        </w:tabs>
        <w:ind w:left="0" w:leftChars="0" w:firstLine="0" w:firstLineChars="0"/>
      </w:pPr>
      <w:rPr>
        <w:rFonts w:hint="default"/>
      </w:rPr>
    </w:lvl>
  </w:abstractNum>
  <w:abstractNum w:abstractNumId="8">
    <w:nsid w:val="B007FE2F"/>
    <w:multiLevelType w:val="singleLevel"/>
    <w:tmpl w:val="B007FE2F"/>
    <w:lvl w:ilvl="0" w:tentative="0">
      <w:start w:val="1"/>
      <w:numFmt w:val="decimal"/>
      <w:lvlText w:val="%1."/>
      <w:lvlJc w:val="left"/>
      <w:pPr>
        <w:tabs>
          <w:tab w:val="left" w:pos="0"/>
        </w:tabs>
        <w:ind w:left="0" w:leftChars="0" w:firstLine="0" w:firstLineChars="0"/>
      </w:pPr>
      <w:rPr>
        <w:rFonts w:hint="default"/>
      </w:rPr>
    </w:lvl>
  </w:abstractNum>
  <w:abstractNum w:abstractNumId="9">
    <w:nsid w:val="B02FA8A4"/>
    <w:multiLevelType w:val="singleLevel"/>
    <w:tmpl w:val="B02FA8A4"/>
    <w:lvl w:ilvl="0" w:tentative="0">
      <w:start w:val="1"/>
      <w:numFmt w:val="decimal"/>
      <w:lvlText w:val="%1."/>
      <w:lvlJc w:val="left"/>
      <w:pPr>
        <w:tabs>
          <w:tab w:val="left" w:pos="0"/>
        </w:tabs>
        <w:ind w:left="0" w:leftChars="0" w:firstLine="0" w:firstLineChars="0"/>
      </w:pPr>
      <w:rPr>
        <w:rFonts w:hint="default"/>
      </w:rPr>
    </w:lvl>
  </w:abstractNum>
  <w:abstractNum w:abstractNumId="10">
    <w:nsid w:val="B59360BC"/>
    <w:multiLevelType w:val="singleLevel"/>
    <w:tmpl w:val="B59360BC"/>
    <w:lvl w:ilvl="0" w:tentative="0">
      <w:start w:val="1"/>
      <w:numFmt w:val="decimal"/>
      <w:lvlText w:val="(%1)"/>
      <w:lvlJc w:val="left"/>
      <w:pPr>
        <w:ind w:left="425" w:hanging="425"/>
      </w:pPr>
      <w:rPr>
        <w:rFonts w:hint="default"/>
      </w:rPr>
    </w:lvl>
  </w:abstractNum>
  <w:abstractNum w:abstractNumId="11">
    <w:nsid w:val="BF92074C"/>
    <w:multiLevelType w:val="multilevel"/>
    <w:tmpl w:val="BF92074C"/>
    <w:lvl w:ilvl="0" w:tentative="0">
      <w:start w:val="1"/>
      <w:numFmt w:val="chineseCounting"/>
      <w:suff w:val="nothing"/>
      <w:lvlText w:val="第%1章 "/>
      <w:lvlJc w:val="left"/>
      <w:pPr>
        <w:ind w:left="425" w:hanging="425"/>
      </w:pPr>
      <w:rPr>
        <w:rFonts w:hint="eastAsia"/>
      </w:rPr>
    </w:lvl>
    <w:lvl w:ilvl="1" w:tentative="0">
      <w:start w:val="1"/>
      <w:numFmt w:val="decimal"/>
      <w:isLgl/>
      <w:lvlText w:val="%1.%2."/>
      <w:lvlJc w:val="left"/>
      <w:pPr>
        <w:ind w:left="567" w:hanging="567"/>
      </w:pPr>
      <w:rPr>
        <w:rFonts w:hint="eastAsia"/>
      </w:rPr>
    </w:lvl>
    <w:lvl w:ilvl="2" w:tentative="0">
      <w:start w:val="1"/>
      <w:numFmt w:val="decimal"/>
      <w:isLgl/>
      <w:lvlText w:val="%1.%2.%3."/>
      <w:lvlJc w:val="left"/>
      <w:pPr>
        <w:ind w:left="709" w:hanging="709"/>
      </w:pPr>
      <w:rPr>
        <w:rFonts w:hint="eastAsia"/>
      </w:rPr>
    </w:lvl>
    <w:lvl w:ilvl="3" w:tentative="0">
      <w:start w:val="1"/>
      <w:numFmt w:val="decimal"/>
      <w:isLgl/>
      <w:lvlText w:val="%1.%2.%3.%4."/>
      <w:lvlJc w:val="left"/>
      <w:pPr>
        <w:ind w:left="850" w:hanging="850"/>
      </w:pPr>
      <w:rPr>
        <w:rFonts w:hint="eastAsia"/>
      </w:rPr>
    </w:lvl>
    <w:lvl w:ilvl="4" w:tentative="0">
      <w:start w:val="1"/>
      <w:numFmt w:val="decimal"/>
      <w:isLgl/>
      <w:lvlText w:val="%1.%2.%3.%4.%5."/>
      <w:lvlJc w:val="left"/>
      <w:pPr>
        <w:ind w:left="991" w:hanging="991"/>
      </w:pPr>
      <w:rPr>
        <w:rFonts w:hint="eastAsia"/>
      </w:rPr>
    </w:lvl>
    <w:lvl w:ilvl="5" w:tentative="0">
      <w:start w:val="1"/>
      <w:numFmt w:val="decimal"/>
      <w:isLgl/>
      <w:lvlText w:val="%1.%2.%3.%4.%5.%6."/>
      <w:lvlJc w:val="left"/>
      <w:pPr>
        <w:ind w:left="1134" w:hanging="1134"/>
      </w:pPr>
      <w:rPr>
        <w:rFonts w:hint="eastAsia"/>
      </w:rPr>
    </w:lvl>
    <w:lvl w:ilvl="6" w:tentative="0">
      <w:start w:val="1"/>
      <w:numFmt w:val="decimal"/>
      <w:isLgl/>
      <w:lvlText w:val="%1.%2.%3.%4.%5.%6.%7."/>
      <w:lvlJc w:val="left"/>
      <w:pPr>
        <w:ind w:left="1275" w:hanging="1275"/>
      </w:pPr>
      <w:rPr>
        <w:rFonts w:hint="eastAsia"/>
      </w:rPr>
    </w:lvl>
    <w:lvl w:ilvl="7" w:tentative="0">
      <w:start w:val="1"/>
      <w:numFmt w:val="decimal"/>
      <w:isLgl/>
      <w:lvlText w:val="%1.%2.%3.%4.%5.%6.%7.%8."/>
      <w:lvlJc w:val="left"/>
      <w:pPr>
        <w:ind w:left="1418" w:hanging="1418"/>
      </w:pPr>
      <w:rPr>
        <w:rFonts w:hint="eastAsia"/>
      </w:rPr>
    </w:lvl>
    <w:lvl w:ilvl="8" w:tentative="0">
      <w:start w:val="1"/>
      <w:numFmt w:val="decimal"/>
      <w:isLgl/>
      <w:lvlText w:val="%1.%2.%3.%4.%5.%6.%7.%8.%9."/>
      <w:lvlJc w:val="left"/>
      <w:pPr>
        <w:ind w:left="1558" w:hanging="1558"/>
      </w:pPr>
      <w:rPr>
        <w:rFonts w:hint="eastAsia"/>
      </w:rPr>
    </w:lvl>
  </w:abstractNum>
  <w:abstractNum w:abstractNumId="12">
    <w:nsid w:val="C3C334D1"/>
    <w:multiLevelType w:val="singleLevel"/>
    <w:tmpl w:val="C3C334D1"/>
    <w:lvl w:ilvl="0" w:tentative="0">
      <w:start w:val="2"/>
      <w:numFmt w:val="chineseCounting"/>
      <w:suff w:val="nothing"/>
      <w:lvlText w:val="%1、"/>
      <w:lvlJc w:val="left"/>
      <w:rPr>
        <w:rFonts w:hint="eastAsia"/>
      </w:rPr>
    </w:lvl>
  </w:abstractNum>
  <w:abstractNum w:abstractNumId="13">
    <w:nsid w:val="C557F38A"/>
    <w:multiLevelType w:val="singleLevel"/>
    <w:tmpl w:val="C557F38A"/>
    <w:lvl w:ilvl="0" w:tentative="0">
      <w:start w:val="1"/>
      <w:numFmt w:val="decimal"/>
      <w:lvlText w:val="%1."/>
      <w:lvlJc w:val="left"/>
      <w:pPr>
        <w:tabs>
          <w:tab w:val="left" w:pos="0"/>
        </w:tabs>
        <w:ind w:left="0" w:leftChars="0" w:firstLine="0" w:firstLineChars="0"/>
      </w:pPr>
      <w:rPr>
        <w:rFonts w:hint="default"/>
      </w:rPr>
    </w:lvl>
  </w:abstractNum>
  <w:abstractNum w:abstractNumId="14">
    <w:nsid w:val="CA56F66E"/>
    <w:multiLevelType w:val="multilevel"/>
    <w:tmpl w:val="CA56F66E"/>
    <w:lvl w:ilvl="0" w:tentative="0">
      <w:start w:val="1"/>
      <w:numFmt w:val="decimal"/>
      <w:lvlText w:val="第%1章"/>
      <w:lvlJc w:val="left"/>
      <w:pPr>
        <w:tabs>
          <w:tab w:val="left" w:pos="425"/>
        </w:tabs>
        <w:ind w:left="0" w:firstLine="0"/>
      </w:pPr>
      <w:rPr>
        <w:rFonts w:hint="default"/>
        <w:b w:val="0"/>
        <w:i w:val="0"/>
        <w:caps w:val="0"/>
        <w:smallCaps w:val="0"/>
        <w:strike w:val="0"/>
        <w:dstrike w:val="0"/>
        <w:vanish w:val="0"/>
        <w:spacing w:val="0"/>
        <w:position w:val="0"/>
        <w:sz w:val="44"/>
        <w:u w:val="none"/>
        <w:vertAlign w:val="baseline"/>
      </w:rPr>
    </w:lvl>
    <w:lvl w:ilvl="1" w:tentative="0">
      <w:start w:val="1"/>
      <w:numFmt w:val="decimal"/>
      <w:pStyle w:val="2"/>
      <w:isLgl/>
      <w:lvlText w:val="%1.%2"/>
      <w:lvlJc w:val="left"/>
      <w:pPr>
        <w:tabs>
          <w:tab w:val="left" w:pos="425"/>
        </w:tabs>
        <w:ind w:left="0" w:firstLine="0"/>
      </w:pPr>
      <w:rPr>
        <w:rFonts w:hint="eastAsia"/>
        <w:b w:val="0"/>
        <w:i w:val="0"/>
        <w:color w:val="000000"/>
      </w:rPr>
    </w:lvl>
    <w:lvl w:ilvl="2" w:tentative="0">
      <w:start w:val="1"/>
      <w:numFmt w:val="decimal"/>
      <w:isLgl/>
      <w:lvlText w:val="%1.%2.%3"/>
      <w:lvlJc w:val="left"/>
      <w:pPr>
        <w:tabs>
          <w:tab w:val="left" w:pos="425"/>
        </w:tabs>
        <w:ind w:left="0" w:firstLine="0"/>
      </w:pPr>
      <w:rPr>
        <w:rFonts w:hint="eastAsia"/>
      </w:rPr>
    </w:lvl>
    <w:lvl w:ilvl="3" w:tentative="0">
      <w:start w:val="1"/>
      <w:numFmt w:val="decimal"/>
      <w:isLgl/>
      <w:lvlText w:val="%1.%2.%3.%4"/>
      <w:lvlJc w:val="left"/>
      <w:pPr>
        <w:tabs>
          <w:tab w:val="left" w:pos="425"/>
        </w:tabs>
        <w:ind w:left="0" w:firstLine="0"/>
      </w:pPr>
      <w:rPr>
        <w:rFonts w:hint="eastAsia"/>
      </w:rPr>
    </w:lvl>
    <w:lvl w:ilvl="4" w:tentative="0">
      <w:start w:val="1"/>
      <w:numFmt w:val="decimal"/>
      <w:isLgl/>
      <w:lvlText w:val="%1.%2.%3.%4.%5"/>
      <w:lvlJc w:val="left"/>
      <w:pPr>
        <w:tabs>
          <w:tab w:val="left" w:pos="425"/>
        </w:tabs>
        <w:ind w:left="0" w:firstLine="0"/>
      </w:pPr>
      <w:rPr>
        <w:rFonts w:hint="eastAsia"/>
        <w:b w:val="0"/>
      </w:rPr>
    </w:lvl>
    <w:lvl w:ilvl="5" w:tentative="0">
      <w:start w:val="1"/>
      <w:numFmt w:val="decimal"/>
      <w:isLgl/>
      <w:lvlText w:val="%1.%2.%3.%4.%5.%6"/>
      <w:lvlJc w:val="left"/>
      <w:pPr>
        <w:tabs>
          <w:tab w:val="left" w:pos="425"/>
        </w:tabs>
        <w:ind w:left="0" w:firstLine="0"/>
      </w:pPr>
      <w:rPr>
        <w:rFonts w:hint="eastAsia"/>
      </w:rPr>
    </w:lvl>
    <w:lvl w:ilvl="6" w:tentative="0">
      <w:start w:val="1"/>
      <w:numFmt w:val="decimal"/>
      <w:isLgl/>
      <w:lvlText w:val="%1.%2.%3.%4.%5.%6.%7"/>
      <w:lvlJc w:val="left"/>
      <w:pPr>
        <w:tabs>
          <w:tab w:val="left" w:pos="425"/>
        </w:tabs>
        <w:ind w:left="0" w:firstLine="0"/>
      </w:pPr>
      <w:rPr>
        <w:rFonts w:hint="eastAsia"/>
      </w:rPr>
    </w:lvl>
    <w:lvl w:ilvl="7" w:tentative="0">
      <w:start w:val="1"/>
      <w:numFmt w:val="decimal"/>
      <w:isLgl/>
      <w:lvlText w:val="%1.%2.%3.%4.%5.%6.%7.%8"/>
      <w:lvlJc w:val="left"/>
      <w:pPr>
        <w:tabs>
          <w:tab w:val="left" w:pos="425"/>
        </w:tabs>
        <w:ind w:left="0" w:firstLine="0"/>
      </w:pPr>
      <w:rPr>
        <w:rFonts w:hint="eastAsia"/>
      </w:rPr>
    </w:lvl>
    <w:lvl w:ilvl="8" w:tentative="0">
      <w:start w:val="1"/>
      <w:numFmt w:val="decimal"/>
      <w:isLgl/>
      <w:lvlText w:val="%1.%2.%3.%4.%5.%6.%7.%8.%9"/>
      <w:lvlJc w:val="left"/>
      <w:pPr>
        <w:tabs>
          <w:tab w:val="left" w:pos="425"/>
        </w:tabs>
        <w:ind w:left="0" w:firstLine="0"/>
      </w:pPr>
      <w:rPr>
        <w:rFonts w:hint="eastAsia"/>
      </w:rPr>
    </w:lvl>
  </w:abstractNum>
  <w:abstractNum w:abstractNumId="15">
    <w:nsid w:val="D9BF8750"/>
    <w:multiLevelType w:val="singleLevel"/>
    <w:tmpl w:val="D9BF8750"/>
    <w:lvl w:ilvl="0" w:tentative="0">
      <w:start w:val="1"/>
      <w:numFmt w:val="decimal"/>
      <w:lvlText w:val="%1."/>
      <w:lvlJc w:val="left"/>
      <w:pPr>
        <w:tabs>
          <w:tab w:val="left" w:pos="0"/>
        </w:tabs>
        <w:ind w:left="0" w:leftChars="0" w:firstLine="0" w:firstLineChars="0"/>
      </w:pPr>
      <w:rPr>
        <w:rFonts w:hint="default"/>
      </w:rPr>
    </w:lvl>
  </w:abstractNum>
  <w:abstractNum w:abstractNumId="16">
    <w:nsid w:val="E5FC6A18"/>
    <w:multiLevelType w:val="singleLevel"/>
    <w:tmpl w:val="E5FC6A18"/>
    <w:lvl w:ilvl="0" w:tentative="0">
      <w:start w:val="1"/>
      <w:numFmt w:val="decimal"/>
      <w:lvlText w:val="%1."/>
      <w:lvlJc w:val="left"/>
      <w:pPr>
        <w:tabs>
          <w:tab w:val="left" w:pos="0"/>
        </w:tabs>
        <w:ind w:left="0" w:leftChars="0" w:firstLine="0" w:firstLineChars="0"/>
      </w:pPr>
      <w:rPr>
        <w:rFonts w:hint="default"/>
      </w:rPr>
    </w:lvl>
  </w:abstractNum>
  <w:abstractNum w:abstractNumId="17">
    <w:nsid w:val="E7EE3499"/>
    <w:multiLevelType w:val="singleLevel"/>
    <w:tmpl w:val="E7EE3499"/>
    <w:lvl w:ilvl="0" w:tentative="0">
      <w:start w:val="1"/>
      <w:numFmt w:val="decimal"/>
      <w:lvlText w:val="%1."/>
      <w:lvlJc w:val="left"/>
      <w:pPr>
        <w:tabs>
          <w:tab w:val="left" w:pos="0"/>
        </w:tabs>
        <w:ind w:left="0" w:leftChars="0" w:firstLine="0" w:firstLineChars="0"/>
      </w:pPr>
      <w:rPr>
        <w:rFonts w:hint="default"/>
      </w:rPr>
    </w:lvl>
  </w:abstractNum>
  <w:abstractNum w:abstractNumId="18">
    <w:nsid w:val="F715D3AC"/>
    <w:multiLevelType w:val="singleLevel"/>
    <w:tmpl w:val="F715D3AC"/>
    <w:lvl w:ilvl="0" w:tentative="0">
      <w:start w:val="1"/>
      <w:numFmt w:val="decimal"/>
      <w:lvlText w:val="%1."/>
      <w:lvlJc w:val="left"/>
      <w:pPr>
        <w:tabs>
          <w:tab w:val="left" w:pos="0"/>
        </w:tabs>
        <w:ind w:left="0" w:leftChars="0" w:firstLine="0" w:firstLineChars="0"/>
      </w:pPr>
      <w:rPr>
        <w:rFonts w:hint="default"/>
      </w:rPr>
    </w:lvl>
  </w:abstractNum>
  <w:abstractNum w:abstractNumId="19">
    <w:nsid w:val="0106E026"/>
    <w:multiLevelType w:val="multilevel"/>
    <w:tmpl w:val="0106E026"/>
    <w:lvl w:ilvl="0" w:tentative="0">
      <w:start w:val="5"/>
      <w:numFmt w:val="decimal"/>
      <w:suff w:val="space"/>
      <w:lvlText w:val="第 %1 章"/>
      <w:lvlJc w:val="left"/>
      <w:pPr>
        <w:ind w:left="0" w:firstLine="0"/>
      </w:pPr>
      <w:rPr>
        <w:rFonts w:hint="default"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tentative="0">
      <w:start w:val="1"/>
      <w:numFmt w:val="decimal"/>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14:shadow w14:blurRad="0" w14:dist="0" w14:dir="0" w14:sx="0" w14:sy="0" w14:kx="0" w14:ky="0" w14:algn="none">
          <w14:srgbClr w14:val="000000"/>
        </w14:shadow>
      </w:rPr>
    </w:lvl>
    <w:lvl w:ilvl="2" w:tentative="0">
      <w:start w:val="1"/>
      <w:numFmt w:val="decimal"/>
      <w:pStyle w:val="3"/>
      <w:isLgl/>
      <w:suff w:val="space"/>
      <w:lvlText w:val="%1.%2.%3"/>
      <w:lvlJc w:val="left"/>
      <w:pPr>
        <w:tabs>
          <w:tab w:val="left" w:pos="0"/>
        </w:tabs>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pStyle w:val="4"/>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abstractNum>
  <w:abstractNum w:abstractNumId="20">
    <w:nsid w:val="0167EBC7"/>
    <w:multiLevelType w:val="singleLevel"/>
    <w:tmpl w:val="0167EBC7"/>
    <w:lvl w:ilvl="0" w:tentative="0">
      <w:start w:val="1"/>
      <w:numFmt w:val="decimal"/>
      <w:lvlText w:val="%1."/>
      <w:lvlJc w:val="left"/>
      <w:pPr>
        <w:tabs>
          <w:tab w:val="left" w:pos="0"/>
        </w:tabs>
        <w:ind w:left="0" w:leftChars="0" w:firstLine="0" w:firstLineChars="0"/>
      </w:pPr>
      <w:rPr>
        <w:rFonts w:hint="default"/>
      </w:rPr>
    </w:lvl>
  </w:abstractNum>
  <w:abstractNum w:abstractNumId="21">
    <w:nsid w:val="0C47BE96"/>
    <w:multiLevelType w:val="singleLevel"/>
    <w:tmpl w:val="0C47BE96"/>
    <w:lvl w:ilvl="0" w:tentative="0">
      <w:start w:val="1"/>
      <w:numFmt w:val="decimal"/>
      <w:lvlText w:val="%1."/>
      <w:lvlJc w:val="left"/>
      <w:pPr>
        <w:tabs>
          <w:tab w:val="left" w:pos="0"/>
        </w:tabs>
        <w:ind w:left="0" w:leftChars="0" w:firstLine="0" w:firstLineChars="0"/>
      </w:pPr>
      <w:rPr>
        <w:rFonts w:hint="default"/>
      </w:rPr>
    </w:lvl>
  </w:abstractNum>
  <w:abstractNum w:abstractNumId="22">
    <w:nsid w:val="0E8806C8"/>
    <w:multiLevelType w:val="singleLevel"/>
    <w:tmpl w:val="0E8806C8"/>
    <w:lvl w:ilvl="0" w:tentative="0">
      <w:start w:val="1"/>
      <w:numFmt w:val="decimal"/>
      <w:suff w:val="space"/>
      <w:lvlText w:val="%1."/>
      <w:lvlJc w:val="left"/>
    </w:lvl>
  </w:abstractNum>
  <w:abstractNum w:abstractNumId="23">
    <w:nsid w:val="0E887676"/>
    <w:multiLevelType w:val="singleLevel"/>
    <w:tmpl w:val="0E887676"/>
    <w:lvl w:ilvl="0" w:tentative="0">
      <w:start w:val="1"/>
      <w:numFmt w:val="decimal"/>
      <w:lvlText w:val="%1."/>
      <w:lvlJc w:val="left"/>
      <w:pPr>
        <w:tabs>
          <w:tab w:val="left" w:pos="0"/>
        </w:tabs>
        <w:ind w:left="0" w:leftChars="0" w:firstLine="0" w:firstLineChars="0"/>
      </w:pPr>
      <w:rPr>
        <w:rFonts w:hint="default"/>
      </w:rPr>
    </w:lvl>
  </w:abstractNum>
  <w:abstractNum w:abstractNumId="24">
    <w:nsid w:val="0E941F3B"/>
    <w:multiLevelType w:val="singleLevel"/>
    <w:tmpl w:val="0E941F3B"/>
    <w:lvl w:ilvl="0" w:tentative="0">
      <w:start w:val="1"/>
      <w:numFmt w:val="decimal"/>
      <w:lvlText w:val="%1."/>
      <w:lvlJc w:val="left"/>
      <w:pPr>
        <w:tabs>
          <w:tab w:val="left" w:pos="0"/>
        </w:tabs>
        <w:ind w:left="0" w:leftChars="0" w:firstLine="0" w:firstLineChars="0"/>
      </w:pPr>
      <w:rPr>
        <w:rFonts w:hint="default"/>
      </w:rPr>
    </w:lvl>
  </w:abstractNum>
  <w:abstractNum w:abstractNumId="25">
    <w:nsid w:val="0F868A27"/>
    <w:multiLevelType w:val="singleLevel"/>
    <w:tmpl w:val="0F868A27"/>
    <w:lvl w:ilvl="0" w:tentative="0">
      <w:start w:val="1"/>
      <w:numFmt w:val="decimal"/>
      <w:lvlText w:val="%1."/>
      <w:lvlJc w:val="left"/>
      <w:pPr>
        <w:tabs>
          <w:tab w:val="left" w:pos="0"/>
        </w:tabs>
        <w:ind w:left="0" w:leftChars="0" w:firstLine="0" w:firstLineChars="0"/>
      </w:pPr>
      <w:rPr>
        <w:rFonts w:hint="default"/>
      </w:rPr>
    </w:lvl>
  </w:abstractNum>
  <w:abstractNum w:abstractNumId="26">
    <w:nsid w:val="1139FFE8"/>
    <w:multiLevelType w:val="singleLevel"/>
    <w:tmpl w:val="1139FFE8"/>
    <w:lvl w:ilvl="0" w:tentative="0">
      <w:start w:val="1"/>
      <w:numFmt w:val="decimal"/>
      <w:suff w:val="space"/>
      <w:lvlText w:val="%1."/>
      <w:lvlJc w:val="left"/>
    </w:lvl>
  </w:abstractNum>
  <w:abstractNum w:abstractNumId="27">
    <w:nsid w:val="1952399B"/>
    <w:multiLevelType w:val="singleLevel"/>
    <w:tmpl w:val="1952399B"/>
    <w:lvl w:ilvl="0" w:tentative="0">
      <w:start w:val="1"/>
      <w:numFmt w:val="decimal"/>
      <w:lvlText w:val="%1."/>
      <w:lvlJc w:val="left"/>
      <w:pPr>
        <w:tabs>
          <w:tab w:val="left" w:pos="0"/>
        </w:tabs>
        <w:ind w:left="0" w:leftChars="0" w:firstLine="0" w:firstLineChars="0"/>
      </w:pPr>
      <w:rPr>
        <w:rFonts w:hint="default"/>
      </w:rPr>
    </w:lvl>
  </w:abstractNum>
  <w:abstractNum w:abstractNumId="28">
    <w:nsid w:val="1D58F729"/>
    <w:multiLevelType w:val="singleLevel"/>
    <w:tmpl w:val="1D58F729"/>
    <w:lvl w:ilvl="0" w:tentative="0">
      <w:start w:val="1"/>
      <w:numFmt w:val="decimal"/>
      <w:lvlText w:val="%1."/>
      <w:lvlJc w:val="left"/>
      <w:pPr>
        <w:tabs>
          <w:tab w:val="left" w:pos="0"/>
        </w:tabs>
        <w:ind w:left="0" w:leftChars="0" w:firstLine="0" w:firstLineChars="0"/>
      </w:pPr>
      <w:rPr>
        <w:rFonts w:hint="default"/>
      </w:rPr>
    </w:lvl>
  </w:abstractNum>
  <w:abstractNum w:abstractNumId="29">
    <w:nsid w:val="1FC6F1D8"/>
    <w:multiLevelType w:val="singleLevel"/>
    <w:tmpl w:val="1FC6F1D8"/>
    <w:lvl w:ilvl="0" w:tentative="0">
      <w:start w:val="1"/>
      <w:numFmt w:val="decimal"/>
      <w:lvlText w:val="%1."/>
      <w:lvlJc w:val="left"/>
      <w:pPr>
        <w:tabs>
          <w:tab w:val="left" w:pos="0"/>
        </w:tabs>
        <w:ind w:left="0" w:leftChars="0" w:firstLine="0" w:firstLineChars="0"/>
      </w:pPr>
      <w:rPr>
        <w:rFonts w:hint="default"/>
      </w:rPr>
    </w:lvl>
  </w:abstractNum>
  <w:abstractNum w:abstractNumId="30">
    <w:nsid w:val="2745400A"/>
    <w:multiLevelType w:val="singleLevel"/>
    <w:tmpl w:val="2745400A"/>
    <w:lvl w:ilvl="0" w:tentative="0">
      <w:start w:val="1"/>
      <w:numFmt w:val="decimal"/>
      <w:lvlText w:val="%1."/>
      <w:lvlJc w:val="left"/>
      <w:pPr>
        <w:tabs>
          <w:tab w:val="left" w:pos="0"/>
        </w:tabs>
        <w:ind w:left="0" w:leftChars="0" w:firstLine="0" w:firstLineChars="0"/>
      </w:pPr>
      <w:rPr>
        <w:rFonts w:hint="default"/>
      </w:rPr>
    </w:lvl>
  </w:abstractNum>
  <w:abstractNum w:abstractNumId="31">
    <w:nsid w:val="28AF75A7"/>
    <w:multiLevelType w:val="singleLevel"/>
    <w:tmpl w:val="28AF75A7"/>
    <w:lvl w:ilvl="0" w:tentative="0">
      <w:start w:val="1"/>
      <w:numFmt w:val="decimal"/>
      <w:lvlText w:val="%1."/>
      <w:lvlJc w:val="left"/>
      <w:pPr>
        <w:tabs>
          <w:tab w:val="left" w:pos="0"/>
        </w:tabs>
        <w:ind w:left="0" w:leftChars="0" w:firstLine="0" w:firstLineChars="0"/>
      </w:pPr>
      <w:rPr>
        <w:rFonts w:hint="default"/>
      </w:rPr>
    </w:lvl>
  </w:abstractNum>
  <w:abstractNum w:abstractNumId="32">
    <w:nsid w:val="2A8FE8A3"/>
    <w:multiLevelType w:val="singleLevel"/>
    <w:tmpl w:val="2A8FE8A3"/>
    <w:lvl w:ilvl="0" w:tentative="0">
      <w:start w:val="1"/>
      <w:numFmt w:val="decimal"/>
      <w:lvlText w:val="%1."/>
      <w:lvlJc w:val="left"/>
      <w:pPr>
        <w:tabs>
          <w:tab w:val="left" w:pos="0"/>
        </w:tabs>
        <w:ind w:left="0" w:leftChars="0" w:firstLine="0" w:firstLineChars="0"/>
      </w:pPr>
      <w:rPr>
        <w:rFonts w:hint="default"/>
      </w:rPr>
    </w:lvl>
  </w:abstractNum>
  <w:abstractNum w:abstractNumId="33">
    <w:nsid w:val="3B363D98"/>
    <w:multiLevelType w:val="multilevel"/>
    <w:tmpl w:val="3B363D98"/>
    <w:lvl w:ilvl="0" w:tentative="0">
      <w:start w:val="1"/>
      <w:numFmt w:val="decimal"/>
      <w:pStyle w:val="6"/>
      <w:suff w:val="space"/>
      <w:lvlText w:val="图%1."/>
      <w:lvlJc w:val="left"/>
      <w:pPr>
        <w:ind w:left="3539" w:hanging="42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3959" w:hanging="420"/>
      </w:pPr>
    </w:lvl>
    <w:lvl w:ilvl="2" w:tentative="0">
      <w:start w:val="1"/>
      <w:numFmt w:val="lowerRoman"/>
      <w:lvlText w:val="%3."/>
      <w:lvlJc w:val="right"/>
      <w:pPr>
        <w:ind w:left="4379" w:hanging="420"/>
      </w:pPr>
    </w:lvl>
    <w:lvl w:ilvl="3" w:tentative="0">
      <w:start w:val="1"/>
      <w:numFmt w:val="decimal"/>
      <w:lvlText w:val="%4."/>
      <w:lvlJc w:val="left"/>
      <w:pPr>
        <w:ind w:left="4799" w:hanging="420"/>
      </w:pPr>
    </w:lvl>
    <w:lvl w:ilvl="4" w:tentative="0">
      <w:start w:val="1"/>
      <w:numFmt w:val="lowerLetter"/>
      <w:lvlText w:val="%5)"/>
      <w:lvlJc w:val="left"/>
      <w:pPr>
        <w:ind w:left="5219" w:hanging="420"/>
      </w:pPr>
    </w:lvl>
    <w:lvl w:ilvl="5" w:tentative="0">
      <w:start w:val="1"/>
      <w:numFmt w:val="lowerRoman"/>
      <w:lvlText w:val="%6."/>
      <w:lvlJc w:val="right"/>
      <w:pPr>
        <w:ind w:left="5639" w:hanging="420"/>
      </w:pPr>
    </w:lvl>
    <w:lvl w:ilvl="6" w:tentative="0">
      <w:start w:val="1"/>
      <w:numFmt w:val="decimal"/>
      <w:lvlText w:val="%7."/>
      <w:lvlJc w:val="left"/>
      <w:pPr>
        <w:ind w:left="6059" w:hanging="420"/>
      </w:pPr>
    </w:lvl>
    <w:lvl w:ilvl="7" w:tentative="0">
      <w:start w:val="1"/>
      <w:numFmt w:val="lowerLetter"/>
      <w:lvlText w:val="%8)"/>
      <w:lvlJc w:val="left"/>
      <w:pPr>
        <w:ind w:left="6479" w:hanging="420"/>
      </w:pPr>
    </w:lvl>
    <w:lvl w:ilvl="8" w:tentative="0">
      <w:start w:val="1"/>
      <w:numFmt w:val="lowerRoman"/>
      <w:lvlText w:val="%9."/>
      <w:lvlJc w:val="right"/>
      <w:pPr>
        <w:ind w:left="6899" w:hanging="420"/>
      </w:pPr>
    </w:lvl>
  </w:abstractNum>
  <w:abstractNum w:abstractNumId="34">
    <w:nsid w:val="4A3B45F7"/>
    <w:multiLevelType w:val="singleLevel"/>
    <w:tmpl w:val="4A3B45F7"/>
    <w:lvl w:ilvl="0" w:tentative="0">
      <w:start w:val="1"/>
      <w:numFmt w:val="decimal"/>
      <w:lvlText w:val="%1."/>
      <w:lvlJc w:val="left"/>
      <w:pPr>
        <w:tabs>
          <w:tab w:val="left" w:pos="0"/>
        </w:tabs>
        <w:ind w:left="0" w:leftChars="0" w:firstLine="0" w:firstLineChars="0"/>
      </w:pPr>
      <w:rPr>
        <w:rFonts w:hint="default"/>
      </w:rPr>
    </w:lvl>
  </w:abstractNum>
  <w:abstractNum w:abstractNumId="35">
    <w:nsid w:val="4E0CF19B"/>
    <w:multiLevelType w:val="singleLevel"/>
    <w:tmpl w:val="4E0CF19B"/>
    <w:lvl w:ilvl="0" w:tentative="0">
      <w:start w:val="1"/>
      <w:numFmt w:val="decimal"/>
      <w:lvlText w:val="%1."/>
      <w:lvlJc w:val="left"/>
      <w:pPr>
        <w:tabs>
          <w:tab w:val="left" w:pos="0"/>
        </w:tabs>
        <w:ind w:left="0" w:leftChars="0" w:firstLine="0" w:firstLineChars="0"/>
      </w:pPr>
      <w:rPr>
        <w:rFonts w:hint="default"/>
      </w:rPr>
    </w:lvl>
  </w:abstractNum>
  <w:abstractNum w:abstractNumId="36">
    <w:nsid w:val="52803D17"/>
    <w:multiLevelType w:val="singleLevel"/>
    <w:tmpl w:val="52803D17"/>
    <w:lvl w:ilvl="0" w:tentative="0">
      <w:start w:val="1"/>
      <w:numFmt w:val="decimal"/>
      <w:lvlText w:val="%1."/>
      <w:lvlJc w:val="left"/>
      <w:pPr>
        <w:tabs>
          <w:tab w:val="left" w:pos="0"/>
        </w:tabs>
        <w:ind w:left="0" w:leftChars="0" w:firstLine="0" w:firstLineChars="0"/>
      </w:pPr>
      <w:rPr>
        <w:rFonts w:hint="default"/>
      </w:rPr>
    </w:lvl>
  </w:abstractNum>
  <w:abstractNum w:abstractNumId="37">
    <w:nsid w:val="56B93B26"/>
    <w:multiLevelType w:val="singleLevel"/>
    <w:tmpl w:val="56B93B26"/>
    <w:lvl w:ilvl="0" w:tentative="0">
      <w:start w:val="1"/>
      <w:numFmt w:val="decimal"/>
      <w:lvlText w:val="%1."/>
      <w:lvlJc w:val="left"/>
      <w:pPr>
        <w:tabs>
          <w:tab w:val="left" w:pos="0"/>
        </w:tabs>
        <w:ind w:left="0" w:leftChars="0" w:firstLine="0" w:firstLineChars="0"/>
      </w:pPr>
      <w:rPr>
        <w:rFonts w:hint="default"/>
      </w:rPr>
    </w:lvl>
  </w:abstractNum>
  <w:abstractNum w:abstractNumId="38">
    <w:nsid w:val="5CE5529D"/>
    <w:multiLevelType w:val="singleLevel"/>
    <w:tmpl w:val="5CE5529D"/>
    <w:lvl w:ilvl="0" w:tentative="0">
      <w:start w:val="1"/>
      <w:numFmt w:val="decimal"/>
      <w:lvlText w:val="%1."/>
      <w:lvlJc w:val="left"/>
      <w:pPr>
        <w:tabs>
          <w:tab w:val="left" w:pos="312"/>
        </w:tabs>
      </w:pPr>
    </w:lvl>
  </w:abstractNum>
  <w:abstractNum w:abstractNumId="39">
    <w:nsid w:val="5D706770"/>
    <w:multiLevelType w:val="multilevel"/>
    <w:tmpl w:val="5D706770"/>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40">
    <w:nsid w:val="621A481F"/>
    <w:multiLevelType w:val="multilevel"/>
    <w:tmpl w:val="621A481F"/>
    <w:lvl w:ilvl="0" w:tentative="0">
      <w:start w:val="1"/>
      <w:numFmt w:val="decimal"/>
      <w:lvlText w:val="（%1）"/>
      <w:lvlJc w:val="left"/>
      <w:pPr>
        <w:ind w:left="620" w:hanging="420"/>
      </w:pPr>
      <w:rPr>
        <w:rFonts w:hint="eastAsia" w:ascii="仿宋" w:hAnsi="仿宋" w:eastAsia="仿宋"/>
        <w:b w:val="0"/>
        <w:bCs w:val="0"/>
        <w:i w:val="0"/>
        <w:iCs w:val="0"/>
        <w:caps w:val="0"/>
        <w:smallCaps w:val="0"/>
        <w:strike w:val="0"/>
        <w:dstrike w:val="0"/>
        <w:vanish w:val="0"/>
        <w:color w:val="000000"/>
        <w:spacing w:val="0"/>
        <w:position w:val="0"/>
        <w:sz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1">
    <w:nsid w:val="64C30143"/>
    <w:multiLevelType w:val="singleLevel"/>
    <w:tmpl w:val="64C30143"/>
    <w:lvl w:ilvl="0" w:tentative="0">
      <w:start w:val="1"/>
      <w:numFmt w:val="decimal"/>
      <w:lvlText w:val="%1."/>
      <w:lvlJc w:val="left"/>
      <w:pPr>
        <w:tabs>
          <w:tab w:val="left" w:pos="0"/>
        </w:tabs>
        <w:ind w:left="0" w:leftChars="0" w:firstLine="0" w:firstLineChars="0"/>
      </w:pPr>
      <w:rPr>
        <w:rFonts w:hint="default"/>
      </w:rPr>
    </w:lvl>
  </w:abstractNum>
  <w:abstractNum w:abstractNumId="42">
    <w:nsid w:val="71D97AF3"/>
    <w:multiLevelType w:val="singleLevel"/>
    <w:tmpl w:val="71D97AF3"/>
    <w:lvl w:ilvl="0" w:tentative="0">
      <w:start w:val="1"/>
      <w:numFmt w:val="decimal"/>
      <w:lvlText w:val="%1."/>
      <w:lvlJc w:val="left"/>
      <w:pPr>
        <w:tabs>
          <w:tab w:val="left" w:pos="0"/>
        </w:tabs>
        <w:ind w:left="0" w:leftChars="0" w:firstLine="0" w:firstLineChars="0"/>
      </w:pPr>
      <w:rPr>
        <w:rFonts w:hint="default"/>
      </w:rPr>
    </w:lvl>
  </w:abstractNum>
  <w:abstractNum w:abstractNumId="43">
    <w:nsid w:val="748A9E19"/>
    <w:multiLevelType w:val="singleLevel"/>
    <w:tmpl w:val="748A9E19"/>
    <w:lvl w:ilvl="0" w:tentative="0">
      <w:start w:val="1"/>
      <w:numFmt w:val="decimal"/>
      <w:lvlText w:val="%1."/>
      <w:lvlJc w:val="left"/>
      <w:pPr>
        <w:tabs>
          <w:tab w:val="left" w:pos="0"/>
        </w:tabs>
        <w:ind w:left="0" w:leftChars="0" w:firstLine="0" w:firstLineChars="0"/>
      </w:pPr>
      <w:rPr>
        <w:rFonts w:hint="default"/>
      </w:rPr>
    </w:lvl>
  </w:abstractNum>
  <w:abstractNum w:abstractNumId="44">
    <w:nsid w:val="771B32E9"/>
    <w:multiLevelType w:val="singleLevel"/>
    <w:tmpl w:val="771B32E9"/>
    <w:lvl w:ilvl="0" w:tentative="0">
      <w:start w:val="1"/>
      <w:numFmt w:val="decimal"/>
      <w:lvlText w:val="%1."/>
      <w:lvlJc w:val="left"/>
      <w:pPr>
        <w:tabs>
          <w:tab w:val="left" w:pos="0"/>
        </w:tabs>
        <w:ind w:left="0" w:leftChars="0" w:firstLine="0" w:firstLineChars="0"/>
      </w:pPr>
      <w:rPr>
        <w:rFonts w:hint="default"/>
      </w:rPr>
    </w:lvl>
  </w:abstractNum>
  <w:num w:numId="1">
    <w:abstractNumId w:val="14"/>
  </w:num>
  <w:num w:numId="2">
    <w:abstractNumId w:val="19"/>
  </w:num>
  <w:num w:numId="3">
    <w:abstractNumId w:val="33"/>
  </w:num>
  <w:num w:numId="4">
    <w:abstractNumId w:val="12"/>
  </w:num>
  <w:num w:numId="5">
    <w:abstractNumId w:val="11"/>
  </w:num>
  <w:num w:numId="6">
    <w:abstractNumId w:val="39"/>
  </w:num>
  <w:num w:numId="7">
    <w:abstractNumId w:val="40"/>
    <w:lvlOverride w:ilvl="0">
      <w:startOverride w:val="1"/>
    </w:lvlOverride>
  </w:num>
  <w:num w:numId="8">
    <w:abstractNumId w:val="0"/>
  </w:num>
  <w:num w:numId="9">
    <w:abstractNumId w:val="2"/>
  </w:num>
  <w:num w:numId="10">
    <w:abstractNumId w:val="10"/>
  </w:num>
  <w:num w:numId="11">
    <w:abstractNumId w:val="3"/>
  </w:num>
  <w:num w:numId="12">
    <w:abstractNumId w:val="38"/>
  </w:num>
  <w:num w:numId="13">
    <w:abstractNumId w:val="24"/>
  </w:num>
  <w:num w:numId="14">
    <w:abstractNumId w:val="37"/>
  </w:num>
  <w:num w:numId="15">
    <w:abstractNumId w:val="7"/>
  </w:num>
  <w:num w:numId="16">
    <w:abstractNumId w:val="16"/>
  </w:num>
  <w:num w:numId="17">
    <w:abstractNumId w:val="23"/>
  </w:num>
  <w:num w:numId="18">
    <w:abstractNumId w:val="6"/>
  </w:num>
  <w:num w:numId="19">
    <w:abstractNumId w:val="41"/>
  </w:num>
  <w:num w:numId="20">
    <w:abstractNumId w:val="31"/>
  </w:num>
  <w:num w:numId="21">
    <w:abstractNumId w:val="43"/>
  </w:num>
  <w:num w:numId="22">
    <w:abstractNumId w:val="9"/>
  </w:num>
  <w:num w:numId="23">
    <w:abstractNumId w:val="4"/>
  </w:num>
  <w:num w:numId="24">
    <w:abstractNumId w:val="27"/>
  </w:num>
  <w:num w:numId="25">
    <w:abstractNumId w:val="1"/>
  </w:num>
  <w:num w:numId="26">
    <w:abstractNumId w:val="20"/>
  </w:num>
  <w:num w:numId="27">
    <w:abstractNumId w:val="21"/>
  </w:num>
  <w:num w:numId="28">
    <w:abstractNumId w:val="18"/>
  </w:num>
  <w:num w:numId="29">
    <w:abstractNumId w:val="30"/>
  </w:num>
  <w:num w:numId="30">
    <w:abstractNumId w:val="34"/>
  </w:num>
  <w:num w:numId="31">
    <w:abstractNumId w:val="35"/>
  </w:num>
  <w:num w:numId="32">
    <w:abstractNumId w:val="29"/>
  </w:num>
  <w:num w:numId="33">
    <w:abstractNumId w:val="28"/>
  </w:num>
  <w:num w:numId="34">
    <w:abstractNumId w:val="42"/>
  </w:num>
  <w:num w:numId="35">
    <w:abstractNumId w:val="44"/>
  </w:num>
  <w:num w:numId="36">
    <w:abstractNumId w:val="36"/>
  </w:num>
  <w:num w:numId="37">
    <w:abstractNumId w:val="17"/>
  </w:num>
  <w:num w:numId="38">
    <w:abstractNumId w:val="13"/>
  </w:num>
  <w:num w:numId="39">
    <w:abstractNumId w:val="5"/>
  </w:num>
  <w:num w:numId="40">
    <w:abstractNumId w:val="15"/>
  </w:num>
  <w:num w:numId="41">
    <w:abstractNumId w:val="32"/>
  </w:num>
  <w:num w:numId="42">
    <w:abstractNumId w:val="25"/>
  </w:num>
  <w:num w:numId="43">
    <w:abstractNumId w:val="26"/>
  </w:num>
  <w:num w:numId="44">
    <w:abstractNumId w:val="8"/>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A22FF"/>
    <w:rsid w:val="09734192"/>
    <w:rsid w:val="0F097623"/>
    <w:rsid w:val="22453681"/>
    <w:rsid w:val="24F33FB4"/>
    <w:rsid w:val="408410F8"/>
    <w:rsid w:val="53D343E7"/>
    <w:rsid w:val="543C3DD0"/>
    <w:rsid w:val="62D022B3"/>
    <w:rsid w:val="69731BEA"/>
    <w:rsid w:val="7370335C"/>
    <w:rsid w:val="7BAC6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2"/>
    <w:basedOn w:val="1"/>
    <w:next w:val="1"/>
    <w:unhideWhenUsed/>
    <w:qFormat/>
    <w:uiPriority w:val="0"/>
    <w:pPr>
      <w:keepNext/>
      <w:keepLines/>
      <w:numPr>
        <w:ilvl w:val="1"/>
        <w:numId w:val="1"/>
      </w:numPr>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qFormat/>
    <w:uiPriority w:val="9"/>
    <w:pPr>
      <w:keepNext/>
      <w:keepLines/>
      <w:numPr>
        <w:ilvl w:val="2"/>
        <w:numId w:val="2"/>
      </w:numPr>
      <w:spacing w:before="326" w:beforeLines="100" w:after="163" w:afterLines="50"/>
      <w:ind w:firstLineChars="0"/>
      <w:jc w:val="left"/>
      <w:outlineLvl w:val="2"/>
    </w:pPr>
    <w:rPr>
      <w:rFonts w:eastAsia="黑体" w:cs="Times New Roman"/>
      <w:bCs/>
      <w:sz w:val="32"/>
      <w:szCs w:val="32"/>
    </w:rPr>
  </w:style>
  <w:style w:type="paragraph" w:styleId="4">
    <w:name w:val="heading 4"/>
    <w:basedOn w:val="1"/>
    <w:next w:val="5"/>
    <w:qFormat/>
    <w:uiPriority w:val="0"/>
    <w:pPr>
      <w:keepNext/>
      <w:keepLines/>
      <w:numPr>
        <w:ilvl w:val="3"/>
        <w:numId w:val="2"/>
      </w:numPr>
      <w:spacing w:beforeLines="50" w:afterLines="50"/>
      <w:ind w:firstLineChars="0"/>
      <w:jc w:val="left"/>
      <w:outlineLvl w:val="3"/>
    </w:pPr>
    <w:rPr>
      <w:rFonts w:eastAsia="黑体" w:cs="Times New Roman"/>
      <w:bCs/>
      <w:sz w:val="30"/>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next w:val="1"/>
    <w:qFormat/>
    <w:uiPriority w:val="0"/>
    <w:pPr>
      <w:widowControl/>
      <w:spacing w:line="360" w:lineRule="auto"/>
      <w:ind w:firstLine="420"/>
      <w:jc w:val="left"/>
    </w:pPr>
    <w:rPr>
      <w:rFonts w:ascii="宋体"/>
      <w:kern w:val="0"/>
      <w:szCs w:val="20"/>
    </w:rPr>
  </w:style>
  <w:style w:type="paragraph" w:styleId="6">
    <w:name w:val="caption"/>
    <w:basedOn w:val="1"/>
    <w:next w:val="1"/>
    <w:unhideWhenUsed/>
    <w:qFormat/>
    <w:uiPriority w:val="0"/>
    <w:pPr>
      <w:numPr>
        <w:ilvl w:val="0"/>
        <w:numId w:val="3"/>
      </w:numPr>
      <w:ind w:firstLine="0" w:firstLineChars="0"/>
      <w:jc w:val="center"/>
    </w:pPr>
    <w:rPr>
      <w:rFonts w:ascii="Arial Unicode MS" w:hAnsi="Arial Unicode MS"/>
      <w:sz w:val="21"/>
    </w:rPr>
  </w:style>
  <w:style w:type="paragraph" w:styleId="7">
    <w:name w:val="Body Text"/>
    <w:basedOn w:val="1"/>
    <w:next w:val="1"/>
    <w:qFormat/>
    <w:uiPriority w:val="0"/>
    <w:pPr>
      <w:spacing w:after="120" w:afterLines="0" w:afterAutospacing="0"/>
    </w:pPr>
  </w:style>
  <w:style w:type="paragraph" w:styleId="8">
    <w:name w:val="footer"/>
    <w:basedOn w:val="1"/>
    <w:qFormat/>
    <w:uiPriority w:val="99"/>
    <w:pPr>
      <w:tabs>
        <w:tab w:val="center" w:pos="4153"/>
        <w:tab w:val="right" w:pos="8306"/>
      </w:tabs>
      <w:snapToGrid w:val="0"/>
      <w:spacing w:line="240" w:lineRule="auto"/>
      <w:jc w:val="left"/>
    </w:pPr>
    <w:rPr>
      <w:rFonts w:ascii="Times New Roman" w:hAnsi="Times New Roman"/>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uiPriority w:val="0"/>
    <w:pPr>
      <w:spacing w:before="0" w:beforeAutospacing="1" w:after="0" w:afterAutospacing="1"/>
      <w:ind w:left="0" w:right="0"/>
      <w:jc w:val="left"/>
    </w:pPr>
    <w:rPr>
      <w:kern w:val="0"/>
      <w:sz w:val="24"/>
      <w:lang w:val="en-US" w:eastAsia="zh-CN" w:bidi="ar"/>
    </w:rPr>
  </w:style>
  <w:style w:type="character" w:styleId="13">
    <w:name w:val="page number"/>
    <w:qFormat/>
    <w:uiPriority w:val="0"/>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paragraph" w:styleId="15">
    <w:name w:val="List Paragraph"/>
    <w:basedOn w:val="1"/>
    <w:qFormat/>
    <w:uiPriority w:val="34"/>
    <w:pPr>
      <w:ind w:firstLine="420"/>
    </w:pPr>
  </w:style>
  <w:style w:type="paragraph" w:customStyle="1" w:styleId="16">
    <w:name w:val="正文（缩进）"/>
    <w:basedOn w:val="1"/>
    <w:qFormat/>
    <w:uiPriority w:val="0"/>
    <w:pPr>
      <w:spacing w:beforeLines="50" w:afterLines="50"/>
      <w:ind w:firstLine="480" w:firstLineChars="200"/>
    </w:pPr>
    <w:rPr>
      <w:szCs w:val="24"/>
    </w:rPr>
  </w:style>
  <w:style w:type="paragraph" w:customStyle="1" w:styleId="17">
    <w:name w:val="正文1"/>
    <w:basedOn w:val="1"/>
    <w:qFormat/>
    <w:uiPriority w:val="0"/>
    <w:pPr>
      <w:widowControl/>
      <w:spacing w:line="240" w:lineRule="auto"/>
    </w:pPr>
    <w:rPr>
      <w:rFonts w:cs="Calibri"/>
      <w:sz w:val="21"/>
      <w:szCs w:val="21"/>
    </w:rPr>
  </w:style>
  <w:style w:type="paragraph" w:customStyle="1" w:styleId="18">
    <w:name w:val="正文内容"/>
    <w:basedOn w:val="1"/>
    <w:qFormat/>
    <w:uiPriority w:val="0"/>
    <w:pPr>
      <w:ind w:firstLine="480"/>
    </w:pPr>
    <w:rPr>
      <w:rFonts w:cstheme="minorBidi"/>
      <w:szCs w:val="24"/>
    </w:rPr>
  </w:style>
  <w:style w:type="paragraph" w:customStyle="1" w:styleId="19">
    <w:name w:val="my正文"/>
    <w:basedOn w:val="1"/>
    <w:qFormat/>
    <w:uiPriority w:val="0"/>
    <w:pPr>
      <w:ind w:firstLine="480" w:firstLineChars="200"/>
    </w:pPr>
    <w:rPr>
      <w:kern w:val="0"/>
    </w:rPr>
  </w:style>
  <w:style w:type="paragraph" w:customStyle="1" w:styleId="20">
    <w:name w:val="AAA"/>
    <w:basedOn w:val="1"/>
    <w:qFormat/>
    <w:locked/>
    <w:uiPriority w:val="0"/>
    <w:pPr>
      <w:spacing w:line="360" w:lineRule="auto"/>
      <w:ind w:firstLine="200" w:firstLineChars="200"/>
    </w:pPr>
    <w:rPr>
      <w:rFonts w:ascii="宋体" w:hAnsi="宋体"/>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84</Pages>
  <Words>5762</Words>
  <Characters>6289</Characters>
  <Lines>0</Lines>
  <Paragraphs>0</Paragraphs>
  <TotalTime>1</TotalTime>
  <ScaleCrop>false</ScaleCrop>
  <LinksUpToDate>false</LinksUpToDate>
  <CharactersWithSpaces>6318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2025-07-25T02:14:00Z</dcterms:created>
  <dc:creator>Administrator</dc:creator>
  <cp:lastModifiedBy></cp:lastModifiedBy>
  <dcterms:modified xsi:type="dcterms:W3CDTF">2025-07-25T07:15:05Z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eyJoZGlkIjoiMjRhNGI2Y2NhMzExMjg0YWRjNGMyM2I4OWRjZmNhMDEiLCJ1c2VySWQiOiIzNDA5NzI4NjYifQ==</vt:lpwstr>
  </property>
  <property fmtid="{D5CDD505-2E9C-101B-9397-08002B2CF9AE}" pid="4" name="ICV">
    <vt:lpwstr>9AC69D071CE04FC583F3BD0A1C4DA8EE_12</vt:lpwstr>
  </property>
</Properties>
</file>