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定安县公安局视频监控平台升级扩容建设项目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定安县公安局</w:t>
      </w:r>
      <w:r>
        <w:rPr>
          <w:rFonts w:ascii="仿宋_GB2312" w:hAnsi="仿宋_GB2312" w:cs="仿宋_GB2312" w:eastAsia="仿宋_GB2312"/>
        </w:rPr>
        <w:t xml:space="preserve"> 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定安县公安局视频监控平台升级扩容建设项目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定安县公安局视频监控平台升级扩容建设项目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3,993,900.00元</w:t>
      </w:r>
      <w:r>
        <w:rPr>
          <w:rFonts w:ascii="仿宋_GB2312" w:hAnsi="仿宋_GB2312" w:cs="仿宋_GB2312" w:eastAsia="仿宋_GB2312"/>
        </w:rPr>
        <w:t>叁佰玖拾玖万叁仟玖佰元整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签订合同后，3个月内完成设备安装、调试、交付等工作。</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1、资格审查：参加政府采购活动前三年内（成立不足三年的从成立之日起算），在经营活动无环保类行政处罚记录。【提供声明书加盖公章，格式自拟】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定安县公安局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定安县定城镇环城南二环路定安县公安局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0898-63803639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采购包1：3,993,900.00元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预算金额为47932.90元，在此预算基础上给予8折优惠后收取优惠后（即38346.32元（大写：人民币叁万捌仟叁佰肆拾陆元叁角贰分）计取本项目招标代理服务费，由中标（成交）供应商向采购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地址：海南省海口市美兰区大英山东一路8号国瑞城名仕苑4号楼2单元2层201房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本项目拟采购的设备：</w:t>
      </w:r>
    </w:p>
    <w:p>
      <w:pPr>
        <w:pStyle w:val="null3"/>
        <w:jc w:val="left"/>
      </w:pPr>
      <w:r>
        <w:rPr>
          <w:rFonts w:ascii="仿宋_GB2312" w:hAnsi="仿宋_GB2312" w:cs="仿宋_GB2312" w:eastAsia="仿宋_GB2312"/>
        </w:rPr>
        <w:t>板块1：视频联网共享平台（包含的设备有：视频综合应用平台一体机、国标对接网关平台一体机、大数据应用平台一体机、解析应用平台一体机、智能运维管理平台一体机）</w:t>
      </w:r>
    </w:p>
    <w:p>
      <w:pPr>
        <w:pStyle w:val="null3"/>
        <w:jc w:val="left"/>
      </w:pPr>
      <w:r>
        <w:rPr>
          <w:rFonts w:ascii="仿宋_GB2312" w:hAnsi="仿宋_GB2312" w:cs="仿宋_GB2312" w:eastAsia="仿宋_GB2312"/>
        </w:rPr>
        <w:t>板块2：解码上墙系统（包含的设备有：视综平台一体机、千兆业务接入交换机、万兆接入交换机）</w:t>
      </w:r>
    </w:p>
    <w:p>
      <w:pPr>
        <w:pStyle w:val="null3"/>
        <w:jc w:val="left"/>
      </w:pPr>
      <w:r>
        <w:rPr>
          <w:rFonts w:ascii="仿宋_GB2312" w:hAnsi="仿宋_GB2312" w:cs="仿宋_GB2312" w:eastAsia="仿宋_GB2312"/>
        </w:rPr>
        <w:t>板块3：视频云存储（包含的设备有：云存储数据存储节点、云计算数据库服务一体机、四口万兆网卡）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3,993,900.00</w:t>
      </w:r>
    </w:p>
    <w:p>
      <w:pPr>
        <w:pStyle w:val="null3"/>
        <w:jc w:val="left"/>
      </w:pPr>
      <w:r>
        <w:rPr>
          <w:rFonts w:ascii="仿宋_GB2312" w:hAnsi="仿宋_GB2312" w:cs="仿宋_GB2312" w:eastAsia="仿宋_GB2312"/>
        </w:rPr>
        <w:t>采购包最高限价（元）: 3,993,900.00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A02010199-其他计算机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1,913,900.00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A02010199-其他计算机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35,398.23</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A02010199-其他计算机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2,044,601.77</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板块1：视频联网共享平台（包含的设备有：视频综合应用平台一体机、国标对接网关平台一体机、大数据应用平台一体机、解析应用平台一体机、智能运维管理平台一体机）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1,913,900.00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报价说明：因前期预算系统设定问题，报价分为三个板块，投标人报价不得超过各板块的最高限价，且需在报价明细表中详细列明各设备单价，具体设备数量以采购需求附件为准。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板块2：解码上墙系统（包含的设备有：视综平台一体机、千兆业务接入交换机、万兆接入交换机）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35,398.23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报价说明：因前期预算系统设定问题，报价分为三个板块，投标人报价不得超过各板块的最高限价，且需在报价明细表中详细列明各设备单价，具体设备数量以采购需求附件为准。</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板块3：视频云存储（包含的设备有：云存储数据存储节点、云计算数据库服务一体机、四口万兆网卡）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2,044,601.77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报价说明：因前期预算系统设定问题，报价分为三个板块，投标人报价不得超过各板块的最高限价，且需在报价明细表中详细列明各设备单价，具体设备数量以采购需求附件为准。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标的名称：A02010199-其他计算机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技术参数详见采购需求附件</w:t>
            </w:r>
          </w:p>
        </w:tc>
      </w:tr>
    </w:tbl>
    <w:p>
      <w:pPr>
        <w:pStyle w:val="null3"/>
        <w:jc w:val="left"/>
      </w:pPr>
      <w:r>
        <w:rPr>
          <w:rFonts w:ascii="仿宋_GB2312" w:hAnsi="仿宋_GB2312" w:cs="仿宋_GB2312" w:eastAsia="仿宋_GB2312"/>
        </w:rPr>
        <w:t>标的名称：A02010199-其他计算机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技术参数详见采购需求附件</w:t>
            </w:r>
          </w:p>
        </w:tc>
      </w:tr>
    </w:tbl>
    <w:p>
      <w:pPr>
        <w:pStyle w:val="null3"/>
        <w:jc w:val="left"/>
      </w:pPr>
      <w:r>
        <w:rPr>
          <w:rFonts w:ascii="仿宋_GB2312" w:hAnsi="仿宋_GB2312" w:cs="仿宋_GB2312" w:eastAsia="仿宋_GB2312"/>
        </w:rPr>
        <w:t>标的名称：A02010199-其他计算机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合同履行期限（交付期）：签订合同后，</w:t>
            </w:r>
            <w:r>
              <w:rPr>
                <w:rFonts w:ascii="仿宋_GB2312" w:hAnsi="仿宋_GB2312" w:cs="仿宋_GB2312" w:eastAsia="仿宋_GB2312"/>
                <w:sz w:val="32"/>
              </w:rPr>
              <w:t>3</w:t>
            </w:r>
            <w:r>
              <w:rPr>
                <w:rFonts w:ascii="仿宋_GB2312" w:hAnsi="仿宋_GB2312" w:cs="仿宋_GB2312" w:eastAsia="仿宋_GB2312"/>
                <w:sz w:val="32"/>
              </w:rPr>
              <w:t>个月内完成</w:t>
            </w:r>
            <w:r>
              <w:rPr>
                <w:rFonts w:ascii="仿宋_GB2312" w:hAnsi="仿宋_GB2312" w:cs="仿宋_GB2312" w:eastAsia="仿宋_GB2312"/>
                <w:sz w:val="32"/>
              </w:rPr>
              <w:t>设备</w:t>
            </w:r>
            <w:r>
              <w:rPr>
                <w:rFonts w:ascii="仿宋_GB2312" w:hAnsi="仿宋_GB2312" w:cs="仿宋_GB2312" w:eastAsia="仿宋_GB2312"/>
                <w:sz w:val="32"/>
              </w:rPr>
              <w:t>安装、调试、交付等工作。</w:t>
            </w:r>
          </w:p>
          <w:p>
            <w:pPr>
              <w:pStyle w:val="null3"/>
              <w:ind w:firstLine="640"/>
              <w:jc w:val="left"/>
            </w:pPr>
            <w:r>
              <w:rPr>
                <w:rFonts w:ascii="仿宋_GB2312" w:hAnsi="仿宋_GB2312" w:cs="仿宋_GB2312" w:eastAsia="仿宋_GB2312"/>
                <w:sz w:val="32"/>
              </w:rPr>
              <w:t>2、交付地点：定安县公安局</w:t>
            </w:r>
          </w:p>
          <w:p>
            <w:pPr>
              <w:pStyle w:val="null3"/>
              <w:ind w:firstLine="640"/>
              <w:jc w:val="left"/>
            </w:pPr>
            <w:r>
              <w:rPr>
                <w:rFonts w:ascii="仿宋_GB2312" w:hAnsi="仿宋_GB2312" w:cs="仿宋_GB2312" w:eastAsia="仿宋_GB2312"/>
                <w:sz w:val="32"/>
              </w:rPr>
              <w:t>3、质保期：3</w:t>
            </w:r>
            <w:r>
              <w:rPr>
                <w:rFonts w:ascii="仿宋_GB2312" w:hAnsi="仿宋_GB2312" w:cs="仿宋_GB2312" w:eastAsia="仿宋_GB2312"/>
                <w:sz w:val="32"/>
              </w:rPr>
              <w:t>年设备</w:t>
            </w:r>
            <w:r>
              <w:rPr>
                <w:rFonts w:ascii="仿宋_GB2312" w:hAnsi="仿宋_GB2312" w:cs="仿宋_GB2312" w:eastAsia="仿宋_GB2312"/>
                <w:sz w:val="32"/>
              </w:rPr>
              <w:t>原厂质保</w:t>
            </w:r>
          </w:p>
          <w:p>
            <w:pPr>
              <w:pStyle w:val="null3"/>
              <w:ind w:firstLine="640"/>
              <w:jc w:val="left"/>
            </w:pPr>
            <w:r>
              <w:rPr>
                <w:rFonts w:ascii="仿宋_GB2312" w:hAnsi="仿宋_GB2312" w:cs="仿宋_GB2312" w:eastAsia="仿宋_GB2312"/>
                <w:sz w:val="32"/>
              </w:rPr>
              <w:t>4、付款方式：</w:t>
            </w:r>
          </w:p>
          <w:p>
            <w:pPr>
              <w:pStyle w:val="null3"/>
              <w:ind w:firstLine="1280"/>
              <w:jc w:val="left"/>
            </w:pPr>
            <w:r>
              <w:rPr>
                <w:rFonts w:ascii="仿宋_GB2312" w:hAnsi="仿宋_GB2312" w:cs="仿宋_GB2312" w:eastAsia="仿宋_GB2312"/>
                <w:sz w:val="32"/>
              </w:rPr>
              <w:t>4.1.合同签订后5个工作日内由中标人提供合同总价款30%正规的全额税务发票，采购人在收到发票后在合理期限内向中标人支付合同总价款30%的预付款。</w:t>
            </w:r>
          </w:p>
          <w:p>
            <w:pPr>
              <w:pStyle w:val="null3"/>
              <w:ind w:firstLine="1280"/>
              <w:jc w:val="left"/>
            </w:pPr>
            <w:r>
              <w:rPr>
                <w:rFonts w:ascii="仿宋_GB2312" w:hAnsi="仿宋_GB2312" w:cs="仿宋_GB2312" w:eastAsia="仿宋_GB2312"/>
                <w:sz w:val="32"/>
              </w:rPr>
              <w:t>4.2.设备到货且中标人提供合同总价款50%正规的全额税务发票，采购人在收到发票后在合理期限内向中标人支付合同总价款50%的货款；设备通过正式验收合格后，中标人向采购人提交合同总价款20%正规的全额税务发票、设备使用说明书、维修手册、合格证、保修单和安装验收报告等全部材料，采购人在收到发票后在合理期限内向中标人支付合同总价款20%的尾款。</w:t>
            </w:r>
          </w:p>
          <w:p>
            <w:pPr>
              <w:pStyle w:val="null3"/>
              <w:ind w:firstLine="1280"/>
              <w:jc w:val="left"/>
            </w:pPr>
            <w:r>
              <w:rPr>
                <w:rFonts w:ascii="仿宋_GB2312" w:hAnsi="仿宋_GB2312" w:cs="仿宋_GB2312" w:eastAsia="仿宋_GB2312"/>
                <w:sz w:val="32"/>
              </w:rPr>
              <w:t>4.3.见票付款，中标人应于付款前，按照采购人要求，提供正规的税务发票，采购人收到发票后支付相应款项。中标人未提供发票的，采购人有权暂时不予支付款项，且无需承担相应的违约责任。</w:t>
            </w:r>
          </w:p>
          <w:p>
            <w:pPr>
              <w:pStyle w:val="null3"/>
              <w:ind w:firstLine="960"/>
              <w:jc w:val="left"/>
            </w:pPr>
            <w:r>
              <w:rPr>
                <w:rFonts w:ascii="仿宋_GB2312" w:hAnsi="仿宋_GB2312" w:cs="仿宋_GB2312" w:eastAsia="仿宋_GB2312"/>
                <w:sz w:val="32"/>
              </w:rPr>
              <w:t>5、报价包括设备费用、安装调试费用、售后服务费用以及安装维护期间产生的各类差旅费用等。</w:t>
            </w:r>
          </w:p>
          <w:p>
            <w:pPr>
              <w:pStyle w:val="null3"/>
              <w:ind w:firstLine="960"/>
              <w:jc w:val="left"/>
            </w:pPr>
            <w:r>
              <w:rPr>
                <w:rFonts w:ascii="仿宋_GB2312" w:hAnsi="仿宋_GB2312" w:cs="仿宋_GB2312" w:eastAsia="仿宋_GB2312"/>
                <w:sz w:val="32"/>
              </w:rPr>
              <w:t>6、培训要求：</w:t>
            </w:r>
          </w:p>
          <w:p>
            <w:pPr>
              <w:pStyle w:val="null3"/>
              <w:ind w:firstLine="960"/>
              <w:jc w:val="left"/>
            </w:pPr>
            <w:r>
              <w:rPr>
                <w:rFonts w:ascii="仿宋_GB2312" w:hAnsi="仿宋_GB2312" w:cs="仿宋_GB2312" w:eastAsia="仿宋_GB2312"/>
                <w:sz w:val="32"/>
              </w:rPr>
              <w:t>（</w:t>
            </w:r>
            <w:r>
              <w:rPr>
                <w:rFonts w:ascii="仿宋_GB2312" w:hAnsi="仿宋_GB2312" w:cs="仿宋_GB2312" w:eastAsia="仿宋_GB2312"/>
                <w:sz w:val="32"/>
              </w:rPr>
              <w:t>1）投标人应采用集中培训、专项指导等方式，为用户免费培训有关技术人员，培训次数不少于 5次，培训效果达到相关人员能掌握使用、维护、管理、故障处理等目的。</w:t>
            </w:r>
          </w:p>
          <w:p>
            <w:pPr>
              <w:pStyle w:val="null3"/>
              <w:ind w:firstLine="960"/>
              <w:jc w:val="left"/>
            </w:pPr>
            <w:r>
              <w:rPr>
                <w:rFonts w:ascii="仿宋_GB2312" w:hAnsi="仿宋_GB2312" w:cs="仿宋_GB2312" w:eastAsia="仿宋_GB2312"/>
                <w:sz w:val="32"/>
              </w:rPr>
              <w:t>（</w:t>
            </w:r>
            <w:r>
              <w:rPr>
                <w:rFonts w:ascii="仿宋_GB2312" w:hAnsi="仿宋_GB2312" w:cs="仿宋_GB2312" w:eastAsia="仿宋_GB2312"/>
                <w:sz w:val="32"/>
              </w:rPr>
              <w:t>2）培训费包含在投标人的投标报价中。</w:t>
            </w:r>
          </w:p>
          <w:p>
            <w:pPr>
              <w:pStyle w:val="null3"/>
              <w:ind w:firstLine="960"/>
              <w:jc w:val="left"/>
            </w:pPr>
            <w:r>
              <w:rPr>
                <w:rFonts w:ascii="仿宋_GB2312" w:hAnsi="仿宋_GB2312" w:cs="仿宋_GB2312" w:eastAsia="仿宋_GB2312"/>
                <w:sz w:val="32"/>
              </w:rPr>
              <w:t>7、售后服务：</w:t>
            </w:r>
          </w:p>
          <w:p>
            <w:pPr>
              <w:pStyle w:val="null3"/>
              <w:ind w:firstLine="1280"/>
              <w:jc w:val="left"/>
            </w:pPr>
            <w:r>
              <w:rPr>
                <w:rFonts w:ascii="仿宋_GB2312" w:hAnsi="仿宋_GB2312" w:cs="仿宋_GB2312" w:eastAsia="仿宋_GB2312"/>
                <w:sz w:val="32"/>
              </w:rPr>
              <w:t>7.1、响应时间：接到报障电话 1 小时内响应，24 小时内派工程技术人员上门维修且处理完毕。中标单位应设立专门的售后服务热线，并配备足够的技术人员，确保在接到报障电话后能够及时响应。同时，应建立售后服务响应机制，对报障信息进行登记和跟踪，及时反馈处理进度和结果。在派工程技术人员上门维修时，应携带必要的维修工具和配件，确保能够一次性解决问题。此外，中标单位应提供远程技术支持服务，以便在无法及时上门维修的情况下，能够通过远程方式解决一些常见问题，减少停机时间。</w:t>
            </w:r>
          </w:p>
          <w:p>
            <w:pPr>
              <w:pStyle w:val="null3"/>
              <w:ind w:firstLine="1280"/>
              <w:jc w:val="left"/>
            </w:pPr>
            <w:r>
              <w:rPr>
                <w:rFonts w:ascii="仿宋_GB2312" w:hAnsi="仿宋_GB2312" w:cs="仿宋_GB2312" w:eastAsia="仿宋_GB2312"/>
                <w:sz w:val="32"/>
              </w:rPr>
              <w:t>7.2、备用设备提供：规定时间内未处理完毕的，中标单位提供不低于同等档次货物供用户使用至故障货物正常使用为止。中标单位应在本地或周边地区建立备用设备库，储备一定数量的常用设备和关键配件，以便在紧急情况下能够及时提供备用设备。备用设备的性能和质量应与原设备相当，且应经过严格的检测和调试，确保能够正常使用。在提供备用设备期间，中标单位应负责设备的安装、调试和维护，并承担相关费用。同时，应制定备用设备调用流程和管理制度，确保备用设备的合理使用和及时归还。</w:t>
            </w:r>
          </w:p>
          <w:p>
            <w:pPr>
              <w:pStyle w:val="null3"/>
              <w:ind w:firstLine="1280"/>
              <w:jc w:val="left"/>
            </w:pPr>
            <w:r>
              <w:rPr>
                <w:rFonts w:ascii="仿宋_GB2312" w:hAnsi="仿宋_GB2312" w:cs="仿宋_GB2312" w:eastAsia="仿宋_GB2312"/>
                <w:sz w:val="32"/>
              </w:rPr>
              <w:t>7.3、配件更换要求：如果需要更换配件的，要求更换的配件跟被更换的品牌、类型相一致或者是同类同档次的替代品，后者需征得用户方管理人员同意。中标单位应确保所提供的配件为原厂正品或符合相关质量标准的替代品，配件的质量和性能应与原设备匹配。在更换配件时，应使用专业工具和技术，确保更换过程的安全和可靠。同时，应将更换下来的配件妥善保管，并提供给采购人相关负责人进行检查和确认。此外，中标单位应建立配件库存管理系统，及时补充常用配件，确保配件的供应充足。</w:t>
            </w:r>
          </w:p>
          <w:p>
            <w:pPr>
              <w:pStyle w:val="null3"/>
              <w:ind w:firstLine="960"/>
              <w:jc w:val="left"/>
            </w:pPr>
            <w:r>
              <w:rPr>
                <w:rFonts w:ascii="仿宋_GB2312" w:hAnsi="仿宋_GB2312" w:cs="仿宋_GB2312" w:eastAsia="仿宋_GB2312"/>
                <w:sz w:val="32"/>
              </w:rPr>
              <w:t>8、质保期后服务：在保质期满后，中标单位应保证以合理的价格提供备件和保养服务，当发生故障时，成交供应商应按保质期内同样的要求进行维修处理。成交供应商应制定质保期后服务方案，明确备件价格清单和保养服务内容及收费标准。应定期与采购人进行沟通，了解设备的使用情况和需求，为采购人提供技术支持和建议。在接到采购人的维修请求后，应及时响应并安排技术人员进行处理，确保设备的正常运行。同时，成交供应商应提供质保期后服务的质量保证措施，如维修后的设备质保期等，以增强采购人对质保期后服务的信心。</w:t>
            </w:r>
          </w:p>
          <w:p>
            <w:pPr>
              <w:pStyle w:val="null3"/>
              <w:ind w:firstLine="960"/>
              <w:jc w:val="left"/>
            </w:pPr>
            <w:r>
              <w:rPr>
                <w:rFonts w:ascii="仿宋_GB2312" w:hAnsi="仿宋_GB2312" w:cs="仿宋_GB2312" w:eastAsia="仿宋_GB2312"/>
                <w:sz w:val="32"/>
              </w:rPr>
              <w:t>9、开箱检验：采购人和中标单位应共同对货物的包装、外观、质量、数量进行检验。如在开箱检验中发现所交付的合同货物有短缺、 损坏、不合格产品等或与合同、随机文件不相符的情形，中标单位应于5日内予以更换，并承担一切损失和费用。待产品补足或更换后，采购人和中标单位重新对合同货物进行检验，合格后再进行安装调试。在开箱检验时，应详细记录检验结果，包括货物的包装情况、外观是否完好、产品型号和规格是否符合要求、数量是否准确等。如发现问题，应及时拍照留存证据，并通知成交供应商进行处理。中标单位在更换货物时，应确保新货物的质量和性能符合要求，并提供相关的检测报告和证明文件。同时，应建立开箱检验问题处理机制，明确问题处理的流程和时间节点，确保问题能够及时得到解决。</w:t>
            </w:r>
          </w:p>
          <w:p>
            <w:pPr>
              <w:pStyle w:val="null3"/>
              <w:ind w:firstLine="960"/>
              <w:jc w:val="left"/>
            </w:pPr>
            <w:r>
              <w:rPr>
                <w:rFonts w:ascii="仿宋_GB2312" w:hAnsi="仿宋_GB2312" w:cs="仿宋_GB2312" w:eastAsia="仿宋_GB2312"/>
                <w:sz w:val="32"/>
              </w:rPr>
              <w:t>10、验收服务要求：中标单位提供的货物应达到国家相关标准的要求并确保整体通过采购人的验收。成交供应商应协助采购人完成验收工作，提供必要的技术资料和文件，如产品说明书、合格证、检测报告等。同时，应配合采购人进行设备的安装、调试和试运行，确保设备能够正常运行。在验收过程中，如发现货物存在质量问题或不符合验收标准，中标单位应及时进行整改和完善，直至验收合格。</w:t>
            </w:r>
          </w:p>
          <w:p>
            <w:pPr>
              <w:pStyle w:val="null3"/>
              <w:ind w:firstLine="643"/>
              <w:jc w:val="both"/>
            </w:pPr>
            <w:r>
              <w:rPr>
                <w:rFonts w:ascii="仿宋_GB2312" w:hAnsi="仿宋_GB2312" w:cs="仿宋_GB2312" w:eastAsia="仿宋_GB2312"/>
                <w:sz w:val="32"/>
                <w:b/>
              </w:rPr>
              <w:t>11、现有平台功能及应用（原系统）为大华品牌，投标人提供的设备应兼容现有平台功能，兼容费用由投标人承担。</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资格审查</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参加政府采购活动前三年内（成立不足三年的从成立之日起算），在经营活动无环保类行政处罚记录。【提供声明书加盖公章，格式自拟】</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投标函 其他材料 残疾人福利性单位声明函 法定代表人资格证明书或法定代表人授权委托书 项目服务方案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投标函 其他材料 残疾人福利性单位声明函 法定代表人资格证明书或法定代表人授权委托书 项目服务方案 监狱企业的证明文件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投标函 其他材料 残疾人福利性单位声明函 法定代表人资格证明书或法定代表人授权委托书 项目服务方案 监狱企业的证明文件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标注“★”的要求和条件为不允许偏离的实质性条款。</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项目理解和重难点分析</w:t>
            </w:r>
          </w:p>
        </w:tc>
        <w:tc>
          <w:tcPr>
            <w:tcW w:type="dxa" w:w="2492"/>
          </w:tcPr>
          <w:p>
            <w:pPr>
              <w:pStyle w:val="null3"/>
              <w:jc w:val="both"/>
            </w:pPr>
            <w:r>
              <w:rPr>
                <w:rFonts w:ascii="仿宋_GB2312" w:hAnsi="仿宋_GB2312" w:cs="仿宋_GB2312" w:eastAsia="仿宋_GB2312"/>
              </w:rPr>
              <w:t>投标人须在投标文件中提供项目需求分析，评标委员会对投标文件进行横向对比： 1）对项目需求理解充分，熟悉采购人现状，清晰阐述重难点。需求理解充分、重点难点分析合理到位、解决思路清晰到位、针对性强、可操作性强，得8分； 2）基本理解需求，了解采购人业务，重点难点分析比较合理、解决思路清晰到位、针对性较强、可操作性较强，得6分； 3）对需求理解不充分，对采购人业务不了解不足，重点难点分析及解决思路针对性一般、可操作性一般，得4分； 4）有基本的内容，具有一定的合理性、可行性，基本满足项目实施需要，得2分；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方案设计</w:t>
            </w:r>
          </w:p>
        </w:tc>
        <w:tc>
          <w:tcPr>
            <w:tcW w:type="dxa" w:w="2492"/>
          </w:tcPr>
          <w:p>
            <w:pPr>
              <w:pStyle w:val="null3"/>
              <w:jc w:val="both"/>
            </w:pPr>
            <w:r>
              <w:rPr>
                <w:rFonts w:ascii="仿宋_GB2312" w:hAnsi="仿宋_GB2312" w:cs="仿宋_GB2312" w:eastAsia="仿宋_GB2312"/>
              </w:rPr>
              <w:t>投标人在投标文件中提供方案设计，评标委员会对投标文件进行横向对比： 1）总体方案设计各部分完整清晰且针对性强，技术方案内容措施完善，关键点的描述完备合理，招标服务要求中所要求的方案说明应答详尽完善，可操作性强，切实满足用户需求，得8分； 2）总体方案设计较为完整清晰，具有一定的针对性，技术方案内容措施较为完善，关键点的描述比较合理，招标服务要求中所要求的方案说明有回应，具有一定的可操作性，能满足用户需求，得6分； 3）总体方案设计粗糙或有遗漏，针对性不强，技术方案内容缺乏可行性和可操作性，得4分； 4）方案内容基本完整，但可行性一般，思路不够明晰，得2分；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供货安装(调试)方案</w:t>
            </w:r>
          </w:p>
        </w:tc>
        <w:tc>
          <w:tcPr>
            <w:tcW w:type="dxa" w:w="2492"/>
          </w:tcPr>
          <w:p>
            <w:pPr>
              <w:pStyle w:val="null3"/>
              <w:jc w:val="both"/>
            </w:pPr>
            <w:r>
              <w:rPr>
                <w:rFonts w:ascii="仿宋_GB2312" w:hAnsi="仿宋_GB2312" w:cs="仿宋_GB2312" w:eastAsia="仿宋_GB2312"/>
              </w:rPr>
              <w:t>评标委员会根据投标人提供的供货安装（调试）方案（包 含但不限于供货计划、安装调试流程、技术措施、质量保障等内容）进行综合评审： 1）供货计划（含交货周期、运输安排等）科学合理，安装调试流程（含技术措施、应急预案等）完整详细，质量保障措施完善，得8分； 2）供货计划（含交货周期、运输安排等）基本合理，安装调试流程（含技术措施、应急预案等）基本完整，质量保障措施基本完善，得6分； 3）供货计划（含交货周期、运输安排等）较科学合理，安装调试流程（含技术措施、应急预案等）较完整详细，质量保障措施较完善，得4分； 4）供货计划（含交货周期、运输安排等）不够合理，安装调试流程（含技术措施、应急预案等）不太完整，质量保障措施有待提高，得2分；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根据投标人提供的质量保证方案（包括但不限于：保修期内的承诺、保修期满后的相关服务、生产厂家的技术支持等内容）；本项满分共8分。 1）内容细致全面、简洁明了、逻辑清晰、非常易于理解，目标设定非常明确，具备完善的质量保证体系，能优于采购人需求的，得8分； 2）内容完善完整、逻辑较清晰、易于理解，目标设定较明确，具备较为完善的质量保证体系，能满足采购人需求的，得6分； 3）具备一定的质量保证体系，内容一般，能较大程度地满足采购人的需求的，得4分； 4）质量保证方案不够完善，只能部分满足采购人需求的，得2分；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tcPr>
          <w:p/>
        </w:tc>
        <w:tc>
          <w:tcPr>
            <w:tcW w:type="dxa" w:w="1661"/>
          </w:tcPr>
          <w:p>
            <w:pPr>
              <w:pStyle w:val="null3"/>
              <w:jc w:val="both"/>
            </w:pPr>
            <w:r>
              <w:rPr>
                <w:rFonts w:ascii="仿宋_GB2312" w:hAnsi="仿宋_GB2312" w:cs="仿宋_GB2312" w:eastAsia="仿宋_GB2312"/>
              </w:rPr>
              <w:t>售后运维方案</w:t>
            </w:r>
          </w:p>
        </w:tc>
        <w:tc>
          <w:tcPr>
            <w:tcW w:type="dxa" w:w="2492"/>
          </w:tcPr>
          <w:p>
            <w:pPr>
              <w:pStyle w:val="null3"/>
              <w:jc w:val="both"/>
            </w:pPr>
            <w:r>
              <w:rPr>
                <w:rFonts w:ascii="仿宋_GB2312" w:hAnsi="仿宋_GB2312" w:cs="仿宋_GB2312" w:eastAsia="仿宋_GB2312"/>
              </w:rPr>
              <w:t>投标人在投标文件中提供售后服务方案及承诺，包括本项目涉及的软硬件日常运维、故障诊断等方面的内容。 1）内容详细完整，步骤有序，且方案整体操作简单，能有针对性提出解决建议，具有完善的售后体系，配备并提供针对本项目专职售后人员（提供人员名单）且配置合理，实施过程务实的得8分；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项目服务方案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项目团队人员实施能力（1）</w:t>
            </w:r>
          </w:p>
        </w:tc>
        <w:tc>
          <w:tcPr>
            <w:tcW w:type="dxa" w:w="2492"/>
          </w:tcPr>
          <w:p>
            <w:pPr>
              <w:pStyle w:val="null3"/>
              <w:jc w:val="both"/>
            </w:pPr>
            <w:r>
              <w:rPr>
                <w:rFonts w:ascii="仿宋_GB2312" w:hAnsi="仿宋_GB2312" w:cs="仿宋_GB2312" w:eastAsia="仿宋_GB2312"/>
              </w:rPr>
              <w:t>投标人项目经理需要具备下列资质，下列证件每提供一个得1分，满分5分： 1、信息系统项目管理师证书； 2、网络工程师证书； 3、信息安全工程师证书； 4、信息系统运维管理工程师证书； 5、信息安全测评中心颁发的注册信息安全工程师（CISP) 证明材料：提供相应证书复印件加盖单位公章，并提供投标人为该持证人员缴纳2025年至今任意3个月的社保记录并加盖公章。不提供不得分。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项目团队人员实施能力（2）</w:t>
            </w:r>
          </w:p>
        </w:tc>
        <w:tc>
          <w:tcPr>
            <w:tcW w:type="dxa" w:w="2492"/>
          </w:tcPr>
          <w:p>
            <w:pPr>
              <w:pStyle w:val="null3"/>
              <w:jc w:val="both"/>
            </w:pPr>
            <w:r>
              <w:rPr>
                <w:rFonts w:ascii="仿宋_GB2312" w:hAnsi="仿宋_GB2312" w:cs="仿宋_GB2312" w:eastAsia="仿宋_GB2312"/>
              </w:rPr>
              <w:t>为确保产品和系统得到良好的数据安全和业务运行的稳定可靠，投标人所投设备需要具备下列证件每提供一个得1分，满分2分： 1、运维管理平台一体机制造商应具备专业的信息系统标准化运维体系，提供ITSS信息技术服务运行维护标准符合性认证证书复印件并加盖制造商公章，须为制造商自有，分子公司证书无效，提供得1分，不提供不得分。 2、视频综合应用平台一体机产品制造商应为国家级绿色工厂或绿色供应链管理企业，提供官网查询链接和名单所在页截图等相关证明材料并加盖制造商公章，提供得1分，不提供不得分。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2022年6月1日至今（按合同签订时间）供应商已完成类似项目业绩，每提供一个得0.55分，本项满分1.1分。 证明材料：需提供合同复印件并加盖公章，不提供不得分。</w:t>
            </w:r>
          </w:p>
        </w:tc>
        <w:tc>
          <w:tcPr>
            <w:tcW w:type="dxa" w:w="831"/>
          </w:tcPr>
          <w:p>
            <w:pPr>
              <w:pStyle w:val="null3"/>
              <w:jc w:val="right"/>
            </w:pPr>
            <w:r>
              <w:rPr>
                <w:rFonts w:ascii="仿宋_GB2312" w:hAnsi="仿宋_GB2312" w:cs="仿宋_GB2312" w:eastAsia="仿宋_GB2312"/>
              </w:rPr>
              <w:t>1.10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“▲”标记的参数为重要功能参数，共12条；完全满足得12分，每负偏离一项扣1分。 重要功能参数（标▲号）条款技术参数需按要求提供投标人盖章的复印件技术支持证明材料，技术支持资料包括以下任意一种形式： （1）投标货物制造商公开发布的印刷资料； （2）检测机构出具的检测报告； （3）货物制造商盖章的技术参数确认函； （4）产品彩页； （5）货物制造商盖章的产品白皮书。 漏报技术条款视为不满足。</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一般技术参数（非▲号的其他参数）的响应共99条；完全满足得9.9分，每负偏离一项扣0.1分。 注：投标人须对所投标设备的技术参数真实性负责，提供虚假参数、伪造、变更或虚假响应者，按废标处理、并上报政府采购主管部门进行严肃处理。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9.90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HNJY2025【51】</w:t>
      </w:r>
    </w:p>
    <w:p>
      <w:pPr>
        <w:pStyle w:val="null3"/>
        <w:jc w:val="left"/>
      </w:pPr>
      <w:r>
        <w:rPr>
          <w:rFonts w:ascii="仿宋_GB2312" w:hAnsi="仿宋_GB2312" w:cs="仿宋_GB2312" w:eastAsia="仿宋_GB2312"/>
        </w:rPr>
        <w:t>项目名称：</w:t>
      </w:r>
      <w:r>
        <w:rPr>
          <w:rFonts w:ascii="仿宋_GB2312" w:hAnsi="仿宋_GB2312" w:cs="仿宋_GB2312" w:eastAsia="仿宋_GB2312"/>
        </w:rPr>
        <w:t>定安县公安局视频监控平台升级扩容建设项目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定安县公安局视频监控平台升级扩容建设项目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板块1：视频联网共享平台（包含的设备有：视频综合应用平台一体机、国标对接网关平台一体机、大数据应用平台一体机、解析应用平台一体机、智能运维管理平台一体机）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1913900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板块2：解码上墙系统（包含的设备有：视综平台一体机、千兆业务接入交换机、万兆接入交换机）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35398.23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板块3：视频云存储（包含的设备有：云存储数据存储节点、云计算数据库服务一体机、四口万兆网卡）</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2044601.77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报价说明：因前期预算系统设定问题，报价分为三个板块，本项目拟采购的设备清单详见采购需求附件，投标人报价不得超过各板块的最高限价，且需在报价明细表中详细列明各设备单价、产地、品牌、型号规格等，本表涉及的数量均以采购需求附件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详见附件：项目服务方案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