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D0959">
      <w:pPr>
        <w:pStyle w:val="8"/>
        <w:jc w:val="center"/>
        <w:outlineLvl w:val="1"/>
        <w:rPr>
          <w:rFonts w:hint="default"/>
          <w:color w:val="auto"/>
        </w:rPr>
      </w:pPr>
      <w:r>
        <w:rPr>
          <w:rFonts w:ascii="仿宋_GB2312" w:hAnsi="仿宋_GB2312" w:eastAsia="仿宋_GB2312" w:cs="仿宋_GB2312"/>
          <w:b/>
          <w:color w:val="auto"/>
          <w:sz w:val="36"/>
        </w:rPr>
        <w:t>第五章 政府采购合同</w:t>
      </w:r>
    </w:p>
    <w:p w14:paraId="044C7C12">
      <w:pPr>
        <w:pStyle w:val="8"/>
        <w:outlineLvl w:val="2"/>
        <w:rPr>
          <w:rFonts w:hint="default"/>
          <w:color w:val="auto"/>
        </w:rPr>
      </w:pPr>
      <w:r>
        <w:rPr>
          <w:rFonts w:ascii="仿宋_GB2312" w:hAnsi="仿宋_GB2312" w:eastAsia="仿宋_GB2312" w:cs="仿宋_GB2312"/>
          <w:b/>
          <w:color w:val="auto"/>
          <w:sz w:val="28"/>
        </w:rPr>
        <w:t>合同文本</w:t>
      </w:r>
    </w:p>
    <w:p w14:paraId="05405EC3">
      <w:pPr>
        <w:pStyle w:val="8"/>
        <w:rPr>
          <w:rFonts w:ascii="仿宋_GB2312" w:hAnsi="仿宋_GB2312" w:eastAsia="仿宋_GB2312" w:cs="仿宋_GB2312"/>
          <w:color w:val="auto"/>
        </w:rPr>
      </w:pPr>
      <w:r>
        <w:rPr>
          <w:rFonts w:ascii="仿宋_GB2312" w:hAnsi="仿宋_GB2312" w:eastAsia="仿宋_GB2312" w:cs="仿宋_GB2312"/>
          <w:color w:val="auto"/>
        </w:rPr>
        <w:t>详见附件：合同模版.docx</w:t>
      </w:r>
    </w:p>
    <w:p w14:paraId="1180165D">
      <w:pPr>
        <w:pStyle w:val="8"/>
        <w:rPr>
          <w:rFonts w:hint="default"/>
          <w:color w:val="auto"/>
        </w:rPr>
      </w:pPr>
    </w:p>
    <w:p w14:paraId="79E6B81C">
      <w:pPr>
        <w:spacing w:before="39"/>
        <w:ind w:left="107"/>
        <w:jc w:val="center"/>
        <w:rPr>
          <w:rFonts w:hint="eastAsia" w:ascii="仿宋_GB2312" w:hAnsi="仿宋_GB2312" w:eastAsia="仿宋_GB2312" w:cs="仿宋_GB2312"/>
          <w:color w:val="auto"/>
        </w:rPr>
      </w:pPr>
    </w:p>
    <w:p w14:paraId="23321192">
      <w:pPr>
        <w:spacing w:before="39"/>
        <w:ind w:left="107"/>
        <w:jc w:val="center"/>
        <w:rPr>
          <w:rFonts w:hint="eastAsia" w:ascii="仿宋_GB2312" w:hAnsi="仿宋_GB2312" w:eastAsia="仿宋_GB2312" w:cs="仿宋_GB2312"/>
          <w:color w:val="auto"/>
        </w:rPr>
      </w:pPr>
    </w:p>
    <w:p w14:paraId="52D8CA35">
      <w:pPr>
        <w:spacing w:before="39"/>
        <w:ind w:left="107"/>
        <w:jc w:val="center"/>
        <w:rPr>
          <w:rFonts w:hint="eastAsia" w:ascii="仿宋_GB2312" w:hAnsi="仿宋_GB2312" w:eastAsia="仿宋_GB2312" w:cs="仿宋_GB2312"/>
          <w:color w:val="auto"/>
        </w:rPr>
      </w:pPr>
    </w:p>
    <w:p w14:paraId="61D2279F">
      <w:pPr>
        <w:spacing w:before="39"/>
        <w:ind w:left="107"/>
        <w:jc w:val="center"/>
        <w:rPr>
          <w:rFonts w:hint="eastAsia" w:ascii="仿宋_GB2312" w:hAnsi="仿宋_GB2312" w:eastAsia="仿宋_GB2312" w:cs="仿宋_GB2312"/>
          <w:color w:val="auto"/>
        </w:rPr>
      </w:pPr>
    </w:p>
    <w:p w14:paraId="5646ECD5">
      <w:pPr>
        <w:spacing w:before="39"/>
        <w:ind w:left="107"/>
        <w:jc w:val="center"/>
        <w:rPr>
          <w:rFonts w:hint="eastAsia" w:ascii="仿宋_GB2312" w:hAnsi="仿宋_GB2312" w:eastAsia="仿宋_GB2312" w:cs="仿宋_GB2312"/>
          <w:color w:val="auto"/>
        </w:rPr>
      </w:pPr>
    </w:p>
    <w:p w14:paraId="79F87AB2">
      <w:pPr>
        <w:spacing w:before="39"/>
        <w:ind w:left="107"/>
        <w:jc w:val="center"/>
        <w:rPr>
          <w:rFonts w:hint="eastAsia" w:ascii="仿宋_GB2312" w:hAnsi="仿宋_GB2312" w:eastAsia="仿宋_GB2312" w:cs="仿宋_GB2312"/>
          <w:color w:val="auto"/>
        </w:rPr>
      </w:pPr>
    </w:p>
    <w:p w14:paraId="4C87FE44">
      <w:pPr>
        <w:spacing w:before="39"/>
        <w:ind w:left="107"/>
        <w:jc w:val="center"/>
        <w:rPr>
          <w:rFonts w:hint="eastAsia" w:ascii="仿宋_GB2312" w:hAnsi="仿宋_GB2312" w:eastAsia="仿宋_GB2312" w:cs="仿宋_GB2312"/>
          <w:color w:val="auto"/>
        </w:rPr>
      </w:pPr>
    </w:p>
    <w:p w14:paraId="18325D6F">
      <w:pPr>
        <w:spacing w:before="39"/>
        <w:ind w:left="107"/>
        <w:jc w:val="center"/>
        <w:rPr>
          <w:rFonts w:hint="eastAsia" w:ascii="仿宋_GB2312" w:hAnsi="仿宋_GB2312" w:eastAsia="仿宋_GB2312" w:cs="仿宋_GB2312"/>
          <w:color w:val="auto"/>
        </w:rPr>
      </w:pPr>
    </w:p>
    <w:p w14:paraId="5F371FEC">
      <w:pPr>
        <w:spacing w:before="39"/>
        <w:ind w:left="107"/>
        <w:jc w:val="center"/>
        <w:rPr>
          <w:rFonts w:hint="eastAsia" w:ascii="仿宋_GB2312" w:hAnsi="仿宋_GB2312" w:eastAsia="仿宋_GB2312" w:cs="仿宋_GB2312"/>
          <w:color w:val="auto"/>
        </w:rPr>
      </w:pPr>
    </w:p>
    <w:p w14:paraId="60D08E34">
      <w:pPr>
        <w:spacing w:before="39"/>
        <w:ind w:left="107"/>
        <w:jc w:val="center"/>
        <w:rPr>
          <w:rFonts w:hint="eastAsia" w:ascii="仿宋_GB2312" w:hAnsi="仿宋_GB2312" w:eastAsia="仿宋_GB2312" w:cs="仿宋_GB2312"/>
          <w:color w:val="auto"/>
        </w:rPr>
      </w:pPr>
    </w:p>
    <w:p w14:paraId="3BEC4931">
      <w:pPr>
        <w:spacing w:before="39"/>
        <w:ind w:left="107"/>
        <w:jc w:val="center"/>
        <w:rPr>
          <w:rFonts w:hint="eastAsia" w:ascii="仿宋_GB2312" w:hAnsi="仿宋_GB2312" w:eastAsia="仿宋_GB2312" w:cs="仿宋_GB2312"/>
          <w:color w:val="auto"/>
        </w:rPr>
      </w:pPr>
    </w:p>
    <w:p w14:paraId="72C0B0A5">
      <w:pPr>
        <w:spacing w:before="39"/>
        <w:ind w:left="107"/>
        <w:jc w:val="center"/>
        <w:rPr>
          <w:rFonts w:hint="eastAsia" w:ascii="仿宋_GB2312" w:hAnsi="仿宋_GB2312" w:eastAsia="仿宋_GB2312" w:cs="仿宋_GB2312"/>
          <w:color w:val="auto"/>
        </w:rPr>
      </w:pPr>
    </w:p>
    <w:p w14:paraId="65458D98">
      <w:pPr>
        <w:spacing w:before="39"/>
        <w:ind w:left="107"/>
        <w:jc w:val="center"/>
        <w:rPr>
          <w:rFonts w:hint="eastAsia" w:ascii="仿宋_GB2312" w:hAnsi="仿宋_GB2312" w:eastAsia="仿宋_GB2312" w:cs="仿宋_GB2312"/>
          <w:color w:val="auto"/>
        </w:rPr>
      </w:pPr>
    </w:p>
    <w:p w14:paraId="3855F089">
      <w:pPr>
        <w:spacing w:before="39"/>
        <w:ind w:left="107"/>
        <w:jc w:val="center"/>
        <w:rPr>
          <w:rFonts w:hint="eastAsia" w:ascii="仿宋_GB2312" w:hAnsi="仿宋_GB2312" w:eastAsia="仿宋_GB2312" w:cs="仿宋_GB2312"/>
          <w:color w:val="auto"/>
        </w:rPr>
      </w:pPr>
    </w:p>
    <w:p w14:paraId="53F99C53">
      <w:pPr>
        <w:spacing w:before="39"/>
        <w:ind w:left="107"/>
        <w:jc w:val="center"/>
        <w:rPr>
          <w:rFonts w:hint="eastAsia" w:ascii="仿宋_GB2312" w:hAnsi="仿宋_GB2312" w:eastAsia="仿宋_GB2312" w:cs="仿宋_GB2312"/>
          <w:color w:val="auto"/>
        </w:rPr>
      </w:pPr>
    </w:p>
    <w:p w14:paraId="29EEECDA">
      <w:pPr>
        <w:spacing w:before="39"/>
        <w:ind w:left="107"/>
        <w:jc w:val="center"/>
        <w:rPr>
          <w:rFonts w:hint="eastAsia" w:ascii="仿宋_GB2312" w:hAnsi="仿宋_GB2312" w:eastAsia="仿宋_GB2312" w:cs="仿宋_GB2312"/>
          <w:color w:val="auto"/>
        </w:rPr>
      </w:pPr>
    </w:p>
    <w:p w14:paraId="4E0132B9">
      <w:pPr>
        <w:spacing w:before="39"/>
        <w:ind w:left="107"/>
        <w:jc w:val="center"/>
        <w:rPr>
          <w:rFonts w:hint="eastAsia" w:ascii="仿宋_GB2312" w:hAnsi="仿宋_GB2312" w:eastAsia="仿宋_GB2312" w:cs="仿宋_GB2312"/>
          <w:color w:val="auto"/>
        </w:rPr>
      </w:pPr>
    </w:p>
    <w:p w14:paraId="1F03C0A5">
      <w:pPr>
        <w:spacing w:before="39"/>
        <w:ind w:left="107"/>
        <w:jc w:val="center"/>
        <w:rPr>
          <w:rFonts w:hint="eastAsia" w:ascii="仿宋_GB2312" w:hAnsi="仿宋_GB2312" w:eastAsia="仿宋_GB2312" w:cs="仿宋_GB2312"/>
          <w:color w:val="auto"/>
        </w:rPr>
      </w:pPr>
    </w:p>
    <w:p w14:paraId="6E0240D2">
      <w:pPr>
        <w:spacing w:before="39"/>
        <w:ind w:left="107"/>
        <w:jc w:val="center"/>
        <w:rPr>
          <w:rFonts w:hint="eastAsia" w:ascii="仿宋_GB2312" w:hAnsi="仿宋_GB2312" w:eastAsia="仿宋_GB2312" w:cs="仿宋_GB2312"/>
          <w:color w:val="auto"/>
        </w:rPr>
      </w:pPr>
    </w:p>
    <w:p w14:paraId="677DB20C">
      <w:pPr>
        <w:spacing w:before="39"/>
        <w:ind w:left="107"/>
        <w:jc w:val="center"/>
        <w:rPr>
          <w:rFonts w:hint="eastAsia" w:ascii="仿宋_GB2312" w:hAnsi="仿宋_GB2312" w:eastAsia="仿宋_GB2312" w:cs="仿宋_GB2312"/>
          <w:color w:val="auto"/>
        </w:rPr>
      </w:pPr>
    </w:p>
    <w:p w14:paraId="5C2456A4">
      <w:pPr>
        <w:spacing w:before="39"/>
        <w:ind w:left="107"/>
        <w:jc w:val="center"/>
        <w:rPr>
          <w:rFonts w:hint="eastAsia" w:ascii="仿宋_GB2312" w:hAnsi="仿宋_GB2312" w:eastAsia="仿宋_GB2312" w:cs="仿宋_GB2312"/>
          <w:color w:val="auto"/>
        </w:rPr>
      </w:pPr>
    </w:p>
    <w:p w14:paraId="791CBB13">
      <w:pPr>
        <w:spacing w:before="39"/>
        <w:ind w:left="107"/>
        <w:jc w:val="center"/>
        <w:rPr>
          <w:rFonts w:hint="eastAsia" w:ascii="仿宋_GB2312" w:hAnsi="仿宋_GB2312" w:eastAsia="仿宋_GB2312" w:cs="仿宋_GB2312"/>
          <w:color w:val="auto"/>
        </w:rPr>
      </w:pPr>
    </w:p>
    <w:p w14:paraId="5E41BE83">
      <w:pPr>
        <w:spacing w:before="39"/>
        <w:ind w:left="107"/>
        <w:jc w:val="center"/>
        <w:rPr>
          <w:rFonts w:hint="eastAsia" w:ascii="仿宋_GB2312" w:hAnsi="仿宋_GB2312" w:eastAsia="仿宋_GB2312" w:cs="仿宋_GB2312"/>
          <w:color w:val="auto"/>
        </w:rPr>
      </w:pPr>
    </w:p>
    <w:p w14:paraId="1B36961D">
      <w:pPr>
        <w:spacing w:before="39"/>
        <w:ind w:left="107"/>
        <w:jc w:val="center"/>
        <w:rPr>
          <w:rFonts w:hint="eastAsia" w:ascii="仿宋_GB2312" w:hAnsi="仿宋_GB2312" w:eastAsia="仿宋_GB2312" w:cs="仿宋_GB2312"/>
          <w:color w:val="auto"/>
        </w:rPr>
      </w:pPr>
    </w:p>
    <w:p w14:paraId="182986F1">
      <w:pPr>
        <w:spacing w:before="39"/>
        <w:ind w:firstLine="0" w:firstLineChars="0"/>
        <w:rPr>
          <w:rFonts w:hint="eastAsia"/>
          <w:b/>
          <w:color w:val="auto"/>
        </w:rPr>
      </w:pPr>
    </w:p>
    <w:p w14:paraId="0C2A8C11">
      <w:pPr>
        <w:spacing w:before="39"/>
        <w:ind w:firstLine="0" w:firstLineChars="0"/>
        <w:rPr>
          <w:rFonts w:hint="eastAsia"/>
          <w:b/>
          <w:color w:val="auto"/>
        </w:rPr>
      </w:pPr>
      <w:r>
        <w:rPr>
          <w:b/>
          <w:color w:val="auto"/>
        </w:rPr>
        <w:t>合同编号：</w:t>
      </w:r>
    </w:p>
    <w:p w14:paraId="574C2AB6">
      <w:pPr>
        <w:pStyle w:val="3"/>
        <w:ind w:firstLine="482"/>
        <w:rPr>
          <w:rFonts w:hint="eastAsia"/>
          <w:b/>
          <w:color w:val="auto"/>
          <w:sz w:val="24"/>
          <w:szCs w:val="24"/>
        </w:rPr>
      </w:pPr>
    </w:p>
    <w:p w14:paraId="200F6D59">
      <w:pPr>
        <w:pStyle w:val="3"/>
        <w:ind w:firstLine="482"/>
        <w:rPr>
          <w:rFonts w:hint="eastAsia"/>
          <w:b/>
          <w:color w:val="auto"/>
          <w:sz w:val="24"/>
          <w:szCs w:val="24"/>
        </w:rPr>
      </w:pPr>
    </w:p>
    <w:p w14:paraId="0AE2B206">
      <w:pPr>
        <w:pStyle w:val="3"/>
        <w:ind w:firstLine="482"/>
        <w:rPr>
          <w:rFonts w:hint="eastAsia"/>
          <w:b/>
          <w:color w:val="auto"/>
          <w:sz w:val="24"/>
          <w:szCs w:val="24"/>
        </w:rPr>
      </w:pPr>
    </w:p>
    <w:p w14:paraId="35D4369E">
      <w:pPr>
        <w:pStyle w:val="3"/>
        <w:ind w:firstLine="482"/>
        <w:rPr>
          <w:rFonts w:hint="eastAsia"/>
          <w:b/>
          <w:color w:val="auto"/>
          <w:sz w:val="24"/>
          <w:szCs w:val="24"/>
        </w:rPr>
      </w:pPr>
    </w:p>
    <w:p w14:paraId="29402C35">
      <w:pPr>
        <w:pStyle w:val="3"/>
        <w:ind w:firstLine="482"/>
        <w:rPr>
          <w:rFonts w:hint="eastAsia"/>
          <w:b/>
          <w:color w:val="auto"/>
          <w:sz w:val="24"/>
          <w:szCs w:val="24"/>
        </w:rPr>
      </w:pPr>
    </w:p>
    <w:p w14:paraId="1DECBACF">
      <w:pPr>
        <w:pStyle w:val="3"/>
        <w:ind w:firstLine="482"/>
        <w:rPr>
          <w:rFonts w:hint="eastAsia"/>
          <w:b/>
          <w:color w:val="auto"/>
          <w:sz w:val="24"/>
          <w:szCs w:val="24"/>
        </w:rPr>
      </w:pPr>
    </w:p>
    <w:p w14:paraId="1DC74A9A">
      <w:pPr>
        <w:pStyle w:val="3"/>
        <w:spacing w:before="5"/>
        <w:ind w:firstLine="482"/>
        <w:rPr>
          <w:rFonts w:hint="eastAsia"/>
          <w:b/>
          <w:color w:val="auto"/>
          <w:sz w:val="24"/>
          <w:szCs w:val="24"/>
        </w:rPr>
      </w:pPr>
    </w:p>
    <w:p w14:paraId="0185C0A7">
      <w:pPr>
        <w:ind w:right="1061" w:firstLine="0" w:firstLineChars="0"/>
        <w:jc w:val="center"/>
        <w:rPr>
          <w:rFonts w:hint="eastAsia"/>
          <w:b/>
          <w:color w:val="auto"/>
          <w:sz w:val="72"/>
          <w:szCs w:val="72"/>
        </w:rPr>
      </w:pPr>
      <w:r>
        <w:rPr>
          <w:b/>
          <w:color w:val="auto"/>
          <w:sz w:val="72"/>
          <w:szCs w:val="72"/>
        </w:rPr>
        <w:t>合 同 书</w:t>
      </w:r>
    </w:p>
    <w:p w14:paraId="033C7DD2">
      <w:pPr>
        <w:pStyle w:val="3"/>
        <w:ind w:firstLine="482"/>
        <w:rPr>
          <w:rFonts w:hint="eastAsia"/>
          <w:b/>
          <w:color w:val="auto"/>
          <w:sz w:val="24"/>
          <w:szCs w:val="24"/>
        </w:rPr>
      </w:pPr>
    </w:p>
    <w:p w14:paraId="42B388C7">
      <w:pPr>
        <w:pStyle w:val="3"/>
        <w:spacing w:before="12"/>
        <w:ind w:firstLine="482"/>
        <w:rPr>
          <w:rFonts w:hint="eastAsia"/>
          <w:b/>
          <w:color w:val="auto"/>
          <w:sz w:val="24"/>
          <w:szCs w:val="24"/>
        </w:rPr>
      </w:pPr>
    </w:p>
    <w:p w14:paraId="7C931510">
      <w:pPr>
        <w:spacing w:line="364" w:lineRule="auto"/>
        <w:ind w:right="7120" w:firstLineChars="0"/>
        <w:rPr>
          <w:rFonts w:hint="eastAsia"/>
          <w:b/>
          <w:color w:val="auto"/>
          <w:spacing w:val="-3"/>
        </w:rPr>
      </w:pPr>
      <w:r>
        <w:rPr>
          <w:b/>
          <w:color w:val="auto"/>
          <w:spacing w:val="-3"/>
        </w:rPr>
        <w:t xml:space="preserve">项目名称： </w:t>
      </w:r>
    </w:p>
    <w:p w14:paraId="319C0571">
      <w:pPr>
        <w:spacing w:line="364" w:lineRule="auto"/>
        <w:ind w:right="7120" w:firstLineChars="0"/>
        <w:rPr>
          <w:rFonts w:hint="eastAsia"/>
          <w:b/>
          <w:color w:val="auto"/>
          <w:spacing w:val="-3"/>
        </w:rPr>
      </w:pPr>
      <w:r>
        <w:rPr>
          <w:b/>
          <w:color w:val="auto"/>
          <w:spacing w:val="-3"/>
        </w:rPr>
        <w:t xml:space="preserve">项目编号： </w:t>
      </w:r>
    </w:p>
    <w:p w14:paraId="498998FE">
      <w:pPr>
        <w:spacing w:line="364" w:lineRule="auto"/>
        <w:ind w:right="7120" w:firstLineChars="0"/>
        <w:rPr>
          <w:rFonts w:hint="eastAsia"/>
          <w:b/>
          <w:color w:val="auto"/>
        </w:rPr>
      </w:pPr>
      <w:r>
        <w:rPr>
          <w:b/>
          <w:color w:val="auto"/>
          <w:spacing w:val="23"/>
        </w:rPr>
        <w:t>甲  方 ：</w:t>
      </w:r>
    </w:p>
    <w:p w14:paraId="3EBF130D">
      <w:pPr>
        <w:ind w:firstLine="477" w:firstLineChars="164"/>
        <w:rPr>
          <w:rFonts w:hint="eastAsia"/>
          <w:b/>
          <w:color w:val="auto"/>
        </w:rPr>
      </w:pPr>
      <w:r>
        <w:rPr>
          <w:b/>
          <w:color w:val="auto"/>
          <w:spacing w:val="25"/>
        </w:rPr>
        <w:t>乙  方 ：</w:t>
      </w:r>
    </w:p>
    <w:p w14:paraId="434ABE34">
      <w:pPr>
        <w:spacing w:before="213"/>
        <w:ind w:firstLine="479" w:firstLineChars="199"/>
        <w:rPr>
          <w:rFonts w:hint="eastAsia"/>
          <w:b/>
          <w:color w:val="auto"/>
        </w:rPr>
      </w:pPr>
      <w:r>
        <w:rPr>
          <w:b/>
          <w:color w:val="auto"/>
        </w:rPr>
        <w:t>签订日期：</w:t>
      </w:r>
      <w:r>
        <w:rPr>
          <w:rFonts w:hint="eastAsia"/>
          <w:b/>
          <w:color w:val="auto"/>
        </w:rPr>
        <w:t xml:space="preserve">    </w:t>
      </w:r>
      <w:r>
        <w:rPr>
          <w:b/>
          <w:color w:val="auto"/>
        </w:rPr>
        <w:t xml:space="preserve">年 </w:t>
      </w:r>
      <w:r>
        <w:rPr>
          <w:rFonts w:hint="eastAsia"/>
          <w:b/>
          <w:color w:val="auto"/>
        </w:rPr>
        <w:t xml:space="preserve">   </w:t>
      </w:r>
      <w:r>
        <w:rPr>
          <w:b/>
          <w:color w:val="auto"/>
        </w:rPr>
        <w:t>月</w:t>
      </w:r>
      <w:r>
        <w:rPr>
          <w:rFonts w:hint="eastAsia"/>
          <w:b/>
          <w:color w:val="auto"/>
        </w:rPr>
        <w:t xml:space="preserve">    </w:t>
      </w:r>
      <w:r>
        <w:rPr>
          <w:b/>
          <w:color w:val="auto"/>
        </w:rPr>
        <w:t>日</w:t>
      </w:r>
    </w:p>
    <w:p w14:paraId="256F9A9F">
      <w:pPr>
        <w:spacing w:before="213"/>
        <w:ind w:left="2035" w:firstLine="482"/>
        <w:rPr>
          <w:rFonts w:hint="eastAsia"/>
          <w:b/>
          <w:color w:val="auto"/>
        </w:rPr>
      </w:pPr>
    </w:p>
    <w:p w14:paraId="458B9569">
      <w:pPr>
        <w:spacing w:before="213"/>
        <w:ind w:left="2035" w:firstLine="482"/>
        <w:rPr>
          <w:rFonts w:hint="eastAsia"/>
          <w:b/>
          <w:color w:val="auto"/>
        </w:rPr>
      </w:pPr>
    </w:p>
    <w:p w14:paraId="16EFBA35">
      <w:pPr>
        <w:spacing w:before="213"/>
        <w:ind w:left="2035" w:firstLine="482"/>
        <w:rPr>
          <w:rFonts w:hint="eastAsia"/>
          <w:b/>
          <w:color w:val="auto"/>
        </w:rPr>
      </w:pPr>
    </w:p>
    <w:p w14:paraId="05C74DA9">
      <w:pPr>
        <w:spacing w:before="213"/>
        <w:ind w:left="2035" w:firstLine="482"/>
        <w:rPr>
          <w:rFonts w:hint="eastAsia"/>
          <w:b/>
          <w:color w:val="auto"/>
        </w:rPr>
      </w:pPr>
    </w:p>
    <w:p w14:paraId="49FB0E08">
      <w:pPr>
        <w:spacing w:before="213"/>
        <w:ind w:left="2035" w:firstLine="482"/>
        <w:rPr>
          <w:rFonts w:hint="eastAsia"/>
          <w:b/>
          <w:color w:val="auto"/>
        </w:rPr>
      </w:pPr>
    </w:p>
    <w:p w14:paraId="3F56273E">
      <w:pPr>
        <w:spacing w:before="213"/>
        <w:ind w:left="2035" w:firstLine="482"/>
        <w:rPr>
          <w:rFonts w:hint="eastAsia"/>
          <w:b/>
          <w:color w:val="auto"/>
        </w:rPr>
      </w:pPr>
    </w:p>
    <w:p w14:paraId="672C434C">
      <w:pPr>
        <w:spacing w:before="213"/>
        <w:ind w:left="2035" w:firstLine="482"/>
        <w:rPr>
          <w:rFonts w:hint="eastAsia"/>
          <w:b/>
          <w:color w:val="auto"/>
        </w:rPr>
      </w:pPr>
    </w:p>
    <w:p w14:paraId="281EA948">
      <w:pPr>
        <w:spacing w:before="213"/>
        <w:ind w:firstLine="0" w:firstLineChars="0"/>
        <w:rPr>
          <w:rFonts w:hint="eastAsia"/>
          <w:b/>
          <w:color w:val="auto"/>
        </w:rPr>
        <w:sectPr>
          <w:headerReference r:id="rId7" w:type="first"/>
          <w:footerReference r:id="rId10" w:type="first"/>
          <w:headerReference r:id="rId5" w:type="default"/>
          <w:footerReference r:id="rId8" w:type="default"/>
          <w:headerReference r:id="rId6" w:type="even"/>
          <w:footerReference r:id="rId9" w:type="even"/>
          <w:pgSz w:w="11910" w:h="16850"/>
          <w:pgMar w:top="1440" w:right="1418" w:bottom="1440" w:left="1418" w:header="0" w:footer="207" w:gutter="0"/>
          <w:cols w:space="720" w:num="1"/>
          <w:docGrid w:linePitch="299" w:charSpace="0"/>
        </w:sectPr>
      </w:pPr>
    </w:p>
    <w:p w14:paraId="3B50ED7F">
      <w:pPr>
        <w:pStyle w:val="3"/>
        <w:ind w:firstLine="0" w:firstLineChars="0"/>
        <w:rPr>
          <w:rFonts w:hint="eastAsia"/>
          <w:b/>
          <w:color w:val="auto"/>
          <w:sz w:val="24"/>
          <w:szCs w:val="24"/>
        </w:rPr>
      </w:pPr>
      <w:bookmarkStart w:id="0" w:name="_bookmark17"/>
      <w:bookmarkEnd w:id="0"/>
    </w:p>
    <w:p w14:paraId="2AB3FFC6">
      <w:pPr>
        <w:spacing w:line="364" w:lineRule="auto"/>
        <w:ind w:left="107" w:right="930"/>
        <w:rPr>
          <w:rFonts w:hint="eastAsia"/>
          <w:color w:val="auto"/>
        </w:rPr>
      </w:pPr>
      <w:r>
        <w:rPr>
          <w:color w:val="auto"/>
          <w:u w:val="single"/>
        </w:rPr>
        <w:t xml:space="preserve">    （采购人名称）</w:t>
      </w:r>
      <w:r>
        <w:rPr>
          <w:color w:val="auto"/>
          <w:spacing w:val="9"/>
          <w:u w:val="single"/>
        </w:rPr>
        <w:t xml:space="preserve">  </w:t>
      </w:r>
      <w:r>
        <w:rPr>
          <w:color w:val="auto"/>
        </w:rPr>
        <w:t>以</w:t>
      </w:r>
      <w:r>
        <w:rPr>
          <w:color w:val="auto"/>
          <w:spacing w:val="7"/>
          <w:u w:val="single"/>
        </w:rPr>
        <w:t xml:space="preserve">  </w:t>
      </w:r>
      <w:r>
        <w:rPr>
          <w:color w:val="auto"/>
          <w:u w:val="single"/>
        </w:rPr>
        <w:t>（政府采购方式）</w:t>
      </w:r>
      <w:r>
        <w:rPr>
          <w:color w:val="auto"/>
          <w:spacing w:val="6"/>
          <w:u w:val="single"/>
        </w:rPr>
        <w:t xml:space="preserve">  </w:t>
      </w:r>
      <w:r>
        <w:rPr>
          <w:color w:val="auto"/>
        </w:rPr>
        <w:t>对</w:t>
      </w:r>
      <w:r>
        <w:rPr>
          <w:color w:val="auto"/>
          <w:spacing w:val="5"/>
          <w:u w:val="single"/>
        </w:rPr>
        <w:t xml:space="preserve">   </w:t>
      </w:r>
      <w:r>
        <w:rPr>
          <w:color w:val="auto"/>
          <w:u w:val="single"/>
        </w:rPr>
        <w:t>（同前页项目名称</w:t>
      </w:r>
      <w:r>
        <w:rPr>
          <w:color w:val="auto"/>
          <w:spacing w:val="-12"/>
          <w:u w:val="single"/>
        </w:rPr>
        <w:t xml:space="preserve">） </w:t>
      </w:r>
      <w:r>
        <w:rPr>
          <w:color w:val="auto"/>
          <w:spacing w:val="-22"/>
        </w:rPr>
        <w:t>项目</w:t>
      </w:r>
      <w:r>
        <w:rPr>
          <w:color w:val="auto"/>
        </w:rPr>
        <w:t>（</w:t>
      </w:r>
      <w:r>
        <w:rPr>
          <w:color w:val="auto"/>
          <w:spacing w:val="-21"/>
        </w:rPr>
        <w:t>项目编号：</w:t>
      </w:r>
      <w:r>
        <w:rPr>
          <w:color w:val="auto"/>
          <w:spacing w:val="-93"/>
        </w:rPr>
        <w:t>）</w:t>
      </w:r>
      <w:r>
        <w:rPr>
          <w:color w:val="auto"/>
          <w:spacing w:val="-1"/>
        </w:rPr>
        <w:t>进行了采购</w:t>
      </w:r>
      <w:r>
        <w:rPr>
          <w:color w:val="auto"/>
          <w:spacing w:val="36"/>
          <w:u w:val="single"/>
        </w:rPr>
        <w:t xml:space="preserve">， </w:t>
      </w:r>
      <w:r>
        <w:rPr>
          <w:color w:val="auto"/>
          <w:spacing w:val="-3"/>
          <w:u w:val="single"/>
        </w:rPr>
        <w:t>（</w:t>
      </w:r>
      <w:r>
        <w:rPr>
          <w:color w:val="auto"/>
          <w:spacing w:val="-2"/>
          <w:u w:val="single"/>
        </w:rPr>
        <w:t>中标供应商名称</w:t>
      </w:r>
      <w:r>
        <w:rPr>
          <w:color w:val="auto"/>
          <w:spacing w:val="-45"/>
          <w:u w:val="single"/>
        </w:rPr>
        <w:t>）</w:t>
      </w:r>
      <w:r>
        <w:rPr>
          <w:color w:val="auto"/>
          <w:spacing w:val="-3"/>
        </w:rPr>
        <w:t>为该项目中标供应商。</w:t>
      </w:r>
    </w:p>
    <w:p w14:paraId="56681237">
      <w:pPr>
        <w:spacing w:line="364" w:lineRule="auto"/>
        <w:ind w:left="107" w:right="1066"/>
        <w:rPr>
          <w:rFonts w:hint="eastAsia"/>
          <w:color w:val="auto"/>
        </w:rPr>
      </w:pPr>
      <w:r>
        <w:rPr>
          <w:color w:val="auto"/>
          <w:u w:val="single"/>
        </w:rPr>
        <w:t>（采购人名称）</w:t>
      </w:r>
      <w:r>
        <w:rPr>
          <w:color w:val="auto"/>
          <w:spacing w:val="9"/>
          <w:u w:val="single"/>
        </w:rPr>
        <w:t xml:space="preserve">  </w:t>
      </w:r>
      <w:r>
        <w:rPr>
          <w:color w:val="auto"/>
        </w:rPr>
        <w:t>(以下简称：甲方)和</w:t>
      </w:r>
      <w:r>
        <w:rPr>
          <w:color w:val="auto"/>
          <w:spacing w:val="9"/>
          <w:u w:val="single"/>
        </w:rPr>
        <w:t xml:space="preserve">  </w:t>
      </w:r>
      <w:r>
        <w:rPr>
          <w:color w:val="auto"/>
          <w:u w:val="single"/>
        </w:rPr>
        <w:t>（中标供应商名称）</w:t>
      </w:r>
      <w:r>
        <w:rPr>
          <w:color w:val="auto"/>
          <w:spacing w:val="13"/>
          <w:u w:val="single"/>
        </w:rPr>
        <w:t xml:space="preserve">  </w:t>
      </w:r>
      <w:r>
        <w:rPr>
          <w:color w:val="auto"/>
        </w:rPr>
        <w:t>(以下简称：乙方)根据《中华人民共和国民法典》、《中华人民共和国政府采购法》等相关法律法规，遵循平等、自愿、公平和诚实信用原则，同意按照下面的条款和条件订立本政府采购合同，共同信守。</w:t>
      </w:r>
    </w:p>
    <w:p w14:paraId="718FA62A">
      <w:pPr>
        <w:spacing w:before="116"/>
        <w:ind w:left="670" w:firstLine="482"/>
        <w:rPr>
          <w:rFonts w:hint="eastAsia"/>
          <w:b/>
          <w:bCs/>
          <w:color w:val="auto"/>
        </w:rPr>
      </w:pPr>
      <w:bookmarkStart w:id="1" w:name="一、政府采购合同文件"/>
      <w:bookmarkEnd w:id="1"/>
      <w:r>
        <w:rPr>
          <w:b/>
          <w:bCs/>
          <w:color w:val="auto"/>
        </w:rPr>
        <w:t>一、政府采购合同文件</w:t>
      </w:r>
    </w:p>
    <w:p w14:paraId="2EE67F76">
      <w:pPr>
        <w:spacing w:before="186" w:line="364" w:lineRule="auto"/>
        <w:ind w:left="240" w:leftChars="100" w:right="1285" w:firstLine="240" w:firstLineChars="100"/>
        <w:rPr>
          <w:rFonts w:hint="eastAsia"/>
          <w:color w:val="auto"/>
        </w:rPr>
      </w:pPr>
      <w:r>
        <w:rPr>
          <w:color w:val="auto"/>
        </w:rPr>
        <w:t xml:space="preserve">本政府采购合同所附下列文件是构成本政府采购合同不可分割的部分： </w:t>
      </w:r>
    </w:p>
    <w:p w14:paraId="5BB4A26A">
      <w:pPr>
        <w:pStyle w:val="9"/>
        <w:numPr>
          <w:ilvl w:val="0"/>
          <w:numId w:val="1"/>
        </w:numPr>
        <w:spacing w:before="186" w:line="364" w:lineRule="auto"/>
        <w:ind w:right="1285" w:firstLineChars="0"/>
        <w:rPr>
          <w:rFonts w:hint="eastAsia"/>
          <w:color w:val="auto"/>
        </w:rPr>
      </w:pPr>
      <w:r>
        <w:rPr>
          <w:color w:val="auto"/>
        </w:rPr>
        <w:t>招标文件（含澄清或者修改文件）；</w:t>
      </w:r>
    </w:p>
    <w:p w14:paraId="3BC7A076">
      <w:pPr>
        <w:pStyle w:val="9"/>
        <w:numPr>
          <w:ilvl w:val="0"/>
          <w:numId w:val="1"/>
        </w:numPr>
        <w:spacing w:before="186" w:line="364" w:lineRule="auto"/>
        <w:ind w:right="1285" w:firstLineChars="0"/>
        <w:rPr>
          <w:rFonts w:hint="eastAsia"/>
          <w:color w:val="auto"/>
        </w:rPr>
      </w:pPr>
      <w:r>
        <w:rPr>
          <w:color w:val="auto"/>
        </w:rPr>
        <w:t>招标文件的更正公告、变更公告；</w:t>
      </w:r>
    </w:p>
    <w:p w14:paraId="7463B48B">
      <w:pPr>
        <w:pStyle w:val="9"/>
        <w:numPr>
          <w:ilvl w:val="0"/>
          <w:numId w:val="1"/>
        </w:numPr>
        <w:spacing w:before="186" w:line="364" w:lineRule="auto"/>
        <w:ind w:right="1285" w:firstLineChars="0"/>
        <w:rPr>
          <w:rFonts w:hint="eastAsia"/>
          <w:color w:val="auto"/>
        </w:rPr>
      </w:pPr>
      <w:r>
        <w:rPr>
          <w:color w:val="auto"/>
        </w:rPr>
        <w:t>乙方提交的投标文件（含澄清或者说明文件）；</w:t>
      </w:r>
    </w:p>
    <w:p w14:paraId="301224FE">
      <w:pPr>
        <w:pStyle w:val="9"/>
        <w:numPr>
          <w:ilvl w:val="0"/>
          <w:numId w:val="1"/>
        </w:numPr>
        <w:spacing w:before="186" w:line="364" w:lineRule="auto"/>
        <w:ind w:right="1285" w:firstLineChars="0"/>
        <w:rPr>
          <w:rFonts w:hint="eastAsia"/>
          <w:color w:val="auto"/>
        </w:rPr>
      </w:pPr>
      <w:r>
        <w:rPr>
          <w:color w:val="auto"/>
        </w:rPr>
        <w:t>政府采购合同条款；</w:t>
      </w:r>
    </w:p>
    <w:p w14:paraId="4321FEB6">
      <w:pPr>
        <w:pStyle w:val="9"/>
        <w:numPr>
          <w:ilvl w:val="0"/>
          <w:numId w:val="1"/>
        </w:numPr>
        <w:spacing w:before="186" w:line="364" w:lineRule="auto"/>
        <w:ind w:right="1285" w:firstLineChars="0"/>
        <w:rPr>
          <w:rFonts w:hint="eastAsia"/>
          <w:color w:val="auto"/>
        </w:rPr>
      </w:pPr>
      <w:r>
        <w:rPr>
          <w:color w:val="auto"/>
        </w:rPr>
        <w:t>中标通知书；</w:t>
      </w:r>
    </w:p>
    <w:p w14:paraId="0A356F2D">
      <w:pPr>
        <w:pStyle w:val="9"/>
        <w:numPr>
          <w:ilvl w:val="0"/>
          <w:numId w:val="1"/>
        </w:numPr>
        <w:spacing w:before="186" w:line="364" w:lineRule="auto"/>
        <w:ind w:right="1285" w:firstLineChars="0"/>
        <w:rPr>
          <w:rFonts w:hint="eastAsia"/>
          <w:color w:val="auto"/>
        </w:rPr>
      </w:pPr>
      <w:r>
        <w:rPr>
          <w:color w:val="auto"/>
        </w:rPr>
        <w:t>政府采购合同的其它附件。</w:t>
      </w:r>
    </w:p>
    <w:p w14:paraId="3EF6C9C5">
      <w:pPr>
        <w:pStyle w:val="3"/>
        <w:spacing w:before="12"/>
        <w:rPr>
          <w:rFonts w:hint="eastAsia"/>
          <w:color w:val="auto"/>
          <w:sz w:val="24"/>
          <w:szCs w:val="24"/>
        </w:rPr>
      </w:pPr>
    </w:p>
    <w:p w14:paraId="1CA75BCB">
      <w:pPr>
        <w:ind w:left="670" w:firstLine="482"/>
        <w:rPr>
          <w:rFonts w:hint="eastAsia"/>
          <w:b/>
          <w:bCs/>
          <w:color w:val="auto"/>
        </w:rPr>
      </w:pPr>
      <w:bookmarkStart w:id="2" w:name="二、政府采购合同范围和条件"/>
      <w:bookmarkEnd w:id="2"/>
      <w:r>
        <w:rPr>
          <w:b/>
          <w:bCs/>
          <w:color w:val="auto"/>
        </w:rPr>
        <w:t>二、政府采购合同范围和条件</w:t>
      </w:r>
    </w:p>
    <w:p w14:paraId="5B792A53">
      <w:pPr>
        <w:spacing w:before="186"/>
        <w:ind w:left="670"/>
        <w:rPr>
          <w:rFonts w:hint="eastAsia"/>
          <w:color w:val="auto"/>
        </w:rPr>
      </w:pPr>
      <w:r>
        <w:rPr>
          <w:color w:val="auto"/>
        </w:rPr>
        <w:t>本政府采购合同的范围和条件与上述政府采购合同文件的规定相一致。</w:t>
      </w:r>
    </w:p>
    <w:p w14:paraId="5259991A">
      <w:pPr>
        <w:pStyle w:val="2"/>
        <w:ind w:firstLine="620"/>
        <w:rPr>
          <w:rFonts w:hint="eastAsia"/>
          <w:color w:val="auto"/>
        </w:rPr>
      </w:pPr>
    </w:p>
    <w:p w14:paraId="52536A50">
      <w:pPr>
        <w:ind w:left="670" w:firstLine="482"/>
        <w:rPr>
          <w:rFonts w:hint="eastAsia"/>
          <w:b/>
          <w:bCs/>
          <w:color w:val="auto"/>
        </w:rPr>
      </w:pPr>
      <w:bookmarkStart w:id="3" w:name="三、政府采购合同标的"/>
      <w:bookmarkEnd w:id="3"/>
      <w:r>
        <w:rPr>
          <w:b/>
          <w:bCs/>
          <w:color w:val="auto"/>
        </w:rPr>
        <w:t>三、政府采购合同标的</w:t>
      </w:r>
    </w:p>
    <w:p w14:paraId="6522602B">
      <w:pPr>
        <w:spacing w:before="187" w:line="364" w:lineRule="auto"/>
        <w:ind w:left="107" w:right="1276"/>
        <w:rPr>
          <w:rFonts w:hint="eastAsia"/>
          <w:color w:val="auto"/>
        </w:rPr>
      </w:pPr>
      <w:r>
        <w:rPr>
          <w:color w:val="auto"/>
        </w:rPr>
        <w:t>本政府采购合同的标的为政府采购合同货物清单(同投标文件中的开标一览表/分项报价明细表)中所列货物及相关服务。</w:t>
      </w:r>
    </w:p>
    <w:tbl>
      <w:tblPr>
        <w:tblStyle w:val="6"/>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9"/>
        <w:gridCol w:w="1524"/>
        <w:gridCol w:w="1322"/>
        <w:gridCol w:w="1633"/>
        <w:gridCol w:w="1193"/>
        <w:gridCol w:w="1668"/>
        <w:gridCol w:w="760"/>
      </w:tblGrid>
      <w:tr w14:paraId="587A4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749" w:type="dxa"/>
          </w:tcPr>
          <w:p w14:paraId="72D03B0B">
            <w:pPr>
              <w:pStyle w:val="10"/>
              <w:spacing w:before="1"/>
              <w:rPr>
                <w:rFonts w:hint="eastAsia"/>
                <w:color w:val="auto"/>
              </w:rPr>
            </w:pPr>
          </w:p>
          <w:p w14:paraId="397604A4">
            <w:pPr>
              <w:pStyle w:val="10"/>
              <w:spacing w:before="1"/>
              <w:ind w:left="131" w:firstLine="0" w:firstLineChars="0"/>
              <w:rPr>
                <w:rFonts w:hint="eastAsia"/>
                <w:color w:val="auto"/>
              </w:rPr>
            </w:pPr>
            <w:r>
              <w:rPr>
                <w:color w:val="auto"/>
              </w:rPr>
              <w:t>序号</w:t>
            </w:r>
          </w:p>
        </w:tc>
        <w:tc>
          <w:tcPr>
            <w:tcW w:w="1524" w:type="dxa"/>
          </w:tcPr>
          <w:p w14:paraId="7F9CD3ED">
            <w:pPr>
              <w:pStyle w:val="10"/>
              <w:spacing w:before="1"/>
              <w:rPr>
                <w:rFonts w:hint="eastAsia"/>
                <w:color w:val="auto"/>
              </w:rPr>
            </w:pPr>
          </w:p>
          <w:p w14:paraId="3E7B2ED2">
            <w:pPr>
              <w:pStyle w:val="10"/>
              <w:spacing w:before="1"/>
              <w:ind w:left="277" w:firstLine="0" w:firstLineChars="0"/>
              <w:rPr>
                <w:rFonts w:hint="eastAsia"/>
                <w:color w:val="auto"/>
              </w:rPr>
            </w:pPr>
            <w:r>
              <w:rPr>
                <w:color w:val="auto"/>
              </w:rPr>
              <w:t>服务名称</w:t>
            </w:r>
          </w:p>
        </w:tc>
        <w:tc>
          <w:tcPr>
            <w:tcW w:w="1322" w:type="dxa"/>
          </w:tcPr>
          <w:p w14:paraId="16C014B8">
            <w:pPr>
              <w:pStyle w:val="10"/>
              <w:spacing w:before="1"/>
              <w:rPr>
                <w:rFonts w:hint="eastAsia"/>
                <w:color w:val="auto"/>
              </w:rPr>
            </w:pPr>
          </w:p>
          <w:p w14:paraId="61E795EE">
            <w:pPr>
              <w:pStyle w:val="10"/>
              <w:spacing w:before="1"/>
              <w:ind w:firstLine="0" w:firstLineChars="0"/>
              <w:rPr>
                <w:rFonts w:hint="eastAsia"/>
                <w:color w:val="auto"/>
              </w:rPr>
            </w:pPr>
            <w:r>
              <w:rPr>
                <w:color w:val="auto"/>
              </w:rPr>
              <w:t>服务要求</w:t>
            </w:r>
          </w:p>
        </w:tc>
        <w:tc>
          <w:tcPr>
            <w:tcW w:w="1633" w:type="dxa"/>
          </w:tcPr>
          <w:p w14:paraId="0C6FC96B">
            <w:pPr>
              <w:pStyle w:val="10"/>
              <w:ind w:left="165" w:firstLine="0" w:firstLineChars="0"/>
              <w:rPr>
                <w:rFonts w:hint="eastAsia"/>
                <w:color w:val="auto"/>
              </w:rPr>
            </w:pPr>
          </w:p>
          <w:p w14:paraId="378ECE4F">
            <w:pPr>
              <w:pStyle w:val="10"/>
              <w:ind w:left="165" w:firstLine="0" w:firstLineChars="0"/>
              <w:rPr>
                <w:rFonts w:hint="eastAsia"/>
                <w:color w:val="auto"/>
              </w:rPr>
            </w:pPr>
            <w:r>
              <w:rPr>
                <w:color w:val="auto"/>
              </w:rPr>
              <w:t>数量/单位</w:t>
            </w:r>
          </w:p>
        </w:tc>
        <w:tc>
          <w:tcPr>
            <w:tcW w:w="1193" w:type="dxa"/>
          </w:tcPr>
          <w:p w14:paraId="7C8D8EA1">
            <w:pPr>
              <w:pStyle w:val="10"/>
              <w:ind w:left="230" w:right="223" w:firstLine="0" w:firstLineChars="0"/>
              <w:rPr>
                <w:rFonts w:hint="eastAsia"/>
                <w:color w:val="auto"/>
              </w:rPr>
            </w:pPr>
          </w:p>
          <w:p w14:paraId="5DA59FD6">
            <w:pPr>
              <w:pStyle w:val="10"/>
              <w:ind w:left="230" w:right="223" w:firstLine="0" w:firstLineChars="0"/>
              <w:rPr>
                <w:rFonts w:hint="eastAsia"/>
                <w:color w:val="auto"/>
              </w:rPr>
            </w:pPr>
            <w:r>
              <w:rPr>
                <w:color w:val="auto"/>
              </w:rPr>
              <w:t>单价</w:t>
            </w:r>
          </w:p>
          <w:p w14:paraId="35F1BD91">
            <w:pPr>
              <w:pStyle w:val="10"/>
              <w:spacing w:before="160"/>
              <w:ind w:left="230" w:right="226" w:firstLine="0" w:firstLineChars="0"/>
              <w:rPr>
                <w:rFonts w:hint="eastAsia"/>
                <w:color w:val="auto"/>
              </w:rPr>
            </w:pPr>
            <w:r>
              <w:rPr>
                <w:color w:val="auto"/>
              </w:rPr>
              <w:t>（元）</w:t>
            </w:r>
          </w:p>
        </w:tc>
        <w:tc>
          <w:tcPr>
            <w:tcW w:w="1668" w:type="dxa"/>
          </w:tcPr>
          <w:p w14:paraId="160241F0">
            <w:pPr>
              <w:pStyle w:val="10"/>
              <w:ind w:left="330" w:right="324" w:firstLine="0" w:firstLineChars="0"/>
              <w:rPr>
                <w:rFonts w:hint="eastAsia"/>
                <w:color w:val="auto"/>
              </w:rPr>
            </w:pPr>
          </w:p>
          <w:p w14:paraId="6FA85AFE">
            <w:pPr>
              <w:pStyle w:val="10"/>
              <w:ind w:left="330" w:right="324" w:firstLine="0" w:firstLineChars="0"/>
              <w:rPr>
                <w:rFonts w:hint="eastAsia"/>
                <w:color w:val="auto"/>
              </w:rPr>
            </w:pPr>
            <w:r>
              <w:rPr>
                <w:color w:val="auto"/>
              </w:rPr>
              <w:t>单项总价</w:t>
            </w:r>
          </w:p>
          <w:p w14:paraId="28B7B511">
            <w:pPr>
              <w:pStyle w:val="10"/>
              <w:spacing w:before="160"/>
              <w:ind w:right="321" w:firstLine="477" w:firstLineChars="199"/>
              <w:rPr>
                <w:rFonts w:hint="eastAsia"/>
                <w:color w:val="auto"/>
              </w:rPr>
            </w:pPr>
            <w:r>
              <w:rPr>
                <w:color w:val="auto"/>
              </w:rPr>
              <w:t>(元)</w:t>
            </w:r>
          </w:p>
        </w:tc>
        <w:tc>
          <w:tcPr>
            <w:tcW w:w="760" w:type="dxa"/>
          </w:tcPr>
          <w:p w14:paraId="2AAA0B25">
            <w:pPr>
              <w:pStyle w:val="10"/>
              <w:spacing w:before="1"/>
              <w:ind w:firstLine="720" w:firstLineChars="300"/>
              <w:rPr>
                <w:rFonts w:hint="eastAsia"/>
                <w:color w:val="auto"/>
              </w:rPr>
            </w:pPr>
            <w:r>
              <w:rPr>
                <w:rFonts w:hint="eastAsia"/>
                <w:color w:val="auto"/>
              </w:rPr>
              <w:t xml:space="preserve"> 备</w:t>
            </w:r>
            <w:r>
              <w:rPr>
                <w:color w:val="auto"/>
              </w:rPr>
              <w:t>注</w:t>
            </w:r>
          </w:p>
        </w:tc>
      </w:tr>
      <w:tr w14:paraId="4324A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49" w:type="dxa"/>
          </w:tcPr>
          <w:p w14:paraId="65E543B0">
            <w:pPr>
              <w:pStyle w:val="10"/>
              <w:rPr>
                <w:rFonts w:hint="eastAsia"/>
                <w:color w:val="auto"/>
              </w:rPr>
            </w:pPr>
          </w:p>
        </w:tc>
        <w:tc>
          <w:tcPr>
            <w:tcW w:w="1524" w:type="dxa"/>
          </w:tcPr>
          <w:p w14:paraId="27629340">
            <w:pPr>
              <w:pStyle w:val="10"/>
              <w:rPr>
                <w:rFonts w:hint="eastAsia"/>
                <w:color w:val="auto"/>
              </w:rPr>
            </w:pPr>
          </w:p>
        </w:tc>
        <w:tc>
          <w:tcPr>
            <w:tcW w:w="1322" w:type="dxa"/>
          </w:tcPr>
          <w:p w14:paraId="0BB7CFB3">
            <w:pPr>
              <w:pStyle w:val="10"/>
              <w:rPr>
                <w:rFonts w:hint="eastAsia"/>
                <w:color w:val="auto"/>
              </w:rPr>
            </w:pPr>
          </w:p>
        </w:tc>
        <w:tc>
          <w:tcPr>
            <w:tcW w:w="1633" w:type="dxa"/>
          </w:tcPr>
          <w:p w14:paraId="25A7CA84">
            <w:pPr>
              <w:pStyle w:val="10"/>
              <w:rPr>
                <w:rFonts w:hint="eastAsia"/>
                <w:color w:val="auto"/>
              </w:rPr>
            </w:pPr>
          </w:p>
        </w:tc>
        <w:tc>
          <w:tcPr>
            <w:tcW w:w="1193" w:type="dxa"/>
          </w:tcPr>
          <w:p w14:paraId="3110DE2E">
            <w:pPr>
              <w:pStyle w:val="10"/>
              <w:rPr>
                <w:rFonts w:hint="eastAsia"/>
                <w:color w:val="auto"/>
              </w:rPr>
            </w:pPr>
          </w:p>
        </w:tc>
        <w:tc>
          <w:tcPr>
            <w:tcW w:w="1668" w:type="dxa"/>
          </w:tcPr>
          <w:p w14:paraId="6F285556">
            <w:pPr>
              <w:pStyle w:val="10"/>
              <w:rPr>
                <w:rFonts w:hint="eastAsia"/>
                <w:color w:val="auto"/>
              </w:rPr>
            </w:pPr>
          </w:p>
        </w:tc>
        <w:tc>
          <w:tcPr>
            <w:tcW w:w="760" w:type="dxa"/>
          </w:tcPr>
          <w:p w14:paraId="795EC125">
            <w:pPr>
              <w:pStyle w:val="10"/>
              <w:rPr>
                <w:rFonts w:hint="eastAsia"/>
                <w:color w:val="auto"/>
              </w:rPr>
            </w:pPr>
          </w:p>
        </w:tc>
      </w:tr>
    </w:tbl>
    <w:p w14:paraId="6F3BA123">
      <w:pPr>
        <w:rPr>
          <w:rFonts w:hint="eastAsia"/>
          <w:color w:val="auto"/>
        </w:rPr>
        <w:sectPr>
          <w:type w:val="continuous"/>
          <w:pgSz w:w="11910" w:h="16850"/>
          <w:pgMar w:top="1440" w:right="1080" w:bottom="1440" w:left="1080" w:header="0" w:footer="207" w:gutter="0"/>
          <w:cols w:space="720" w:num="1"/>
        </w:sectPr>
      </w:pPr>
    </w:p>
    <w:tbl>
      <w:tblPr>
        <w:tblStyle w:val="6"/>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9"/>
        <w:gridCol w:w="1524"/>
        <w:gridCol w:w="2019"/>
        <w:gridCol w:w="936"/>
        <w:gridCol w:w="1193"/>
        <w:gridCol w:w="1668"/>
        <w:gridCol w:w="760"/>
      </w:tblGrid>
      <w:tr w14:paraId="303BD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49" w:type="dxa"/>
          </w:tcPr>
          <w:p w14:paraId="5DA1A2AA">
            <w:pPr>
              <w:pStyle w:val="10"/>
              <w:rPr>
                <w:rFonts w:hint="eastAsia"/>
                <w:color w:val="auto"/>
              </w:rPr>
            </w:pPr>
          </w:p>
        </w:tc>
        <w:tc>
          <w:tcPr>
            <w:tcW w:w="1524" w:type="dxa"/>
          </w:tcPr>
          <w:p w14:paraId="1CEA43C7">
            <w:pPr>
              <w:pStyle w:val="10"/>
              <w:rPr>
                <w:rFonts w:hint="eastAsia"/>
                <w:color w:val="auto"/>
              </w:rPr>
            </w:pPr>
          </w:p>
        </w:tc>
        <w:tc>
          <w:tcPr>
            <w:tcW w:w="2019" w:type="dxa"/>
          </w:tcPr>
          <w:p w14:paraId="6236F1F9">
            <w:pPr>
              <w:pStyle w:val="10"/>
              <w:rPr>
                <w:rFonts w:hint="eastAsia"/>
                <w:color w:val="auto"/>
              </w:rPr>
            </w:pPr>
          </w:p>
        </w:tc>
        <w:tc>
          <w:tcPr>
            <w:tcW w:w="936" w:type="dxa"/>
          </w:tcPr>
          <w:p w14:paraId="70EDBEA3">
            <w:pPr>
              <w:pStyle w:val="10"/>
              <w:rPr>
                <w:rFonts w:hint="eastAsia"/>
                <w:color w:val="auto"/>
              </w:rPr>
            </w:pPr>
          </w:p>
        </w:tc>
        <w:tc>
          <w:tcPr>
            <w:tcW w:w="1193" w:type="dxa"/>
          </w:tcPr>
          <w:p w14:paraId="6BB7639B">
            <w:pPr>
              <w:pStyle w:val="10"/>
              <w:rPr>
                <w:rFonts w:hint="eastAsia"/>
                <w:color w:val="auto"/>
              </w:rPr>
            </w:pPr>
          </w:p>
        </w:tc>
        <w:tc>
          <w:tcPr>
            <w:tcW w:w="1668" w:type="dxa"/>
          </w:tcPr>
          <w:p w14:paraId="75751CD4">
            <w:pPr>
              <w:pStyle w:val="10"/>
              <w:rPr>
                <w:rFonts w:hint="eastAsia"/>
                <w:color w:val="auto"/>
              </w:rPr>
            </w:pPr>
          </w:p>
        </w:tc>
        <w:tc>
          <w:tcPr>
            <w:tcW w:w="760" w:type="dxa"/>
          </w:tcPr>
          <w:p w14:paraId="28DFE408">
            <w:pPr>
              <w:pStyle w:val="10"/>
              <w:rPr>
                <w:rFonts w:hint="eastAsia"/>
                <w:color w:val="auto"/>
              </w:rPr>
            </w:pPr>
          </w:p>
        </w:tc>
      </w:tr>
      <w:tr w14:paraId="3E3AF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49" w:type="dxa"/>
          </w:tcPr>
          <w:p w14:paraId="03215CF6">
            <w:pPr>
              <w:pStyle w:val="10"/>
              <w:rPr>
                <w:rFonts w:hint="eastAsia"/>
                <w:color w:val="auto"/>
              </w:rPr>
            </w:pPr>
          </w:p>
        </w:tc>
        <w:tc>
          <w:tcPr>
            <w:tcW w:w="1524" w:type="dxa"/>
          </w:tcPr>
          <w:p w14:paraId="31F7F7E6">
            <w:pPr>
              <w:pStyle w:val="10"/>
              <w:rPr>
                <w:rFonts w:hint="eastAsia"/>
                <w:color w:val="auto"/>
              </w:rPr>
            </w:pPr>
          </w:p>
        </w:tc>
        <w:tc>
          <w:tcPr>
            <w:tcW w:w="2019" w:type="dxa"/>
          </w:tcPr>
          <w:p w14:paraId="10EE04AE">
            <w:pPr>
              <w:pStyle w:val="10"/>
              <w:rPr>
                <w:rFonts w:hint="eastAsia"/>
                <w:color w:val="auto"/>
              </w:rPr>
            </w:pPr>
          </w:p>
        </w:tc>
        <w:tc>
          <w:tcPr>
            <w:tcW w:w="936" w:type="dxa"/>
          </w:tcPr>
          <w:p w14:paraId="163654B1">
            <w:pPr>
              <w:pStyle w:val="10"/>
              <w:rPr>
                <w:rFonts w:hint="eastAsia"/>
                <w:color w:val="auto"/>
              </w:rPr>
            </w:pPr>
          </w:p>
        </w:tc>
        <w:tc>
          <w:tcPr>
            <w:tcW w:w="1193" w:type="dxa"/>
          </w:tcPr>
          <w:p w14:paraId="3D5BB6BC">
            <w:pPr>
              <w:pStyle w:val="10"/>
              <w:rPr>
                <w:rFonts w:hint="eastAsia"/>
                <w:color w:val="auto"/>
              </w:rPr>
            </w:pPr>
          </w:p>
        </w:tc>
        <w:tc>
          <w:tcPr>
            <w:tcW w:w="1668" w:type="dxa"/>
          </w:tcPr>
          <w:p w14:paraId="027E1920">
            <w:pPr>
              <w:pStyle w:val="10"/>
              <w:rPr>
                <w:rFonts w:hint="eastAsia"/>
                <w:color w:val="auto"/>
              </w:rPr>
            </w:pPr>
          </w:p>
        </w:tc>
        <w:tc>
          <w:tcPr>
            <w:tcW w:w="760" w:type="dxa"/>
          </w:tcPr>
          <w:p w14:paraId="3A969766">
            <w:pPr>
              <w:pStyle w:val="10"/>
              <w:rPr>
                <w:rFonts w:hint="eastAsia"/>
                <w:color w:val="auto"/>
              </w:rPr>
            </w:pPr>
          </w:p>
        </w:tc>
      </w:tr>
      <w:tr w14:paraId="6C1EC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49" w:type="dxa"/>
          </w:tcPr>
          <w:p w14:paraId="76E6517A">
            <w:pPr>
              <w:pStyle w:val="10"/>
              <w:rPr>
                <w:rFonts w:hint="eastAsia"/>
                <w:color w:val="auto"/>
              </w:rPr>
            </w:pPr>
          </w:p>
        </w:tc>
        <w:tc>
          <w:tcPr>
            <w:tcW w:w="1524" w:type="dxa"/>
          </w:tcPr>
          <w:p w14:paraId="7CD0B153">
            <w:pPr>
              <w:pStyle w:val="10"/>
              <w:rPr>
                <w:rFonts w:hint="eastAsia"/>
                <w:color w:val="auto"/>
              </w:rPr>
            </w:pPr>
          </w:p>
        </w:tc>
        <w:tc>
          <w:tcPr>
            <w:tcW w:w="2019" w:type="dxa"/>
          </w:tcPr>
          <w:p w14:paraId="6D2FAEAB">
            <w:pPr>
              <w:pStyle w:val="10"/>
              <w:rPr>
                <w:rFonts w:hint="eastAsia"/>
                <w:color w:val="auto"/>
              </w:rPr>
            </w:pPr>
          </w:p>
        </w:tc>
        <w:tc>
          <w:tcPr>
            <w:tcW w:w="936" w:type="dxa"/>
          </w:tcPr>
          <w:p w14:paraId="594CB727">
            <w:pPr>
              <w:pStyle w:val="10"/>
              <w:rPr>
                <w:rFonts w:hint="eastAsia"/>
                <w:color w:val="auto"/>
              </w:rPr>
            </w:pPr>
          </w:p>
        </w:tc>
        <w:tc>
          <w:tcPr>
            <w:tcW w:w="1193" w:type="dxa"/>
          </w:tcPr>
          <w:p w14:paraId="6F1B35B2">
            <w:pPr>
              <w:pStyle w:val="10"/>
              <w:rPr>
                <w:rFonts w:hint="eastAsia"/>
                <w:color w:val="auto"/>
              </w:rPr>
            </w:pPr>
          </w:p>
        </w:tc>
        <w:tc>
          <w:tcPr>
            <w:tcW w:w="1668" w:type="dxa"/>
          </w:tcPr>
          <w:p w14:paraId="01E7E867">
            <w:pPr>
              <w:pStyle w:val="10"/>
              <w:rPr>
                <w:rFonts w:hint="eastAsia"/>
                <w:color w:val="auto"/>
              </w:rPr>
            </w:pPr>
          </w:p>
        </w:tc>
        <w:tc>
          <w:tcPr>
            <w:tcW w:w="760" w:type="dxa"/>
          </w:tcPr>
          <w:p w14:paraId="38CB58E9">
            <w:pPr>
              <w:pStyle w:val="10"/>
              <w:rPr>
                <w:rFonts w:hint="eastAsia"/>
                <w:color w:val="auto"/>
              </w:rPr>
            </w:pPr>
          </w:p>
        </w:tc>
      </w:tr>
      <w:tr w14:paraId="357C6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6421" w:type="dxa"/>
            <w:gridSpan w:val="5"/>
          </w:tcPr>
          <w:p w14:paraId="734E5CEA">
            <w:pPr>
              <w:pStyle w:val="10"/>
              <w:tabs>
                <w:tab w:val="left" w:pos="1271"/>
              </w:tabs>
              <w:ind w:left="9"/>
              <w:jc w:val="center"/>
              <w:rPr>
                <w:rFonts w:hint="eastAsia"/>
                <w:color w:val="auto"/>
              </w:rPr>
            </w:pPr>
            <w:bookmarkStart w:id="4" w:name="_bookmark18"/>
            <w:bookmarkEnd w:id="4"/>
            <w:r>
              <w:rPr>
                <w:color w:val="auto"/>
              </w:rPr>
              <w:t>总</w:t>
            </w:r>
            <w:r>
              <w:rPr>
                <w:color w:val="auto"/>
              </w:rPr>
              <w:tab/>
            </w:r>
            <w:r>
              <w:rPr>
                <w:color w:val="auto"/>
              </w:rPr>
              <w:t>价</w:t>
            </w:r>
          </w:p>
        </w:tc>
        <w:tc>
          <w:tcPr>
            <w:tcW w:w="1668" w:type="dxa"/>
          </w:tcPr>
          <w:p w14:paraId="204F81B5">
            <w:pPr>
              <w:pStyle w:val="10"/>
              <w:rPr>
                <w:rFonts w:hint="eastAsia"/>
                <w:color w:val="auto"/>
              </w:rPr>
            </w:pPr>
          </w:p>
        </w:tc>
        <w:tc>
          <w:tcPr>
            <w:tcW w:w="760" w:type="dxa"/>
          </w:tcPr>
          <w:p w14:paraId="252FCA9B">
            <w:pPr>
              <w:pStyle w:val="10"/>
              <w:rPr>
                <w:rFonts w:hint="eastAsia"/>
                <w:color w:val="auto"/>
              </w:rPr>
            </w:pPr>
          </w:p>
        </w:tc>
      </w:tr>
    </w:tbl>
    <w:p w14:paraId="013813B7">
      <w:pPr>
        <w:spacing w:before="117"/>
        <w:ind w:left="670" w:firstLine="482"/>
        <w:rPr>
          <w:rFonts w:hint="eastAsia"/>
          <w:b/>
          <w:bCs/>
          <w:color w:val="auto"/>
        </w:rPr>
      </w:pPr>
      <w:bookmarkStart w:id="5" w:name="四、政府采购合同金额"/>
      <w:bookmarkEnd w:id="5"/>
      <w:r>
        <w:rPr>
          <w:b/>
          <w:bCs/>
          <w:color w:val="auto"/>
        </w:rPr>
        <w:t>四、政府采购合同金额</w:t>
      </w:r>
    </w:p>
    <w:p w14:paraId="5F590C20">
      <w:pPr>
        <w:spacing w:before="186" w:line="364" w:lineRule="auto"/>
        <w:ind w:left="107" w:right="715"/>
        <w:rPr>
          <w:rFonts w:hint="eastAsia"/>
          <w:color w:val="auto"/>
        </w:rPr>
      </w:pPr>
      <w:r>
        <w:rPr>
          <w:color w:val="auto"/>
        </w:rPr>
        <w:t>根据上述政府采购合同文件要求，政府采购合同的总金额为人民币(大写) ， 小写：元。 （此合同价指验收合格并将货物送到交货地点的全部货款）</w:t>
      </w:r>
    </w:p>
    <w:p w14:paraId="76330DC0">
      <w:pPr>
        <w:spacing w:before="120"/>
        <w:ind w:left="670" w:firstLine="482"/>
        <w:rPr>
          <w:rFonts w:hint="eastAsia"/>
          <w:b/>
          <w:bCs/>
          <w:color w:val="auto"/>
        </w:rPr>
      </w:pPr>
      <w:bookmarkStart w:id="6" w:name="五、付款方式"/>
      <w:bookmarkEnd w:id="6"/>
      <w:r>
        <w:rPr>
          <w:b/>
          <w:bCs/>
          <w:color w:val="auto"/>
        </w:rPr>
        <w:t>五、付款方式</w:t>
      </w:r>
    </w:p>
    <w:p w14:paraId="1FA37A29">
      <w:pPr>
        <w:spacing w:before="184" w:line="364" w:lineRule="auto"/>
        <w:ind w:left="107" w:right="1071"/>
        <w:rPr>
          <w:rFonts w:hint="eastAsia"/>
          <w:color w:val="auto"/>
        </w:rPr>
      </w:pPr>
      <w:r>
        <w:rPr>
          <w:color w:val="auto"/>
        </w:rPr>
        <w:t>付款方式：1、合同金额按月支付，当月费用在次月的十个工作日内（“应付日”）支付。乙方需提供满意度调查表、服务监管数据统计表以及有甲方监管主管签名确认的服务质量监管的实时记录，作为每月支付服务费的依据。甲方指定专人负责办理支付手续。</w:t>
      </w:r>
    </w:p>
    <w:p w14:paraId="5D9230AA">
      <w:pPr>
        <w:spacing w:line="364" w:lineRule="auto"/>
        <w:ind w:left="107" w:right="933"/>
        <w:rPr>
          <w:rFonts w:hint="eastAsia"/>
          <w:color w:val="auto"/>
        </w:rPr>
      </w:pPr>
      <w:r>
        <w:rPr>
          <w:color w:val="auto"/>
        </w:rPr>
        <w:t>2、如果本合同金额的任何款项未能在应付日付清，未付清部分从应付日起按照人民银行公布的同期基准贷款利率收取欠款利息，直至该款项付清为止。此外，甲方应支付乙方为收取甲方欠款而支出的所有合理费用（包括律师费）。</w:t>
      </w:r>
    </w:p>
    <w:p w14:paraId="4C61C552">
      <w:pPr>
        <w:spacing w:line="364" w:lineRule="auto"/>
        <w:ind w:left="107" w:right="1067"/>
        <w:rPr>
          <w:rFonts w:hint="eastAsia"/>
          <w:color w:val="auto"/>
        </w:rPr>
      </w:pPr>
      <w:r>
        <w:rPr>
          <w:color w:val="auto"/>
        </w:rPr>
        <w:t>3、如果本合同下任何费用在应付日后 60 天内未支付，乙方有权解除本合同。在此情况下，甲方应对由于违约合同被解除而产生的乙方的任何损失予以补偿。</w:t>
      </w:r>
    </w:p>
    <w:p w14:paraId="5DDBB347">
      <w:pPr>
        <w:pStyle w:val="3"/>
        <w:spacing w:before="1"/>
        <w:ind w:firstLine="0" w:firstLineChars="0"/>
        <w:rPr>
          <w:rFonts w:hint="eastAsia"/>
          <w:color w:val="auto"/>
          <w:sz w:val="24"/>
          <w:szCs w:val="24"/>
        </w:rPr>
      </w:pPr>
    </w:p>
    <w:p w14:paraId="5079987D">
      <w:pPr>
        <w:pStyle w:val="9"/>
        <w:numPr>
          <w:ilvl w:val="0"/>
          <w:numId w:val="2"/>
        </w:numPr>
        <w:ind w:firstLineChars="0"/>
        <w:rPr>
          <w:rFonts w:hint="eastAsia"/>
          <w:b/>
          <w:bCs/>
          <w:color w:val="auto"/>
        </w:rPr>
      </w:pPr>
      <w:bookmarkStart w:id="7" w:name="六、朊务时间、朊务地点"/>
      <w:bookmarkEnd w:id="7"/>
      <w:r>
        <w:rPr>
          <w:b/>
          <w:bCs/>
          <w:color w:val="auto"/>
        </w:rPr>
        <w:t>服务时间、服务地点</w:t>
      </w:r>
    </w:p>
    <w:p w14:paraId="63DBCA40">
      <w:pPr>
        <w:pStyle w:val="9"/>
        <w:numPr>
          <w:ilvl w:val="0"/>
          <w:numId w:val="3"/>
        </w:numPr>
        <w:tabs>
          <w:tab w:val="left" w:pos="951"/>
        </w:tabs>
        <w:autoSpaceDE w:val="0"/>
        <w:autoSpaceDN w:val="0"/>
        <w:spacing w:before="186" w:line="364" w:lineRule="auto"/>
        <w:ind w:left="107" w:right="1071" w:firstLine="480" w:firstLineChars="0"/>
        <w:jc w:val="both"/>
        <w:rPr>
          <w:rFonts w:hint="eastAsia"/>
          <w:color w:val="auto"/>
        </w:rPr>
      </w:pPr>
      <w:r>
        <w:rPr>
          <w:color w:val="auto"/>
        </w:rPr>
        <w:t>服务期：合同签订后</w:t>
      </w:r>
      <w:r>
        <w:rPr>
          <w:rFonts w:hint="eastAsia"/>
          <w:color w:val="auto"/>
        </w:rPr>
        <w:t>12个月。</w:t>
      </w:r>
    </w:p>
    <w:p w14:paraId="01EAE719">
      <w:pPr>
        <w:pStyle w:val="9"/>
        <w:numPr>
          <w:ilvl w:val="0"/>
          <w:numId w:val="3"/>
        </w:numPr>
        <w:tabs>
          <w:tab w:val="left" w:pos="951"/>
        </w:tabs>
        <w:autoSpaceDE w:val="0"/>
        <w:autoSpaceDN w:val="0"/>
        <w:spacing w:before="186" w:line="364" w:lineRule="auto"/>
        <w:ind w:left="107" w:right="1071" w:firstLine="480" w:firstLineChars="0"/>
        <w:jc w:val="both"/>
        <w:rPr>
          <w:rFonts w:hint="eastAsia"/>
          <w:color w:val="auto"/>
        </w:rPr>
      </w:pPr>
      <w:r>
        <w:rPr>
          <w:color w:val="auto"/>
        </w:rPr>
        <w:t>服务地点：采购人指定地点。</w:t>
      </w:r>
    </w:p>
    <w:p w14:paraId="2BB06880">
      <w:pPr>
        <w:spacing w:line="355" w:lineRule="exact"/>
        <w:rPr>
          <w:rFonts w:hint="eastAsia"/>
          <w:color w:val="auto"/>
        </w:rPr>
        <w:sectPr>
          <w:type w:val="continuous"/>
          <w:pgSz w:w="11910" w:h="16850"/>
          <w:pgMar w:top="1440" w:right="1080" w:bottom="1440" w:left="1080" w:header="0" w:footer="207" w:gutter="0"/>
          <w:cols w:space="720" w:num="1"/>
        </w:sectPr>
      </w:pPr>
    </w:p>
    <w:p w14:paraId="29A5B5BE">
      <w:pPr>
        <w:pStyle w:val="3"/>
        <w:spacing w:before="1"/>
        <w:rPr>
          <w:rFonts w:hint="eastAsia"/>
          <w:color w:val="auto"/>
          <w:sz w:val="24"/>
          <w:szCs w:val="24"/>
        </w:rPr>
      </w:pPr>
    </w:p>
    <w:p w14:paraId="553A1031">
      <w:pPr>
        <w:spacing w:before="61"/>
        <w:ind w:left="670" w:firstLine="482"/>
        <w:rPr>
          <w:rFonts w:hint="eastAsia"/>
          <w:b/>
          <w:bCs/>
          <w:color w:val="auto"/>
        </w:rPr>
      </w:pPr>
      <w:r>
        <w:rPr>
          <w:b/>
          <w:bCs/>
          <w:color w:val="auto"/>
        </w:rPr>
        <w:t>七、考核标准</w:t>
      </w:r>
    </w:p>
    <w:p w14:paraId="2F8BFD4C">
      <w:pPr>
        <w:spacing w:before="186" w:line="364" w:lineRule="auto"/>
        <w:ind w:left="107" w:right="1071"/>
        <w:rPr>
          <w:rFonts w:hint="eastAsia"/>
          <w:color w:val="auto"/>
        </w:rPr>
      </w:pPr>
      <w:r>
        <w:rPr>
          <w:color w:val="auto"/>
        </w:rPr>
        <w:t>1、考核目的。</w:t>
      </w:r>
    </w:p>
    <w:p w14:paraId="288109C1">
      <w:pPr>
        <w:spacing w:before="186" w:line="364" w:lineRule="auto"/>
        <w:ind w:left="107" w:right="1071"/>
        <w:rPr>
          <w:rFonts w:hint="eastAsia"/>
          <w:color w:val="auto"/>
        </w:rPr>
      </w:pPr>
      <w:r>
        <w:rPr>
          <w:color w:val="auto"/>
        </w:rPr>
        <w:t>加强</w:t>
      </w:r>
      <w:r>
        <w:rPr>
          <w:rFonts w:hint="eastAsia"/>
          <w:color w:val="auto"/>
        </w:rPr>
        <w:t>监督</w:t>
      </w:r>
      <w:r>
        <w:rPr>
          <w:color w:val="auto"/>
        </w:rPr>
        <w:t>管理，提升服务工作质量，提高工作效率， 调动员工工作积极性，达到医院及医护人员满意。</w:t>
      </w:r>
    </w:p>
    <w:p w14:paraId="795FECFA">
      <w:pPr>
        <w:spacing w:line="364" w:lineRule="auto"/>
        <w:ind w:left="667" w:right="1075" w:firstLine="0" w:firstLineChars="0"/>
        <w:rPr>
          <w:rFonts w:hint="eastAsia"/>
          <w:color w:val="auto"/>
        </w:rPr>
      </w:pPr>
      <w:r>
        <w:rPr>
          <w:color w:val="auto"/>
        </w:rPr>
        <w:t xml:space="preserve">2、监管措施 </w:t>
      </w:r>
    </w:p>
    <w:p w14:paraId="7013380A">
      <w:pPr>
        <w:spacing w:line="364" w:lineRule="auto"/>
        <w:ind w:left="667" w:right="1075" w:firstLine="0" w:firstLineChars="0"/>
        <w:rPr>
          <w:rFonts w:hint="eastAsia"/>
          <w:color w:val="auto"/>
        </w:rPr>
      </w:pPr>
      <w:r>
        <w:rPr>
          <w:rFonts w:hint="eastAsia"/>
          <w:color w:val="auto"/>
        </w:rPr>
        <w:t>采用</w:t>
      </w:r>
      <w:r>
        <w:rPr>
          <w:color w:val="auto"/>
        </w:rPr>
        <w:t>日常检查和定期考核相结合方式，兼顾突发情况因素。</w:t>
      </w:r>
    </w:p>
    <w:p w14:paraId="2C59D657">
      <w:pPr>
        <w:pStyle w:val="9"/>
        <w:ind w:left="1027" w:firstLine="0" w:firstLineChars="0"/>
        <w:jc w:val="left"/>
        <w:rPr>
          <w:rFonts w:hint="eastAsia"/>
          <w:color w:val="auto"/>
        </w:rPr>
      </w:pPr>
      <w:r>
        <w:rPr>
          <w:color w:val="auto"/>
        </w:rPr>
        <w:t>日常检查：由医院主责部门对服务项目进行日常监督检查，通过检查</w:t>
      </w:r>
      <w:r>
        <w:rPr>
          <w:rFonts w:hint="eastAsia"/>
          <w:color w:val="auto"/>
        </w:rPr>
        <w:t>工</w:t>
      </w:r>
      <w:r>
        <w:rPr>
          <w:color w:val="auto"/>
        </w:rPr>
        <w:t>作现</w:t>
      </w:r>
      <w:r>
        <w:rPr>
          <w:rFonts w:hint="eastAsia"/>
          <w:color w:val="auto"/>
        </w:rPr>
        <w:t xml:space="preserve">                   </w:t>
      </w:r>
    </w:p>
    <w:p w14:paraId="0D808114">
      <w:pPr>
        <w:ind w:firstLine="0" w:firstLineChars="0"/>
        <w:jc w:val="left"/>
        <w:rPr>
          <w:rFonts w:hint="eastAsia"/>
          <w:color w:val="auto"/>
        </w:rPr>
      </w:pPr>
      <w:r>
        <w:rPr>
          <w:color w:val="auto"/>
        </w:rPr>
        <w:t>场、查看工作记录、检查制度落实情况、听取科室意见等方式进行。</w:t>
      </w:r>
    </w:p>
    <w:p w14:paraId="15E49BF5">
      <w:pPr>
        <w:pStyle w:val="9"/>
        <w:ind w:left="1027" w:firstLine="0" w:firstLineChars="0"/>
        <w:jc w:val="left"/>
        <w:rPr>
          <w:rFonts w:hint="eastAsia"/>
          <w:color w:val="auto"/>
        </w:rPr>
      </w:pPr>
      <w:r>
        <w:rPr>
          <w:color w:val="auto"/>
        </w:rPr>
        <w:t>定期考核：每月一次。针对不同服务项目，采取不同的方式</w:t>
      </w:r>
      <w:r>
        <w:rPr>
          <w:rFonts w:hint="eastAsia"/>
          <w:color w:val="auto"/>
        </w:rPr>
        <w:t>，</w:t>
      </w:r>
      <w:r>
        <w:rPr>
          <w:color w:val="auto"/>
        </w:rPr>
        <w:t>由医院主责部</w:t>
      </w:r>
    </w:p>
    <w:p w14:paraId="7E3FC89D">
      <w:pPr>
        <w:ind w:firstLine="0" w:firstLineChars="0"/>
        <w:jc w:val="left"/>
        <w:rPr>
          <w:rFonts w:hint="eastAsia"/>
          <w:color w:val="auto"/>
        </w:rPr>
      </w:pPr>
      <w:r>
        <w:rPr>
          <w:color w:val="auto"/>
        </w:rPr>
        <w:t>门对</w:t>
      </w:r>
      <w:r>
        <w:rPr>
          <w:rFonts w:hint="eastAsia"/>
          <w:color w:val="auto"/>
        </w:rPr>
        <w:t>中央运送服务</w:t>
      </w:r>
      <w:r>
        <w:rPr>
          <w:color w:val="auto"/>
        </w:rPr>
        <w:t>、设备运行与维护、</w:t>
      </w:r>
      <w:r>
        <w:rPr>
          <w:rFonts w:hint="eastAsia"/>
          <w:color w:val="auto"/>
        </w:rPr>
        <w:t>秩序维护</w:t>
      </w:r>
      <w:r>
        <w:rPr>
          <w:color w:val="auto"/>
        </w:rPr>
        <w:t>服务等进行，服务质量考核， 填写服务质量考核表</w:t>
      </w:r>
      <w:r>
        <w:rPr>
          <w:rFonts w:hint="eastAsia"/>
          <w:color w:val="auto"/>
        </w:rPr>
        <w:t>。</w:t>
      </w:r>
    </w:p>
    <w:p w14:paraId="70001B3B">
      <w:pPr>
        <w:pStyle w:val="9"/>
        <w:ind w:left="1027" w:firstLine="0" w:firstLineChars="0"/>
        <w:jc w:val="left"/>
        <w:rPr>
          <w:rFonts w:hint="eastAsia"/>
          <w:color w:val="auto"/>
        </w:rPr>
      </w:pPr>
      <w:r>
        <w:rPr>
          <w:color w:val="auto"/>
        </w:rPr>
        <w:t>突发问题：对于突发问题，医院主责部门积极协调</w:t>
      </w:r>
      <w:r>
        <w:rPr>
          <w:rFonts w:hint="eastAsia"/>
          <w:color w:val="auto"/>
        </w:rPr>
        <w:t>中标单位</w:t>
      </w:r>
      <w:r>
        <w:rPr>
          <w:color w:val="auto"/>
        </w:rPr>
        <w:t>，分析问题原</w:t>
      </w:r>
    </w:p>
    <w:p w14:paraId="4F218B5D">
      <w:pPr>
        <w:ind w:firstLine="0" w:firstLineChars="0"/>
        <w:jc w:val="left"/>
        <w:rPr>
          <w:rFonts w:hint="eastAsia"/>
          <w:color w:val="auto"/>
        </w:rPr>
      </w:pPr>
      <w:r>
        <w:rPr>
          <w:color w:val="auto"/>
        </w:rPr>
        <w:t>因，针对性整改，持续关注整改情况，避免类似事件再次发生。</w:t>
      </w:r>
    </w:p>
    <w:p w14:paraId="54EC3C09">
      <w:pPr>
        <w:spacing w:line="364" w:lineRule="auto"/>
        <w:ind w:left="107" w:right="1071"/>
        <w:rPr>
          <w:rFonts w:hint="eastAsia"/>
          <w:color w:val="auto"/>
        </w:rPr>
      </w:pPr>
      <w:r>
        <w:rPr>
          <w:color w:val="auto"/>
        </w:rPr>
        <w:t>3、考核评分及落实。</w:t>
      </w:r>
    </w:p>
    <w:p w14:paraId="05C80987">
      <w:pPr>
        <w:pStyle w:val="9"/>
        <w:ind w:left="1027" w:firstLine="0" w:firstLineChars="0"/>
        <w:jc w:val="left"/>
        <w:rPr>
          <w:rFonts w:hint="eastAsia"/>
          <w:color w:val="auto"/>
        </w:rPr>
      </w:pPr>
      <w:r>
        <w:rPr>
          <w:rFonts w:hint="eastAsia"/>
          <w:color w:val="auto"/>
        </w:rPr>
        <w:t>设立</w:t>
      </w:r>
      <w:r>
        <w:rPr>
          <w:color w:val="auto"/>
        </w:rPr>
        <w:t>医院考评小组</w:t>
      </w:r>
      <w:r>
        <w:rPr>
          <w:rFonts w:hint="eastAsia"/>
          <w:color w:val="auto"/>
        </w:rPr>
        <w:t>，负责</w:t>
      </w:r>
      <w:r>
        <w:rPr>
          <w:color w:val="auto"/>
        </w:rPr>
        <w:t>设备运行与维护、安保服务、中央运送服务</w:t>
      </w:r>
      <w:r>
        <w:rPr>
          <w:rFonts w:hint="eastAsia"/>
          <w:color w:val="auto"/>
        </w:rPr>
        <w:t>的</w:t>
      </w:r>
      <w:r>
        <w:rPr>
          <w:color w:val="auto"/>
        </w:rPr>
        <w:t>监管</w:t>
      </w:r>
    </w:p>
    <w:p w14:paraId="662234DE">
      <w:pPr>
        <w:ind w:firstLine="0" w:firstLineChars="0"/>
        <w:jc w:val="left"/>
        <w:rPr>
          <w:rFonts w:hint="eastAsia"/>
          <w:color w:val="auto"/>
        </w:rPr>
      </w:pPr>
      <w:r>
        <w:rPr>
          <w:color w:val="auto"/>
        </w:rPr>
        <w:t>考核，各项目得分及突发问题严重程度综合考虑，来决定服务费用是否全额支付。考核问题及时反馈给</w:t>
      </w:r>
      <w:r>
        <w:rPr>
          <w:rFonts w:hint="eastAsia"/>
          <w:color w:val="auto"/>
        </w:rPr>
        <w:t>中标方</w:t>
      </w:r>
      <w:r>
        <w:rPr>
          <w:color w:val="auto"/>
        </w:rPr>
        <w:t>进行整改</w:t>
      </w:r>
      <w:r>
        <w:rPr>
          <w:rFonts w:hint="eastAsia"/>
          <w:color w:val="auto"/>
        </w:rPr>
        <w:t>并要求汇报整改情况。</w:t>
      </w:r>
    </w:p>
    <w:p w14:paraId="495304A9">
      <w:pPr>
        <w:pStyle w:val="9"/>
        <w:ind w:left="1027" w:firstLine="0" w:firstLineChars="0"/>
        <w:jc w:val="left"/>
        <w:rPr>
          <w:rFonts w:hint="eastAsia"/>
          <w:color w:val="auto"/>
        </w:rPr>
        <w:sectPr>
          <w:type w:val="continuous"/>
          <w:pgSz w:w="11910" w:h="16850"/>
          <w:pgMar w:top="1440" w:right="1418" w:bottom="1440" w:left="1418" w:header="0" w:footer="207" w:gutter="0"/>
          <w:cols w:space="720" w:num="1"/>
          <w:docGrid w:linePitch="326" w:charSpace="0"/>
        </w:sectPr>
      </w:pPr>
    </w:p>
    <w:p w14:paraId="10E6A356">
      <w:pPr>
        <w:ind w:firstLineChars="0"/>
        <w:jc w:val="left"/>
        <w:rPr>
          <w:rFonts w:hint="eastAsia"/>
          <w:color w:val="auto"/>
        </w:rPr>
      </w:pPr>
      <w:r>
        <w:rPr>
          <w:rFonts w:hint="eastAsia"/>
          <w:color w:val="auto"/>
        </w:rPr>
        <w:t>4</w:t>
      </w:r>
      <w:r>
        <w:rPr>
          <w:color w:val="auto"/>
        </w:rPr>
        <w:t>、患者满意度调查及落实。陪检服务填写《患者满意度调查表》，调查对象为在住院患者或家属。</w:t>
      </w:r>
    </w:p>
    <w:p w14:paraId="7B14C8D8">
      <w:pPr>
        <w:spacing w:line="364" w:lineRule="auto"/>
        <w:ind w:left="667" w:right="1075" w:firstLine="0" w:firstLineChars="0"/>
        <w:rPr>
          <w:rFonts w:hint="eastAsia"/>
          <w:color w:val="auto"/>
        </w:rPr>
      </w:pPr>
      <w:r>
        <w:rPr>
          <w:rFonts w:hint="eastAsia"/>
          <w:color w:val="auto"/>
        </w:rPr>
        <w:t>5</w:t>
      </w:r>
      <w:r>
        <w:rPr>
          <w:color w:val="auto"/>
        </w:rPr>
        <w:t>、服务费用扣罚。</w:t>
      </w:r>
    </w:p>
    <w:p w14:paraId="676A05EB">
      <w:pPr>
        <w:spacing w:line="364" w:lineRule="auto"/>
        <w:ind w:left="667" w:right="1075" w:firstLine="0" w:firstLineChars="0"/>
        <w:rPr>
          <w:rFonts w:hint="eastAsia"/>
          <w:color w:val="auto"/>
        </w:rPr>
      </w:pPr>
      <w:r>
        <w:rPr>
          <w:color w:val="auto"/>
        </w:rPr>
        <w:t>⑴每月服务质量考核平均分在 90 分（含）以上，各项目考核得分均90 分（含）以上，按合同约定支付全额服务费；</w:t>
      </w:r>
    </w:p>
    <w:p w14:paraId="69720786">
      <w:pPr>
        <w:spacing w:line="364" w:lineRule="auto"/>
        <w:ind w:left="667" w:right="1075" w:firstLine="0" w:firstLineChars="0"/>
        <w:rPr>
          <w:rFonts w:hint="eastAsia"/>
          <w:color w:val="auto"/>
        </w:rPr>
      </w:pPr>
      <w:r>
        <w:rPr>
          <w:color w:val="auto"/>
        </w:rPr>
        <w:t>⑵每月服务质量考核平均分在 90 分（含）以上，但有一项低于 90 分，</w:t>
      </w:r>
    </w:p>
    <w:p w14:paraId="569782E2">
      <w:pPr>
        <w:spacing w:line="364" w:lineRule="auto"/>
        <w:ind w:right="1075" w:firstLine="0" w:firstLineChars="0"/>
        <w:rPr>
          <w:rFonts w:hint="eastAsia"/>
          <w:color w:val="auto"/>
        </w:rPr>
      </w:pPr>
      <w:r>
        <w:rPr>
          <w:color w:val="auto"/>
        </w:rPr>
        <w:t>不低于 80 分（含），先按合同约定支付当月全额服务费，若接下来的月份又有一个项目考核低于 90 分，则合计不足 90 分项目的差额分值扣减服务费，</w:t>
      </w:r>
      <w:r>
        <w:rPr>
          <w:rFonts w:hint="eastAsia"/>
          <w:color w:val="auto"/>
        </w:rPr>
        <w:t>1</w:t>
      </w:r>
      <w:r>
        <w:rPr>
          <w:color w:val="auto"/>
        </w:rPr>
        <w:t>分 200 元；</w:t>
      </w:r>
    </w:p>
    <w:p w14:paraId="0D8504D3">
      <w:pPr>
        <w:spacing w:line="364" w:lineRule="auto"/>
        <w:ind w:left="667" w:right="1075" w:firstLine="0" w:firstLineChars="0"/>
        <w:rPr>
          <w:rFonts w:hint="eastAsia"/>
          <w:color w:val="auto"/>
        </w:rPr>
      </w:pPr>
      <w:r>
        <w:rPr>
          <w:color w:val="auto"/>
        </w:rPr>
        <w:t>⑶每月服务质量考核平均分在 90 分（含）以上，但合计有 2 项及以</w:t>
      </w:r>
    </w:p>
    <w:p w14:paraId="4316DBA2">
      <w:pPr>
        <w:spacing w:line="364" w:lineRule="auto"/>
        <w:ind w:right="1075" w:firstLine="0" w:firstLineChars="0"/>
        <w:rPr>
          <w:rFonts w:hint="eastAsia"/>
          <w:color w:val="auto"/>
        </w:rPr>
      </w:pPr>
      <w:r>
        <w:rPr>
          <w:color w:val="auto"/>
        </w:rPr>
        <w:t>上项目未达到 90 分，则合计不足 90 分项目的差额分值扣减服务费，每分 200 元；</w:t>
      </w:r>
    </w:p>
    <w:p w14:paraId="5EF4AC8B">
      <w:pPr>
        <w:spacing w:line="364" w:lineRule="auto"/>
        <w:ind w:left="667" w:right="1075" w:firstLine="0" w:firstLineChars="0"/>
        <w:rPr>
          <w:rFonts w:hint="eastAsia"/>
          <w:color w:val="auto"/>
        </w:rPr>
      </w:pPr>
      <w:r>
        <w:rPr>
          <w:color w:val="auto"/>
        </w:rPr>
        <w:t>⑷每月服务质量考核平均分无论多少，只要有一项考核分在 80 分（不</w:t>
      </w:r>
    </w:p>
    <w:p w14:paraId="6B8C3067">
      <w:pPr>
        <w:spacing w:line="364" w:lineRule="auto"/>
        <w:ind w:right="1075" w:firstLine="0" w:firstLineChars="0"/>
        <w:rPr>
          <w:rFonts w:hint="eastAsia"/>
          <w:color w:val="auto"/>
        </w:rPr>
      </w:pPr>
      <w:r>
        <w:rPr>
          <w:color w:val="auto"/>
        </w:rPr>
        <w:t>含）以下，则合计不足 90 分项目的差额分值扣减服务费，每分 200 元；</w:t>
      </w:r>
    </w:p>
    <w:p w14:paraId="7C29CC6F">
      <w:pPr>
        <w:pStyle w:val="9"/>
        <w:ind w:left="1027" w:firstLine="0" w:firstLineChars="0"/>
        <w:jc w:val="left"/>
        <w:rPr>
          <w:rFonts w:hint="eastAsia"/>
          <w:color w:val="auto"/>
        </w:rPr>
      </w:pPr>
      <w:r>
        <w:rPr>
          <w:color w:val="auto"/>
        </w:rPr>
        <w:t>⑸每月考核总平均分在 80（不含）分以下，或某一服务项目考核在 70 分</w:t>
      </w:r>
    </w:p>
    <w:p w14:paraId="6A94C99D">
      <w:pPr>
        <w:ind w:firstLine="0" w:firstLineChars="0"/>
        <w:jc w:val="left"/>
        <w:rPr>
          <w:rFonts w:hint="eastAsia"/>
          <w:color w:val="auto"/>
        </w:rPr>
      </w:pPr>
      <w:r>
        <w:rPr>
          <w:color w:val="auto"/>
        </w:rPr>
        <w:t>（不含）以下的，为考核不合格，乙方应在甲方规定的整改期限内完成整改， 逾期未整改或整改未达标的，甲方有权提前终止合同。连续两次考核不合</w:t>
      </w:r>
      <w:r>
        <w:rPr>
          <w:rFonts w:hint="eastAsia"/>
          <w:color w:val="auto"/>
        </w:rPr>
        <w:t>格的，</w:t>
      </w:r>
      <w:r>
        <w:rPr>
          <w:color w:val="auto"/>
        </w:rPr>
        <w:t>甲方有</w:t>
      </w:r>
      <w:r>
        <w:rPr>
          <w:rFonts w:hint="eastAsia"/>
          <w:color w:val="auto"/>
        </w:rPr>
        <w:t>权</w:t>
      </w:r>
      <w:r>
        <w:rPr>
          <w:color w:val="auto"/>
        </w:rPr>
        <w:t>终合同；</w:t>
      </w:r>
    </w:p>
    <w:p w14:paraId="69077FA6">
      <w:pPr>
        <w:ind w:firstLine="0" w:firstLineChars="0"/>
        <w:jc w:val="left"/>
        <w:rPr>
          <w:rFonts w:hint="eastAsia"/>
          <w:color w:val="auto"/>
        </w:rPr>
        <w:sectPr>
          <w:type w:val="continuous"/>
          <w:pgSz w:w="11910" w:h="16850"/>
          <w:pgMar w:top="1440" w:right="1418" w:bottom="1440" w:left="1418" w:header="0" w:footer="207" w:gutter="0"/>
          <w:cols w:space="720" w:num="1"/>
          <w:docGrid w:linePitch="326" w:charSpace="0"/>
        </w:sectPr>
      </w:pPr>
    </w:p>
    <w:p w14:paraId="5FB8E78F">
      <w:pPr>
        <w:pStyle w:val="9"/>
        <w:ind w:left="1027" w:firstLine="0" w:firstLineChars="0"/>
        <w:jc w:val="left"/>
        <w:rPr>
          <w:rFonts w:hint="eastAsia"/>
          <w:color w:val="auto"/>
        </w:rPr>
      </w:pPr>
      <w:bookmarkStart w:id="8" w:name="_bookmark19"/>
      <w:bookmarkEnd w:id="8"/>
      <w:r>
        <w:rPr>
          <w:color w:val="auto"/>
        </w:rPr>
        <w:t>⑹对于因乙方过错导致突发事故或重大公共卫生重大问题，医院相关责任</w:t>
      </w:r>
    </w:p>
    <w:p w14:paraId="53983423">
      <w:pPr>
        <w:ind w:firstLine="0" w:firstLineChars="0"/>
        <w:jc w:val="left"/>
        <w:rPr>
          <w:rFonts w:hint="eastAsia"/>
          <w:color w:val="auto"/>
        </w:rPr>
      </w:pPr>
      <w:r>
        <w:rPr>
          <w:color w:val="auto"/>
        </w:rPr>
        <w:t>部门评估其给医院造成的影响或损失程度，不考虑考核分数多少，均给予一次性处罚，处罚金额根据评估结果决定，在当月服务费中予以扣减。</w:t>
      </w:r>
    </w:p>
    <w:p w14:paraId="1114FEBB">
      <w:pPr>
        <w:spacing w:line="364" w:lineRule="auto"/>
        <w:ind w:left="667" w:right="1075" w:firstLine="0" w:firstLineChars="0"/>
        <w:rPr>
          <w:rFonts w:hint="eastAsia"/>
          <w:color w:val="auto"/>
        </w:rPr>
      </w:pPr>
    </w:p>
    <w:p w14:paraId="6D7D0181">
      <w:pPr>
        <w:spacing w:line="364" w:lineRule="auto"/>
        <w:ind w:left="667" w:right="1075" w:firstLine="0" w:firstLineChars="0"/>
        <w:rPr>
          <w:rFonts w:hint="eastAsia"/>
          <w:color w:val="auto"/>
        </w:rPr>
      </w:pPr>
      <w:bookmarkStart w:id="9" w:name="十一、违约责任"/>
      <w:bookmarkEnd w:id="9"/>
      <w:r>
        <w:rPr>
          <w:rFonts w:hint="eastAsia"/>
          <w:color w:val="auto"/>
        </w:rPr>
        <w:t>八</w:t>
      </w:r>
      <w:r>
        <w:rPr>
          <w:color w:val="auto"/>
        </w:rPr>
        <w:t>、违约</w:t>
      </w:r>
      <w:r>
        <w:rPr>
          <w:rFonts w:hint="eastAsia"/>
          <w:color w:val="auto"/>
        </w:rPr>
        <w:t>责</w:t>
      </w:r>
      <w:r>
        <w:rPr>
          <w:color w:val="auto"/>
        </w:rPr>
        <w:t>任</w:t>
      </w:r>
    </w:p>
    <w:p w14:paraId="6FAFAD31">
      <w:pPr>
        <w:pStyle w:val="9"/>
        <w:numPr>
          <w:ilvl w:val="0"/>
          <w:numId w:val="4"/>
        </w:numPr>
        <w:ind w:firstLineChars="0"/>
        <w:jc w:val="left"/>
        <w:rPr>
          <w:rFonts w:hint="eastAsia"/>
          <w:color w:val="auto"/>
        </w:rPr>
      </w:pPr>
      <w:r>
        <w:rPr>
          <w:color w:val="auto"/>
        </w:rPr>
        <w:t>任何一方不履行本合同约定义务或履行义务有瑕疵的均属于违约，应承担相</w:t>
      </w:r>
    </w:p>
    <w:p w14:paraId="41943067">
      <w:pPr>
        <w:ind w:firstLine="0" w:firstLineChars="0"/>
        <w:jc w:val="left"/>
        <w:rPr>
          <w:rFonts w:hint="eastAsia"/>
          <w:color w:val="auto"/>
        </w:rPr>
      </w:pPr>
      <w:r>
        <w:rPr>
          <w:color w:val="auto"/>
        </w:rPr>
        <w:t>应的违约责任。其违约行为造成对方或其他人员（含就医人员）财产损失或人身损害的，应当承担赔偿责任和相关法律责任。</w:t>
      </w:r>
    </w:p>
    <w:p w14:paraId="6D11C624">
      <w:pPr>
        <w:pStyle w:val="9"/>
        <w:numPr>
          <w:ilvl w:val="0"/>
          <w:numId w:val="4"/>
        </w:numPr>
        <w:ind w:firstLineChars="0"/>
        <w:jc w:val="left"/>
        <w:rPr>
          <w:rFonts w:hint="eastAsia"/>
          <w:color w:val="auto"/>
        </w:rPr>
      </w:pPr>
      <w:r>
        <w:rPr>
          <w:color w:val="auto"/>
        </w:rPr>
        <w:t>乙方在进行对医疗服务直接相关的后勤保障服务时违规操作或不尽</w:t>
      </w:r>
      <w:r>
        <w:rPr>
          <w:rFonts w:hint="eastAsia"/>
          <w:color w:val="auto"/>
        </w:rPr>
        <w:t>责任，</w:t>
      </w:r>
      <w:r>
        <w:rPr>
          <w:color w:val="auto"/>
        </w:rPr>
        <w:t>应</w:t>
      </w:r>
    </w:p>
    <w:p w14:paraId="5DEB5467">
      <w:pPr>
        <w:ind w:firstLine="0" w:firstLineChars="0"/>
        <w:jc w:val="left"/>
        <w:rPr>
          <w:rFonts w:hint="eastAsia"/>
          <w:color w:val="auto"/>
        </w:rPr>
      </w:pPr>
      <w:r>
        <w:rPr>
          <w:color w:val="auto"/>
        </w:rPr>
        <w:t>当注意义务造成不良医疗事件的，应按责任程度承担违约赔偿责任。</w:t>
      </w:r>
    </w:p>
    <w:p w14:paraId="2811E10A">
      <w:pPr>
        <w:pStyle w:val="9"/>
        <w:numPr>
          <w:ilvl w:val="0"/>
          <w:numId w:val="4"/>
        </w:numPr>
        <w:ind w:firstLineChars="0"/>
        <w:jc w:val="left"/>
        <w:rPr>
          <w:rFonts w:hint="eastAsia"/>
          <w:color w:val="auto"/>
        </w:rPr>
      </w:pPr>
      <w:r>
        <w:rPr>
          <w:color w:val="auto"/>
        </w:rPr>
        <w:t>乙方以虚构事实或隐瞒真相的手段违规套取、收取费用，除如数追回外， 甲</w:t>
      </w:r>
    </w:p>
    <w:p w14:paraId="50F30C81">
      <w:pPr>
        <w:ind w:firstLine="0" w:firstLineChars="0"/>
        <w:jc w:val="left"/>
        <w:rPr>
          <w:rFonts w:hint="eastAsia"/>
          <w:color w:val="auto"/>
        </w:rPr>
      </w:pPr>
      <w:r>
        <w:rPr>
          <w:color w:val="auto"/>
        </w:rPr>
        <w:t>方因此遭受损失的，乙方还应承担赔偿责任。</w:t>
      </w:r>
    </w:p>
    <w:p w14:paraId="1733A2D5">
      <w:pPr>
        <w:pStyle w:val="9"/>
        <w:numPr>
          <w:ilvl w:val="0"/>
          <w:numId w:val="4"/>
        </w:numPr>
        <w:ind w:firstLineChars="0"/>
        <w:jc w:val="left"/>
        <w:rPr>
          <w:rFonts w:hint="eastAsia"/>
          <w:color w:val="auto"/>
        </w:rPr>
      </w:pPr>
      <w:r>
        <w:rPr>
          <w:color w:val="auto"/>
        </w:rPr>
        <w:t>乙方不承担以下情况所导致的损失的责任：建筑物本身瑕疵导致损失的； 非</w:t>
      </w:r>
    </w:p>
    <w:p w14:paraId="32FA836C">
      <w:pPr>
        <w:ind w:firstLine="0" w:firstLineChars="0"/>
        <w:jc w:val="left"/>
        <w:rPr>
          <w:rFonts w:hint="eastAsia"/>
          <w:color w:val="auto"/>
        </w:rPr>
      </w:pPr>
      <w:r>
        <w:rPr>
          <w:color w:val="auto"/>
        </w:rPr>
        <w:t>乙方责任发生的供水、供电、通讯、电视、网络及其他共用设施设</w:t>
      </w:r>
      <w:r>
        <w:rPr>
          <w:rFonts w:hint="eastAsia"/>
          <w:color w:val="auto"/>
        </w:rPr>
        <w:t>备障碍</w:t>
      </w:r>
      <w:r>
        <w:rPr>
          <w:color w:val="auto"/>
        </w:rPr>
        <w:t>造成损失的。</w:t>
      </w:r>
    </w:p>
    <w:p w14:paraId="4F9088FF">
      <w:pPr>
        <w:ind w:left="667" w:firstLine="0" w:firstLineChars="0"/>
        <w:jc w:val="left"/>
        <w:rPr>
          <w:rFonts w:hint="eastAsia"/>
          <w:color w:val="auto"/>
        </w:rPr>
      </w:pPr>
      <w:r>
        <w:rPr>
          <w:rFonts w:hint="eastAsia"/>
          <w:color w:val="auto"/>
        </w:rPr>
        <w:t>5、</w:t>
      </w:r>
      <w:r>
        <w:rPr>
          <w:color w:val="auto"/>
        </w:rPr>
        <w:t>任何一方未能按照合同约定的情形及程序自行解除合同属严重违约赔偿对方</w:t>
      </w:r>
    </w:p>
    <w:p w14:paraId="76E47267">
      <w:pPr>
        <w:ind w:firstLine="0" w:firstLineChars="0"/>
        <w:jc w:val="left"/>
        <w:rPr>
          <w:rFonts w:hint="eastAsia"/>
          <w:color w:val="auto"/>
        </w:rPr>
      </w:pPr>
      <w:r>
        <w:rPr>
          <w:color w:val="auto"/>
        </w:rPr>
        <w:t>因此造成的直接损失。</w:t>
      </w:r>
    </w:p>
    <w:p w14:paraId="3505DC78">
      <w:pPr>
        <w:ind w:left="708" w:firstLine="0" w:firstLineChars="0"/>
        <w:jc w:val="left"/>
        <w:rPr>
          <w:rFonts w:hint="eastAsia"/>
          <w:color w:val="auto"/>
        </w:rPr>
      </w:pPr>
      <w:r>
        <w:rPr>
          <w:rFonts w:hint="eastAsia"/>
          <w:color w:val="auto"/>
        </w:rPr>
        <w:t>6、</w:t>
      </w:r>
      <w:r>
        <w:rPr>
          <w:color w:val="auto"/>
        </w:rPr>
        <w:t>乙方提供的服务不符合本合同规定的，甲方有权拒收，并且乙方须向甲方支</w:t>
      </w:r>
    </w:p>
    <w:p w14:paraId="3CE7B598">
      <w:pPr>
        <w:ind w:firstLine="0" w:firstLineChars="0"/>
        <w:jc w:val="left"/>
        <w:rPr>
          <w:rFonts w:hint="eastAsia"/>
          <w:color w:val="auto"/>
        </w:rPr>
      </w:pPr>
      <w:r>
        <w:rPr>
          <w:color w:val="auto"/>
        </w:rPr>
        <w:t>付本合同总价5%的违约金。</w:t>
      </w:r>
    </w:p>
    <w:p w14:paraId="202E656F">
      <w:pPr>
        <w:ind w:left="708" w:firstLine="0" w:firstLineChars="0"/>
        <w:jc w:val="left"/>
        <w:rPr>
          <w:rFonts w:hint="eastAsia"/>
          <w:color w:val="auto"/>
        </w:rPr>
      </w:pPr>
      <w:r>
        <w:rPr>
          <w:rFonts w:hint="eastAsia"/>
          <w:color w:val="auto"/>
        </w:rPr>
        <w:t>7、</w:t>
      </w:r>
      <w:r>
        <w:rPr>
          <w:color w:val="auto"/>
        </w:rPr>
        <w:t>乙方未能按本合同规定的交货时间提供服务，从逾期之日起每日按本合同总</w:t>
      </w:r>
    </w:p>
    <w:p w14:paraId="2EF6054E">
      <w:pPr>
        <w:ind w:firstLine="0" w:firstLineChars="0"/>
        <w:jc w:val="left"/>
        <w:rPr>
          <w:rFonts w:hint="eastAsia"/>
          <w:color w:val="auto"/>
        </w:rPr>
      </w:pPr>
      <w:r>
        <w:rPr>
          <w:color w:val="auto"/>
        </w:rPr>
        <w:t>价3‰的数额向甲方支付违约金；逾期半个月以上的，甲方有权终止合同，由此造成的甲方经济损失由乙方承担。</w:t>
      </w:r>
    </w:p>
    <w:p w14:paraId="2F363ABB">
      <w:pPr>
        <w:ind w:firstLine="720" w:firstLineChars="300"/>
        <w:jc w:val="left"/>
        <w:rPr>
          <w:rFonts w:hint="eastAsia"/>
          <w:color w:val="auto"/>
        </w:rPr>
      </w:pPr>
      <w:r>
        <w:rPr>
          <w:rFonts w:hint="eastAsia"/>
          <w:color w:val="auto"/>
        </w:rPr>
        <w:t>8、</w:t>
      </w:r>
      <w:r>
        <w:rPr>
          <w:color w:val="auto"/>
        </w:rPr>
        <w:t>甲方无正当理由拒收接受服务，到期拒付服务款项的，甲方向乙方偿付本合同总价的5%的违约金。甲方人逾期付款，则每日按本合同总价的3‰向乙方偿付违约金。</w:t>
      </w:r>
    </w:p>
    <w:p w14:paraId="4E77F704">
      <w:pPr>
        <w:ind w:left="708" w:firstLine="0" w:firstLineChars="0"/>
        <w:jc w:val="left"/>
        <w:rPr>
          <w:rFonts w:hint="eastAsia"/>
          <w:color w:val="auto"/>
        </w:rPr>
      </w:pPr>
      <w:r>
        <w:rPr>
          <w:rFonts w:hint="eastAsia"/>
          <w:color w:val="auto"/>
        </w:rPr>
        <w:t>9、</w:t>
      </w:r>
      <w:r>
        <w:rPr>
          <w:color w:val="auto"/>
        </w:rPr>
        <w:t>因政府采购政策调整需提前终止合同的，甲方须提前一个月书面告知乙方，</w:t>
      </w:r>
    </w:p>
    <w:p w14:paraId="6B4C418C">
      <w:pPr>
        <w:ind w:firstLine="0" w:firstLineChars="0"/>
        <w:jc w:val="left"/>
        <w:rPr>
          <w:rFonts w:hint="eastAsia"/>
          <w:color w:val="auto"/>
        </w:rPr>
      </w:pPr>
      <w:r>
        <w:rPr>
          <w:color w:val="auto"/>
        </w:rPr>
        <w:t>甲方不承担因政府采购政策调整提前终止合同给乙方造成的损失。</w:t>
      </w:r>
    </w:p>
    <w:p w14:paraId="677B83AE">
      <w:pPr>
        <w:pStyle w:val="9"/>
        <w:numPr>
          <w:ilvl w:val="0"/>
          <w:numId w:val="5"/>
        </w:numPr>
        <w:ind w:firstLineChars="0"/>
        <w:jc w:val="left"/>
        <w:rPr>
          <w:rFonts w:hint="eastAsia"/>
          <w:color w:val="auto"/>
        </w:rPr>
        <w:sectPr>
          <w:type w:val="continuous"/>
          <w:pgSz w:w="11910" w:h="16850"/>
          <w:pgMar w:top="1440" w:right="1418" w:bottom="1440" w:left="1418" w:header="0" w:footer="207" w:gutter="0"/>
          <w:cols w:space="720" w:num="1"/>
          <w:docGrid w:linePitch="326" w:charSpace="0"/>
        </w:sectPr>
      </w:pPr>
    </w:p>
    <w:p w14:paraId="087792BD">
      <w:pPr>
        <w:ind w:firstLine="720" w:firstLineChars="300"/>
        <w:jc w:val="left"/>
        <w:rPr>
          <w:rFonts w:hint="eastAsia"/>
          <w:color w:val="auto"/>
        </w:rPr>
      </w:pPr>
      <w:bookmarkStart w:id="10" w:name="_bookmark20"/>
      <w:bookmarkEnd w:id="10"/>
      <w:r>
        <w:rPr>
          <w:rFonts w:hint="eastAsia"/>
          <w:color w:val="auto"/>
        </w:rPr>
        <w:t>10、</w:t>
      </w:r>
      <w:r>
        <w:rPr>
          <w:color w:val="auto"/>
        </w:rPr>
        <w:t>其它违约责任按《中华人民共和国民法典(合同编)》处理。</w:t>
      </w:r>
    </w:p>
    <w:p w14:paraId="6E451F0B">
      <w:pPr>
        <w:spacing w:line="364" w:lineRule="auto"/>
        <w:ind w:left="667" w:right="1075" w:firstLine="0" w:firstLineChars="0"/>
        <w:rPr>
          <w:rFonts w:hint="eastAsia"/>
          <w:color w:val="auto"/>
        </w:rPr>
      </w:pPr>
      <w:r>
        <w:rPr>
          <w:rFonts w:hint="eastAsia"/>
          <w:color w:val="auto"/>
        </w:rPr>
        <w:t>11、</w:t>
      </w:r>
      <w:r>
        <w:rPr>
          <w:color w:val="auto"/>
        </w:rPr>
        <w:t>双方互为免责约定</w:t>
      </w:r>
    </w:p>
    <w:p w14:paraId="6CC4E6A6">
      <w:pPr>
        <w:spacing w:line="364" w:lineRule="auto"/>
        <w:ind w:left="667" w:right="1075" w:firstLine="0" w:firstLineChars="0"/>
        <w:rPr>
          <w:rFonts w:hint="eastAsia"/>
          <w:color w:val="auto"/>
        </w:rPr>
      </w:pPr>
      <w:r>
        <w:rPr>
          <w:rFonts w:hint="eastAsia"/>
          <w:color w:val="auto"/>
        </w:rPr>
        <w:t>（1）</w:t>
      </w:r>
      <w:r>
        <w:rPr>
          <w:color w:val="auto"/>
        </w:rPr>
        <w:t>住院病患者的违规行为导致损失的。</w:t>
      </w:r>
    </w:p>
    <w:p w14:paraId="58D15FAC">
      <w:pPr>
        <w:spacing w:line="364" w:lineRule="auto"/>
        <w:ind w:left="667" w:right="1075" w:firstLine="0" w:firstLineChars="0"/>
        <w:rPr>
          <w:rFonts w:hint="eastAsia"/>
          <w:color w:val="auto"/>
        </w:rPr>
      </w:pPr>
      <w:r>
        <w:rPr>
          <w:rFonts w:hint="eastAsia"/>
          <w:color w:val="auto"/>
        </w:rPr>
        <w:t>（2）</w:t>
      </w:r>
      <w:r>
        <w:rPr>
          <w:color w:val="auto"/>
        </w:rPr>
        <w:t>由第三方责任原因导致损失的。</w:t>
      </w:r>
    </w:p>
    <w:p w14:paraId="73501C94">
      <w:pPr>
        <w:spacing w:line="364" w:lineRule="auto"/>
        <w:ind w:left="667" w:right="1075" w:firstLine="0" w:firstLineChars="0"/>
        <w:rPr>
          <w:rFonts w:hint="eastAsia"/>
          <w:color w:val="auto"/>
        </w:rPr>
      </w:pPr>
      <w:r>
        <w:rPr>
          <w:rFonts w:hint="eastAsia"/>
          <w:color w:val="auto"/>
        </w:rPr>
        <w:t>（3）</w:t>
      </w:r>
      <w:r>
        <w:rPr>
          <w:color w:val="auto"/>
        </w:rPr>
        <w:t>不可抗拒力的原因导致不能履约的。</w:t>
      </w:r>
    </w:p>
    <w:p w14:paraId="63654476">
      <w:pPr>
        <w:spacing w:line="364" w:lineRule="auto"/>
        <w:ind w:left="667" w:right="1075" w:firstLine="0" w:firstLineChars="0"/>
        <w:rPr>
          <w:rFonts w:hint="eastAsia"/>
          <w:color w:val="auto"/>
        </w:rPr>
      </w:pPr>
      <w:r>
        <w:rPr>
          <w:rFonts w:hint="eastAsia"/>
          <w:color w:val="auto"/>
        </w:rPr>
        <w:t>（4）</w:t>
      </w:r>
      <w:r>
        <w:rPr>
          <w:color w:val="auto"/>
        </w:rPr>
        <w:t xml:space="preserve">双方同意，双方皆不负担对方任何的商业损失、利润或收入损失、 </w:t>
      </w:r>
    </w:p>
    <w:p w14:paraId="3F0055E2">
      <w:pPr>
        <w:spacing w:line="364" w:lineRule="auto"/>
        <w:ind w:right="1075" w:firstLine="0" w:firstLineChars="0"/>
        <w:rPr>
          <w:rFonts w:hint="eastAsia"/>
          <w:color w:val="auto"/>
        </w:rPr>
      </w:pPr>
      <w:r>
        <w:rPr>
          <w:color w:val="auto"/>
        </w:rPr>
        <w:t>以及其他附带的或间接的损失。</w:t>
      </w:r>
    </w:p>
    <w:p w14:paraId="0AEB91FA">
      <w:pPr>
        <w:ind w:firstLine="482"/>
        <w:jc w:val="left"/>
        <w:rPr>
          <w:rFonts w:hint="eastAsia"/>
          <w:color w:val="auto"/>
        </w:rPr>
      </w:pPr>
      <w:r>
        <w:rPr>
          <w:rFonts w:hint="eastAsia"/>
          <w:b/>
          <w:color w:val="auto"/>
        </w:rPr>
        <w:t>九</w:t>
      </w:r>
      <w:r>
        <w:rPr>
          <w:b/>
          <w:color w:val="auto"/>
        </w:rPr>
        <w:t>、不可抗力</w:t>
      </w:r>
    </w:p>
    <w:p w14:paraId="0A4BD341">
      <w:pPr>
        <w:jc w:val="left"/>
        <w:rPr>
          <w:rFonts w:hint="eastAsia"/>
          <w:color w:val="auto"/>
        </w:rPr>
      </w:pPr>
      <w:r>
        <w:rPr>
          <w:color w:val="auto"/>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9F41744">
      <w:pPr>
        <w:ind w:firstLine="482"/>
        <w:jc w:val="left"/>
        <w:rPr>
          <w:rFonts w:hint="eastAsia"/>
          <w:color w:val="auto"/>
        </w:rPr>
      </w:pPr>
      <w:r>
        <w:rPr>
          <w:b/>
          <w:color w:val="auto"/>
        </w:rPr>
        <w:t>十、税费</w:t>
      </w:r>
    </w:p>
    <w:p w14:paraId="442D5D73">
      <w:pPr>
        <w:jc w:val="left"/>
        <w:rPr>
          <w:rFonts w:hint="eastAsia"/>
          <w:color w:val="auto"/>
        </w:rPr>
      </w:pPr>
      <w:r>
        <w:rPr>
          <w:color w:val="auto"/>
        </w:rPr>
        <w:t>　　在中国境内、外发生的与本合同执行有关的一切税费均由乙方负担。</w:t>
      </w:r>
    </w:p>
    <w:p w14:paraId="1B66E523">
      <w:pPr>
        <w:spacing w:line="364" w:lineRule="auto"/>
        <w:ind w:right="1075" w:firstLineChars="0"/>
        <w:rPr>
          <w:rFonts w:hint="eastAsia"/>
          <w:b/>
          <w:bCs/>
          <w:color w:val="auto"/>
        </w:rPr>
      </w:pPr>
      <w:r>
        <w:rPr>
          <w:b/>
          <w:bCs/>
          <w:color w:val="auto"/>
        </w:rPr>
        <w:t>十</w:t>
      </w:r>
      <w:r>
        <w:rPr>
          <w:rFonts w:hint="eastAsia"/>
          <w:b/>
          <w:bCs/>
          <w:color w:val="auto"/>
        </w:rPr>
        <w:t>一</w:t>
      </w:r>
      <w:r>
        <w:rPr>
          <w:b/>
          <w:bCs/>
          <w:color w:val="auto"/>
        </w:rPr>
        <w:t>、合同纠纷处理</w:t>
      </w:r>
    </w:p>
    <w:p w14:paraId="557139D1">
      <w:pPr>
        <w:spacing w:line="364" w:lineRule="auto"/>
        <w:ind w:left="667" w:right="1075" w:firstLine="0" w:firstLineChars="0"/>
        <w:rPr>
          <w:rFonts w:hint="eastAsia"/>
          <w:color w:val="auto"/>
        </w:rPr>
      </w:pPr>
      <w:bookmarkStart w:id="11" w:name="本合同履行过程中发生的任何争议，甲乙双方当事人均可通过和解或者调解解决；上愿和解"/>
      <w:bookmarkEnd w:id="11"/>
      <w:r>
        <w:rPr>
          <w:color w:val="auto"/>
        </w:rPr>
        <w:t>本合同履行过程中发生的任何争议，甲乙双方当事人均可通过和解或者</w:t>
      </w:r>
    </w:p>
    <w:p w14:paraId="73C3F96A">
      <w:pPr>
        <w:spacing w:line="364" w:lineRule="auto"/>
        <w:ind w:right="1075" w:firstLine="0" w:firstLineChars="0"/>
        <w:rPr>
          <w:rFonts w:hint="eastAsia"/>
          <w:color w:val="auto"/>
        </w:rPr>
      </w:pPr>
      <w:r>
        <w:rPr>
          <w:color w:val="auto"/>
        </w:rPr>
        <w:t xml:space="preserve">调解解决；不愿和解、调解或者和解、调解不成的，可以选择下列第 </w:t>
      </w:r>
      <w:r>
        <w:rPr>
          <w:color w:val="auto"/>
        </w:rPr>
        <w:tab/>
      </w:r>
      <w:r>
        <w:rPr>
          <w:color w:val="auto"/>
        </w:rPr>
        <w:t>种方式解决：</w:t>
      </w:r>
    </w:p>
    <w:p w14:paraId="40444654">
      <w:pPr>
        <w:spacing w:line="364" w:lineRule="auto"/>
        <w:ind w:right="1075" w:firstLine="720" w:firstLineChars="300"/>
        <w:rPr>
          <w:rFonts w:hint="eastAsia"/>
          <w:color w:val="auto"/>
        </w:rPr>
      </w:pPr>
      <w:r>
        <w:rPr>
          <w:rFonts w:hint="eastAsia"/>
          <w:color w:val="auto"/>
        </w:rPr>
        <w:t>1、</w:t>
      </w:r>
      <w:r>
        <w:rPr>
          <w:color w:val="auto"/>
        </w:rPr>
        <w:t xml:space="preserve">将争议提交 </w:t>
      </w:r>
      <w:r>
        <w:rPr>
          <w:color w:val="auto"/>
        </w:rPr>
        <w:tab/>
      </w:r>
      <w:r>
        <w:rPr>
          <w:color w:val="auto"/>
        </w:rPr>
        <w:t>仲裁委员会依申请仲裁时其现行有效的仲裁规则裁决；</w:t>
      </w:r>
    </w:p>
    <w:p w14:paraId="164AD0DF">
      <w:pPr>
        <w:spacing w:line="364" w:lineRule="auto"/>
        <w:ind w:left="667" w:right="1075" w:firstLine="0" w:firstLineChars="0"/>
        <w:rPr>
          <w:rFonts w:hint="eastAsia"/>
          <w:color w:val="auto"/>
        </w:rPr>
      </w:pPr>
      <w:r>
        <w:rPr>
          <w:rFonts w:hint="eastAsia"/>
          <w:color w:val="auto"/>
        </w:rPr>
        <w:t>2、</w:t>
      </w:r>
      <w:r>
        <w:rPr>
          <w:color w:val="auto"/>
        </w:rPr>
        <w:t>向（被告住所地、合同履行地、合同签订地、原告住所地、标的物</w:t>
      </w:r>
    </w:p>
    <w:p w14:paraId="4F3BB202">
      <w:pPr>
        <w:spacing w:line="364" w:lineRule="auto"/>
        <w:ind w:right="1075" w:firstLine="0" w:firstLineChars="0"/>
        <w:rPr>
          <w:rFonts w:hint="eastAsia"/>
          <w:color w:val="auto"/>
        </w:rPr>
      </w:pPr>
      <w:r>
        <w:rPr>
          <w:color w:val="auto"/>
        </w:rPr>
        <w:t>所在地等与争议有实际联系的地点中选出的人民法院名称）人民法院起诉。</w:t>
      </w:r>
    </w:p>
    <w:p w14:paraId="4028DD01">
      <w:pPr>
        <w:spacing w:line="364" w:lineRule="auto"/>
        <w:ind w:left="667" w:right="1075" w:firstLine="0" w:firstLineChars="0"/>
        <w:rPr>
          <w:rFonts w:hint="eastAsia"/>
          <w:b/>
          <w:bCs/>
          <w:color w:val="auto"/>
        </w:rPr>
      </w:pPr>
      <w:bookmarkStart w:id="12" w:name="十三、政府采购合同生效"/>
      <w:bookmarkEnd w:id="12"/>
      <w:r>
        <w:rPr>
          <w:b/>
          <w:bCs/>
          <w:color w:val="auto"/>
        </w:rPr>
        <w:t>十</w:t>
      </w:r>
      <w:r>
        <w:rPr>
          <w:rFonts w:hint="eastAsia"/>
          <w:b/>
          <w:bCs/>
          <w:color w:val="auto"/>
        </w:rPr>
        <w:t>二</w:t>
      </w:r>
      <w:r>
        <w:rPr>
          <w:b/>
          <w:bCs/>
          <w:color w:val="auto"/>
        </w:rPr>
        <w:t>、采购合同生效</w:t>
      </w:r>
      <w:bookmarkStart w:id="13" w:name="本政府采购合同经甲乙双方授权代表签字盖章后生效。"/>
      <w:bookmarkEnd w:id="13"/>
    </w:p>
    <w:p w14:paraId="7AB346E0">
      <w:pPr>
        <w:jc w:val="left"/>
        <w:rPr>
          <w:rFonts w:hint="eastAsia"/>
          <w:color w:val="auto"/>
        </w:rPr>
      </w:pPr>
      <w:r>
        <w:rPr>
          <w:color w:val="auto"/>
        </w:rPr>
        <w:t>1.本合同在甲乙双方法人代表或其授权代表签字盖章后生效。</w:t>
      </w:r>
    </w:p>
    <w:p w14:paraId="4AB30592">
      <w:pPr>
        <w:jc w:val="left"/>
        <w:rPr>
          <w:rFonts w:hint="eastAsia"/>
          <w:color w:val="auto"/>
        </w:rPr>
      </w:pPr>
      <w:r>
        <w:rPr>
          <w:color w:val="auto"/>
        </w:rPr>
        <w:t>2.合同一式</w:t>
      </w:r>
      <w:r>
        <w:rPr>
          <w:rFonts w:hint="eastAsia"/>
          <w:color w:val="auto"/>
        </w:rPr>
        <w:t xml:space="preserve">  </w:t>
      </w:r>
      <w:r>
        <w:rPr>
          <w:color w:val="auto"/>
        </w:rPr>
        <w:t>份。甲方执</w:t>
      </w:r>
      <w:r>
        <w:rPr>
          <w:rFonts w:hint="eastAsia"/>
          <w:color w:val="auto"/>
        </w:rPr>
        <w:t xml:space="preserve">  </w:t>
      </w:r>
      <w:r>
        <w:rPr>
          <w:color w:val="auto"/>
        </w:rPr>
        <w:t>份，乙方执</w:t>
      </w:r>
      <w:r>
        <w:rPr>
          <w:rFonts w:hint="eastAsia"/>
          <w:color w:val="auto"/>
        </w:rPr>
        <w:t xml:space="preserve">  </w:t>
      </w:r>
      <w:r>
        <w:rPr>
          <w:color w:val="auto"/>
        </w:rPr>
        <w:t>份，具有同等法律效力。</w:t>
      </w:r>
      <w:bookmarkStart w:id="14" w:name="本合同共三份：甲方一份、乙方一份、海南省政府采购中心一份。"/>
      <w:bookmarkEnd w:id="14"/>
    </w:p>
    <w:p w14:paraId="50E9982A">
      <w:pPr>
        <w:spacing w:line="364" w:lineRule="auto"/>
        <w:ind w:left="667" w:right="1075" w:firstLine="0" w:firstLineChars="0"/>
        <w:rPr>
          <w:rFonts w:hint="eastAsia"/>
          <w:color w:val="auto"/>
        </w:rPr>
      </w:pPr>
      <w:r>
        <w:rPr>
          <w:color w:val="auto"/>
        </w:rPr>
        <w:t>十</w:t>
      </w:r>
      <w:r>
        <w:rPr>
          <w:rFonts w:hint="eastAsia"/>
          <w:color w:val="auto"/>
        </w:rPr>
        <w:t>三</w:t>
      </w:r>
      <w:r>
        <w:rPr>
          <w:color w:val="auto"/>
        </w:rPr>
        <w:t>、</w:t>
      </w:r>
      <w:bookmarkStart w:id="15" w:name="集中采购机构应当在本合同上签章，以证明本合同条款与招标文件、投标文件的相关要求相"/>
      <w:bookmarkEnd w:id="15"/>
      <w:r>
        <w:rPr>
          <w:color w:val="auto"/>
        </w:rPr>
        <w:t>其他</w:t>
      </w:r>
    </w:p>
    <w:p w14:paraId="2C7F7334">
      <w:pPr>
        <w:pStyle w:val="9"/>
        <w:numPr>
          <w:ilvl w:val="0"/>
          <w:numId w:val="6"/>
        </w:numPr>
        <w:ind w:firstLineChars="0"/>
        <w:jc w:val="left"/>
        <w:rPr>
          <w:rFonts w:hint="eastAsia"/>
          <w:color w:val="auto"/>
        </w:rPr>
      </w:pPr>
      <w:r>
        <w:rPr>
          <w:color w:val="auto"/>
        </w:rPr>
        <w:t>本合同所有附件、招标文件、投标文件、中标通知书均为合同的有效组成部分，与本合同具有同等法律效力。</w:t>
      </w:r>
      <w:bookmarkStart w:id="16" w:name="本合同未尽事宜，双方可以增加条款或补充协议的形式加以补充，但增加或补充协议的条款"/>
      <w:bookmarkEnd w:id="16"/>
      <w:bookmarkStart w:id="17" w:name="_bookmark21"/>
      <w:bookmarkEnd w:id="17"/>
    </w:p>
    <w:p w14:paraId="3073539B">
      <w:pPr>
        <w:pStyle w:val="9"/>
        <w:numPr>
          <w:ilvl w:val="0"/>
          <w:numId w:val="6"/>
        </w:numPr>
        <w:ind w:firstLineChars="0"/>
        <w:jc w:val="left"/>
        <w:rPr>
          <w:rFonts w:hint="eastAsia"/>
          <w:color w:val="auto"/>
        </w:rPr>
      </w:pPr>
      <w:r>
        <w:rPr>
          <w:color w:val="auto"/>
        </w:rPr>
        <w:t>本合同未尽事宜，双方可以增加条款或补充协议的形式加以补充，但增加或补充协议的条款不得对招标文件和投标文件约定的内容作实质性修改。补充协议与本合同具有相同的法律效力。</w:t>
      </w:r>
    </w:p>
    <w:p w14:paraId="535B203F">
      <w:pPr>
        <w:pStyle w:val="3"/>
        <w:rPr>
          <w:rFonts w:hint="eastAsia"/>
          <w:color w:val="auto"/>
          <w:sz w:val="24"/>
          <w:szCs w:val="24"/>
        </w:rPr>
      </w:pPr>
    </w:p>
    <w:p w14:paraId="69F100E7">
      <w:pPr>
        <w:spacing w:before="185" w:line="364" w:lineRule="auto"/>
        <w:ind w:right="4901"/>
        <w:rPr>
          <w:rFonts w:hint="eastAsia"/>
          <w:color w:val="auto"/>
        </w:rPr>
      </w:pPr>
      <w:r>
        <w:rPr>
          <w:color w:val="auto"/>
        </w:rPr>
        <w:t>附件：</w:t>
      </w:r>
    </w:p>
    <w:p w14:paraId="5DBC8CF6">
      <w:pPr>
        <w:pStyle w:val="9"/>
        <w:numPr>
          <w:ilvl w:val="0"/>
          <w:numId w:val="7"/>
        </w:numPr>
        <w:spacing w:before="185" w:line="364" w:lineRule="auto"/>
        <w:ind w:right="4901" w:firstLineChars="0"/>
        <w:rPr>
          <w:rFonts w:hint="eastAsia"/>
          <w:color w:val="auto"/>
        </w:rPr>
      </w:pPr>
      <w:r>
        <w:rPr>
          <w:color w:val="auto"/>
        </w:rPr>
        <w:t>开标一览表、</w:t>
      </w:r>
    </w:p>
    <w:p w14:paraId="25789A8D">
      <w:pPr>
        <w:pStyle w:val="9"/>
        <w:numPr>
          <w:ilvl w:val="0"/>
          <w:numId w:val="7"/>
        </w:numPr>
        <w:spacing w:before="185" w:line="364" w:lineRule="auto"/>
        <w:ind w:right="4901" w:firstLineChars="0"/>
        <w:rPr>
          <w:rFonts w:hint="eastAsia"/>
          <w:color w:val="auto"/>
        </w:rPr>
      </w:pPr>
      <w:r>
        <w:rPr>
          <w:color w:val="auto"/>
        </w:rPr>
        <w:t>分</w:t>
      </w:r>
      <w:r>
        <w:rPr>
          <w:rFonts w:hint="eastAsia"/>
          <w:color w:val="auto"/>
        </w:rPr>
        <w:t>项</w:t>
      </w:r>
      <w:r>
        <w:rPr>
          <w:color w:val="auto"/>
        </w:rPr>
        <w:t>报价明细表；</w:t>
      </w:r>
    </w:p>
    <w:p w14:paraId="1ECDDD41">
      <w:pPr>
        <w:pStyle w:val="9"/>
        <w:numPr>
          <w:ilvl w:val="0"/>
          <w:numId w:val="7"/>
        </w:numPr>
        <w:spacing w:before="185" w:line="364" w:lineRule="auto"/>
        <w:ind w:right="4901" w:firstLineChars="0"/>
        <w:rPr>
          <w:rFonts w:hint="eastAsia"/>
          <w:color w:val="auto"/>
        </w:rPr>
      </w:pPr>
      <w:r>
        <w:rPr>
          <w:color w:val="auto"/>
        </w:rPr>
        <w:t xml:space="preserve"> 技术、商务响应表；</w:t>
      </w:r>
    </w:p>
    <w:p w14:paraId="5AADCBC5">
      <w:pPr>
        <w:pStyle w:val="9"/>
        <w:numPr>
          <w:ilvl w:val="0"/>
          <w:numId w:val="7"/>
        </w:numPr>
        <w:spacing w:before="185" w:line="364" w:lineRule="auto"/>
        <w:ind w:right="4901" w:firstLineChars="0"/>
        <w:rPr>
          <w:rFonts w:hint="eastAsia"/>
          <w:color w:val="auto"/>
        </w:rPr>
      </w:pPr>
      <w:r>
        <w:rPr>
          <w:color w:val="auto"/>
        </w:rPr>
        <w:t>中标通知书。</w:t>
      </w:r>
    </w:p>
    <w:p w14:paraId="586F3781">
      <w:pPr>
        <w:pStyle w:val="3"/>
        <w:rPr>
          <w:rFonts w:hint="eastAsia"/>
          <w:color w:val="auto"/>
          <w:sz w:val="24"/>
          <w:szCs w:val="24"/>
        </w:rPr>
      </w:pPr>
    </w:p>
    <w:p w14:paraId="3DB14221">
      <w:pPr>
        <w:pStyle w:val="3"/>
        <w:spacing w:before="4"/>
        <w:rPr>
          <w:rFonts w:hint="eastAsia"/>
          <w:color w:val="auto"/>
          <w:sz w:val="24"/>
          <w:szCs w:val="24"/>
        </w:rPr>
      </w:pPr>
    </w:p>
    <w:p w14:paraId="5442C5E7">
      <w:pPr>
        <w:pStyle w:val="3"/>
        <w:spacing w:before="4"/>
        <w:rPr>
          <w:rFonts w:hint="eastAsia"/>
          <w:color w:val="auto"/>
          <w:sz w:val="24"/>
          <w:szCs w:val="24"/>
        </w:rPr>
      </w:pPr>
    </w:p>
    <w:p w14:paraId="20AF078F">
      <w:pPr>
        <w:pStyle w:val="3"/>
        <w:spacing w:before="4"/>
        <w:ind w:firstLine="0" w:firstLineChars="0"/>
        <w:rPr>
          <w:rFonts w:hint="eastAsia"/>
          <w:color w:val="auto"/>
          <w:sz w:val="24"/>
          <w:szCs w:val="24"/>
        </w:rPr>
      </w:pPr>
    </w:p>
    <w:p w14:paraId="75C1CE37">
      <w:pPr>
        <w:tabs>
          <w:tab w:val="left" w:pos="5811"/>
        </w:tabs>
        <w:ind w:left="626"/>
        <w:rPr>
          <w:rFonts w:hint="eastAsia"/>
          <w:color w:val="auto"/>
        </w:rPr>
      </w:pPr>
      <w:r>
        <w:rPr>
          <w:color w:val="auto"/>
        </w:rPr>
        <w:t>甲方（公章）:</w:t>
      </w:r>
      <w:r>
        <w:rPr>
          <w:color w:val="auto"/>
        </w:rPr>
        <w:tab/>
      </w:r>
      <w:r>
        <w:rPr>
          <w:color w:val="auto"/>
        </w:rPr>
        <w:t>乙方(公章):</w:t>
      </w:r>
    </w:p>
    <w:p w14:paraId="271108F2">
      <w:pPr>
        <w:tabs>
          <w:tab w:val="left" w:pos="5811"/>
        </w:tabs>
        <w:spacing w:before="3"/>
        <w:ind w:left="626"/>
        <w:rPr>
          <w:rFonts w:hint="eastAsia"/>
          <w:color w:val="auto"/>
        </w:rPr>
      </w:pPr>
      <w:r>
        <w:rPr>
          <w:color w:val="auto"/>
        </w:rPr>
        <w:t>办公地址：</w:t>
      </w:r>
      <w:r>
        <w:rPr>
          <w:color w:val="auto"/>
        </w:rPr>
        <w:tab/>
      </w:r>
      <w:r>
        <w:rPr>
          <w:color w:val="auto"/>
        </w:rPr>
        <w:t>办公地址：</w:t>
      </w:r>
    </w:p>
    <w:p w14:paraId="5390F438">
      <w:pPr>
        <w:tabs>
          <w:tab w:val="left" w:pos="5811"/>
        </w:tabs>
        <w:spacing w:before="4"/>
        <w:ind w:left="626"/>
        <w:rPr>
          <w:rFonts w:hint="eastAsia"/>
          <w:color w:val="auto"/>
        </w:rPr>
      </w:pPr>
      <w:r>
        <w:rPr>
          <w:color w:val="auto"/>
        </w:rPr>
        <w:t>法定代表人</w:t>
      </w:r>
      <w:r>
        <w:rPr>
          <w:color w:val="auto"/>
        </w:rPr>
        <w:tab/>
      </w:r>
      <w:r>
        <w:rPr>
          <w:color w:val="auto"/>
        </w:rPr>
        <w:t>法定代表人</w:t>
      </w:r>
    </w:p>
    <w:p w14:paraId="7AF5ED0B">
      <w:pPr>
        <w:tabs>
          <w:tab w:val="left" w:pos="5811"/>
        </w:tabs>
        <w:spacing w:before="6"/>
        <w:ind w:left="626"/>
        <w:rPr>
          <w:rFonts w:hint="eastAsia"/>
          <w:color w:val="auto"/>
        </w:rPr>
      </w:pPr>
      <w:r>
        <w:rPr>
          <w:color w:val="auto"/>
        </w:rPr>
        <w:t>或授权代表(签字):</w:t>
      </w:r>
      <w:r>
        <w:rPr>
          <w:color w:val="auto"/>
        </w:rPr>
        <w:tab/>
      </w:r>
      <w:r>
        <w:rPr>
          <w:color w:val="auto"/>
        </w:rPr>
        <w:t>或授权代表(签字):</w:t>
      </w:r>
    </w:p>
    <w:p w14:paraId="4793C3FE">
      <w:pPr>
        <w:tabs>
          <w:tab w:val="left" w:pos="5811"/>
        </w:tabs>
        <w:spacing w:before="4"/>
        <w:ind w:left="626"/>
        <w:rPr>
          <w:rFonts w:hint="eastAsia"/>
          <w:color w:val="auto"/>
        </w:rPr>
      </w:pPr>
      <w:r>
        <w:rPr>
          <w:color w:val="auto"/>
        </w:rPr>
        <w:t>联系人：</w:t>
      </w:r>
      <w:r>
        <w:rPr>
          <w:color w:val="auto"/>
        </w:rPr>
        <w:tab/>
      </w:r>
      <w:r>
        <w:rPr>
          <w:color w:val="auto"/>
        </w:rPr>
        <w:t>联系人：</w:t>
      </w:r>
    </w:p>
    <w:p w14:paraId="0AD2D100">
      <w:pPr>
        <w:tabs>
          <w:tab w:val="left" w:pos="5811"/>
        </w:tabs>
        <w:spacing w:before="3"/>
        <w:ind w:left="626"/>
        <w:rPr>
          <w:rFonts w:hint="eastAsia"/>
          <w:color w:val="auto"/>
        </w:rPr>
      </w:pPr>
      <w:r>
        <w:rPr>
          <w:color w:val="auto"/>
        </w:rPr>
        <w:t>电话：</w:t>
      </w:r>
      <w:r>
        <w:rPr>
          <w:color w:val="auto"/>
        </w:rPr>
        <w:tab/>
      </w:r>
      <w:r>
        <w:rPr>
          <w:color w:val="auto"/>
        </w:rPr>
        <w:t>电话：</w:t>
      </w:r>
    </w:p>
    <w:p w14:paraId="54A8ABCA">
      <w:pPr>
        <w:tabs>
          <w:tab w:val="left" w:pos="5811"/>
        </w:tabs>
        <w:spacing w:before="4"/>
        <w:ind w:left="626"/>
        <w:rPr>
          <w:rFonts w:hint="eastAsia"/>
          <w:color w:val="auto"/>
        </w:rPr>
      </w:pPr>
      <w:r>
        <w:rPr>
          <w:color w:val="auto"/>
        </w:rPr>
        <w:t>传真:</w:t>
      </w:r>
      <w:r>
        <w:rPr>
          <w:color w:val="auto"/>
        </w:rPr>
        <w:tab/>
      </w:r>
      <w:r>
        <w:rPr>
          <w:color w:val="auto"/>
        </w:rPr>
        <w:t>传真:</w:t>
      </w:r>
    </w:p>
    <w:p w14:paraId="65D34676">
      <w:pPr>
        <w:tabs>
          <w:tab w:val="left" w:pos="5811"/>
        </w:tabs>
        <w:spacing w:before="6"/>
        <w:ind w:left="626"/>
        <w:rPr>
          <w:rFonts w:hint="eastAsia"/>
          <w:color w:val="auto"/>
        </w:rPr>
      </w:pPr>
      <w:r>
        <w:rPr>
          <w:color w:val="auto"/>
        </w:rPr>
        <w:t>电子邮箱：</w:t>
      </w:r>
      <w:r>
        <w:rPr>
          <w:color w:val="auto"/>
        </w:rPr>
        <w:tab/>
      </w:r>
      <w:r>
        <w:rPr>
          <w:color w:val="auto"/>
        </w:rPr>
        <w:t>电子邮箱：</w:t>
      </w:r>
    </w:p>
    <w:p w14:paraId="75431426">
      <w:pPr>
        <w:tabs>
          <w:tab w:val="left" w:pos="5811"/>
        </w:tabs>
        <w:spacing w:before="4"/>
        <w:ind w:left="626"/>
        <w:rPr>
          <w:rFonts w:hint="eastAsia"/>
          <w:color w:val="auto"/>
        </w:rPr>
      </w:pPr>
      <w:r>
        <w:rPr>
          <w:color w:val="auto"/>
        </w:rPr>
        <w:t>开户银行：</w:t>
      </w:r>
      <w:r>
        <w:rPr>
          <w:color w:val="auto"/>
        </w:rPr>
        <w:tab/>
      </w:r>
      <w:r>
        <w:rPr>
          <w:color w:val="auto"/>
        </w:rPr>
        <w:t>开户银行：</w:t>
      </w:r>
    </w:p>
    <w:p w14:paraId="2968FC9A">
      <w:pPr>
        <w:tabs>
          <w:tab w:val="left" w:pos="5811"/>
        </w:tabs>
        <w:spacing w:before="4"/>
        <w:ind w:left="626"/>
        <w:rPr>
          <w:rFonts w:hint="eastAsia"/>
          <w:color w:val="auto"/>
        </w:rPr>
      </w:pPr>
      <w:r>
        <w:rPr>
          <w:color w:val="auto"/>
        </w:rPr>
        <w:t>开户名称：</w:t>
      </w:r>
      <w:r>
        <w:rPr>
          <w:color w:val="auto"/>
        </w:rPr>
        <w:tab/>
      </w:r>
      <w:r>
        <w:rPr>
          <w:color w:val="auto"/>
        </w:rPr>
        <w:t>开户名称：</w:t>
      </w:r>
    </w:p>
    <w:p w14:paraId="3BAF7118">
      <w:pPr>
        <w:spacing w:before="6"/>
        <w:ind w:left="626"/>
        <w:rPr>
          <w:rFonts w:hint="eastAsia"/>
          <w:color w:val="auto"/>
        </w:rPr>
      </w:pPr>
      <w:r>
        <w:rPr>
          <w:color w:val="auto"/>
        </w:rPr>
        <w:t>开户账号：</w:t>
      </w:r>
      <w:r>
        <w:rPr>
          <w:rFonts w:hint="eastAsia"/>
          <w:color w:val="auto"/>
        </w:rPr>
        <w:t xml:space="preserve">                             </w:t>
      </w:r>
      <w:r>
        <w:rPr>
          <w:color w:val="auto"/>
        </w:rPr>
        <w:t>开户账号：</w:t>
      </w:r>
    </w:p>
    <w:p w14:paraId="58D120C0">
      <w:bookmarkStart w:id="18" w:name="_GoBack"/>
      <w:bookmarkEnd w:id="1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3FB26">
    <w:pPr>
      <w:pStyle w:val="4"/>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4832C">
    <w:pPr>
      <w:pStyle w:val="4"/>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C86E0">
    <w:pPr>
      <w:pStyle w:val="4"/>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87FF9">
    <w:pPr>
      <w:pStyle w:val="5"/>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8B5A2">
    <w:pPr>
      <w:pStyle w:val="5"/>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86FC7">
    <w:pPr>
      <w:pStyle w:val="5"/>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ED9BEA"/>
    <w:multiLevelType w:val="multilevel"/>
    <w:tmpl w:val="B0ED9BEA"/>
    <w:lvl w:ilvl="0" w:tentative="0">
      <w:start w:val="1"/>
      <w:numFmt w:val="decimal"/>
      <w:lvlText w:val="%1."/>
      <w:lvlJc w:val="left"/>
      <w:pPr>
        <w:ind w:left="108" w:hanging="284"/>
        <w:jc w:val="right"/>
      </w:pPr>
      <w:rPr>
        <w:rFonts w:hint="default" w:ascii="宋体" w:hAnsi="宋体" w:eastAsia="宋体" w:cs="宋体"/>
        <w:spacing w:val="1"/>
        <w:w w:val="100"/>
        <w:sz w:val="26"/>
        <w:szCs w:val="26"/>
      </w:rPr>
    </w:lvl>
    <w:lvl w:ilvl="1" w:tentative="0">
      <w:start w:val="0"/>
      <w:numFmt w:val="bullet"/>
      <w:lvlText w:val="•"/>
      <w:lvlJc w:val="left"/>
      <w:pPr>
        <w:ind w:left="1166" w:hanging="284"/>
      </w:pPr>
      <w:rPr>
        <w:rFonts w:hint="default"/>
      </w:rPr>
    </w:lvl>
    <w:lvl w:ilvl="2" w:tentative="0">
      <w:start w:val="0"/>
      <w:numFmt w:val="bullet"/>
      <w:lvlText w:val="•"/>
      <w:lvlJc w:val="left"/>
      <w:pPr>
        <w:ind w:left="2233" w:hanging="284"/>
      </w:pPr>
      <w:rPr>
        <w:rFonts w:hint="default"/>
      </w:rPr>
    </w:lvl>
    <w:lvl w:ilvl="3" w:tentative="0">
      <w:start w:val="0"/>
      <w:numFmt w:val="bullet"/>
      <w:lvlText w:val="•"/>
      <w:lvlJc w:val="left"/>
      <w:pPr>
        <w:ind w:left="3299" w:hanging="284"/>
      </w:pPr>
      <w:rPr>
        <w:rFonts w:hint="default"/>
      </w:rPr>
    </w:lvl>
    <w:lvl w:ilvl="4" w:tentative="0">
      <w:start w:val="0"/>
      <w:numFmt w:val="bullet"/>
      <w:lvlText w:val="•"/>
      <w:lvlJc w:val="left"/>
      <w:pPr>
        <w:ind w:left="4366" w:hanging="284"/>
      </w:pPr>
      <w:rPr>
        <w:rFonts w:hint="default"/>
      </w:rPr>
    </w:lvl>
    <w:lvl w:ilvl="5" w:tentative="0">
      <w:start w:val="0"/>
      <w:numFmt w:val="bullet"/>
      <w:lvlText w:val="•"/>
      <w:lvlJc w:val="left"/>
      <w:pPr>
        <w:ind w:left="5433" w:hanging="284"/>
      </w:pPr>
      <w:rPr>
        <w:rFonts w:hint="default"/>
      </w:rPr>
    </w:lvl>
    <w:lvl w:ilvl="6" w:tentative="0">
      <w:start w:val="0"/>
      <w:numFmt w:val="bullet"/>
      <w:lvlText w:val="•"/>
      <w:lvlJc w:val="left"/>
      <w:pPr>
        <w:ind w:left="6499" w:hanging="284"/>
      </w:pPr>
      <w:rPr>
        <w:rFonts w:hint="default"/>
      </w:rPr>
    </w:lvl>
    <w:lvl w:ilvl="7" w:tentative="0">
      <w:start w:val="0"/>
      <w:numFmt w:val="bullet"/>
      <w:lvlText w:val="•"/>
      <w:lvlJc w:val="left"/>
      <w:pPr>
        <w:ind w:left="7566" w:hanging="284"/>
      </w:pPr>
      <w:rPr>
        <w:rFonts w:hint="default"/>
      </w:rPr>
    </w:lvl>
    <w:lvl w:ilvl="8" w:tentative="0">
      <w:start w:val="0"/>
      <w:numFmt w:val="bullet"/>
      <w:lvlText w:val="•"/>
      <w:lvlJc w:val="left"/>
      <w:pPr>
        <w:ind w:left="8633" w:hanging="284"/>
      </w:pPr>
      <w:rPr>
        <w:rFonts w:hint="default"/>
      </w:rPr>
    </w:lvl>
  </w:abstractNum>
  <w:abstractNum w:abstractNumId="1">
    <w:nsid w:val="18576EB1"/>
    <w:multiLevelType w:val="multilevel"/>
    <w:tmpl w:val="18576EB1"/>
    <w:lvl w:ilvl="0" w:tentative="0">
      <w:start w:val="1"/>
      <w:numFmt w:val="decimal"/>
      <w:lvlText w:val="%1、"/>
      <w:lvlJc w:val="left"/>
      <w:pPr>
        <w:ind w:left="1068" w:hanging="360"/>
      </w:pPr>
      <w:rPr>
        <w:rFonts w:hint="default"/>
      </w:rPr>
    </w:lvl>
    <w:lvl w:ilvl="1" w:tentative="0">
      <w:start w:val="1"/>
      <w:numFmt w:val="lowerLetter"/>
      <w:lvlText w:val="%2)"/>
      <w:lvlJc w:val="left"/>
      <w:pPr>
        <w:ind w:left="1588" w:hanging="440"/>
      </w:pPr>
    </w:lvl>
    <w:lvl w:ilvl="2" w:tentative="0">
      <w:start w:val="1"/>
      <w:numFmt w:val="lowerRoman"/>
      <w:lvlText w:val="%3."/>
      <w:lvlJc w:val="right"/>
      <w:pPr>
        <w:ind w:left="2028" w:hanging="440"/>
      </w:pPr>
    </w:lvl>
    <w:lvl w:ilvl="3" w:tentative="0">
      <w:start w:val="1"/>
      <w:numFmt w:val="decimal"/>
      <w:lvlText w:val="%4."/>
      <w:lvlJc w:val="left"/>
      <w:pPr>
        <w:ind w:left="2468" w:hanging="440"/>
      </w:pPr>
    </w:lvl>
    <w:lvl w:ilvl="4" w:tentative="0">
      <w:start w:val="1"/>
      <w:numFmt w:val="lowerLetter"/>
      <w:lvlText w:val="%5)"/>
      <w:lvlJc w:val="left"/>
      <w:pPr>
        <w:ind w:left="2908" w:hanging="440"/>
      </w:pPr>
    </w:lvl>
    <w:lvl w:ilvl="5" w:tentative="0">
      <w:start w:val="1"/>
      <w:numFmt w:val="lowerRoman"/>
      <w:lvlText w:val="%6."/>
      <w:lvlJc w:val="right"/>
      <w:pPr>
        <w:ind w:left="3348" w:hanging="440"/>
      </w:pPr>
    </w:lvl>
    <w:lvl w:ilvl="6" w:tentative="0">
      <w:start w:val="1"/>
      <w:numFmt w:val="decimal"/>
      <w:lvlText w:val="%7."/>
      <w:lvlJc w:val="left"/>
      <w:pPr>
        <w:ind w:left="3788" w:hanging="440"/>
      </w:pPr>
    </w:lvl>
    <w:lvl w:ilvl="7" w:tentative="0">
      <w:start w:val="1"/>
      <w:numFmt w:val="lowerLetter"/>
      <w:lvlText w:val="%8)"/>
      <w:lvlJc w:val="left"/>
      <w:pPr>
        <w:ind w:left="4228" w:hanging="440"/>
      </w:pPr>
    </w:lvl>
    <w:lvl w:ilvl="8" w:tentative="0">
      <w:start w:val="1"/>
      <w:numFmt w:val="lowerRoman"/>
      <w:lvlText w:val="%9."/>
      <w:lvlJc w:val="right"/>
      <w:pPr>
        <w:ind w:left="4668" w:hanging="440"/>
      </w:pPr>
    </w:lvl>
  </w:abstractNum>
  <w:abstractNum w:abstractNumId="2">
    <w:nsid w:val="27343323"/>
    <w:multiLevelType w:val="multilevel"/>
    <w:tmpl w:val="27343323"/>
    <w:lvl w:ilvl="0" w:tentative="0">
      <w:start w:val="1"/>
      <w:numFmt w:val="decimal"/>
      <w:lvlText w:val="%1、"/>
      <w:lvlJc w:val="left"/>
      <w:pPr>
        <w:ind w:left="1027" w:hanging="360"/>
      </w:pPr>
      <w:rPr>
        <w:rFonts w:hint="default"/>
      </w:rPr>
    </w:lvl>
    <w:lvl w:ilvl="1" w:tentative="0">
      <w:start w:val="1"/>
      <w:numFmt w:val="lowerLetter"/>
      <w:lvlText w:val="%2)"/>
      <w:lvlJc w:val="left"/>
      <w:pPr>
        <w:ind w:left="1547" w:hanging="440"/>
      </w:pPr>
    </w:lvl>
    <w:lvl w:ilvl="2" w:tentative="0">
      <w:start w:val="1"/>
      <w:numFmt w:val="lowerRoman"/>
      <w:lvlText w:val="%3."/>
      <w:lvlJc w:val="right"/>
      <w:pPr>
        <w:ind w:left="1987" w:hanging="440"/>
      </w:pPr>
    </w:lvl>
    <w:lvl w:ilvl="3" w:tentative="0">
      <w:start w:val="1"/>
      <w:numFmt w:val="decimal"/>
      <w:lvlText w:val="%4."/>
      <w:lvlJc w:val="left"/>
      <w:pPr>
        <w:ind w:left="2427" w:hanging="440"/>
      </w:pPr>
    </w:lvl>
    <w:lvl w:ilvl="4" w:tentative="0">
      <w:start w:val="1"/>
      <w:numFmt w:val="lowerLetter"/>
      <w:lvlText w:val="%5)"/>
      <w:lvlJc w:val="left"/>
      <w:pPr>
        <w:ind w:left="2867" w:hanging="440"/>
      </w:pPr>
    </w:lvl>
    <w:lvl w:ilvl="5" w:tentative="0">
      <w:start w:val="1"/>
      <w:numFmt w:val="lowerRoman"/>
      <w:lvlText w:val="%6."/>
      <w:lvlJc w:val="right"/>
      <w:pPr>
        <w:ind w:left="3307" w:hanging="440"/>
      </w:pPr>
    </w:lvl>
    <w:lvl w:ilvl="6" w:tentative="0">
      <w:start w:val="1"/>
      <w:numFmt w:val="decimal"/>
      <w:lvlText w:val="%7."/>
      <w:lvlJc w:val="left"/>
      <w:pPr>
        <w:ind w:left="3747" w:hanging="440"/>
      </w:pPr>
    </w:lvl>
    <w:lvl w:ilvl="7" w:tentative="0">
      <w:start w:val="1"/>
      <w:numFmt w:val="lowerLetter"/>
      <w:lvlText w:val="%8)"/>
      <w:lvlJc w:val="left"/>
      <w:pPr>
        <w:ind w:left="4187" w:hanging="440"/>
      </w:pPr>
    </w:lvl>
    <w:lvl w:ilvl="8" w:tentative="0">
      <w:start w:val="1"/>
      <w:numFmt w:val="lowerRoman"/>
      <w:lvlText w:val="%9."/>
      <w:lvlJc w:val="right"/>
      <w:pPr>
        <w:ind w:left="4627" w:hanging="440"/>
      </w:pPr>
    </w:lvl>
  </w:abstractNum>
  <w:abstractNum w:abstractNumId="3">
    <w:nsid w:val="277153CE"/>
    <w:multiLevelType w:val="multilevel"/>
    <w:tmpl w:val="277153CE"/>
    <w:lvl w:ilvl="0" w:tentative="0">
      <w:start w:val="6"/>
      <w:numFmt w:val="japaneseCounting"/>
      <w:lvlText w:val="%1、"/>
      <w:lvlJc w:val="left"/>
      <w:pPr>
        <w:ind w:left="1652" w:hanging="500"/>
      </w:pPr>
      <w:rPr>
        <w:rFonts w:hint="default"/>
      </w:rPr>
    </w:lvl>
    <w:lvl w:ilvl="1" w:tentative="0">
      <w:start w:val="1"/>
      <w:numFmt w:val="lowerLetter"/>
      <w:lvlText w:val="%2)"/>
      <w:lvlJc w:val="left"/>
      <w:pPr>
        <w:ind w:left="2032" w:hanging="440"/>
      </w:pPr>
    </w:lvl>
    <w:lvl w:ilvl="2" w:tentative="0">
      <w:start w:val="1"/>
      <w:numFmt w:val="lowerRoman"/>
      <w:lvlText w:val="%3."/>
      <w:lvlJc w:val="right"/>
      <w:pPr>
        <w:ind w:left="2472" w:hanging="440"/>
      </w:pPr>
    </w:lvl>
    <w:lvl w:ilvl="3" w:tentative="0">
      <w:start w:val="1"/>
      <w:numFmt w:val="decimal"/>
      <w:lvlText w:val="%4."/>
      <w:lvlJc w:val="left"/>
      <w:pPr>
        <w:ind w:left="2912" w:hanging="440"/>
      </w:pPr>
    </w:lvl>
    <w:lvl w:ilvl="4" w:tentative="0">
      <w:start w:val="1"/>
      <w:numFmt w:val="lowerLetter"/>
      <w:lvlText w:val="%5)"/>
      <w:lvlJc w:val="left"/>
      <w:pPr>
        <w:ind w:left="3352" w:hanging="440"/>
      </w:pPr>
    </w:lvl>
    <w:lvl w:ilvl="5" w:tentative="0">
      <w:start w:val="1"/>
      <w:numFmt w:val="lowerRoman"/>
      <w:lvlText w:val="%6."/>
      <w:lvlJc w:val="right"/>
      <w:pPr>
        <w:ind w:left="3792" w:hanging="440"/>
      </w:pPr>
    </w:lvl>
    <w:lvl w:ilvl="6" w:tentative="0">
      <w:start w:val="1"/>
      <w:numFmt w:val="decimal"/>
      <w:lvlText w:val="%7."/>
      <w:lvlJc w:val="left"/>
      <w:pPr>
        <w:ind w:left="4232" w:hanging="440"/>
      </w:pPr>
    </w:lvl>
    <w:lvl w:ilvl="7" w:tentative="0">
      <w:start w:val="1"/>
      <w:numFmt w:val="lowerLetter"/>
      <w:lvlText w:val="%8)"/>
      <w:lvlJc w:val="left"/>
      <w:pPr>
        <w:ind w:left="4672" w:hanging="440"/>
      </w:pPr>
    </w:lvl>
    <w:lvl w:ilvl="8" w:tentative="0">
      <w:start w:val="1"/>
      <w:numFmt w:val="lowerRoman"/>
      <w:lvlText w:val="%9."/>
      <w:lvlJc w:val="right"/>
      <w:pPr>
        <w:ind w:left="5112" w:hanging="440"/>
      </w:pPr>
    </w:lvl>
  </w:abstractNum>
  <w:abstractNum w:abstractNumId="4">
    <w:nsid w:val="3E6C0008"/>
    <w:multiLevelType w:val="multilevel"/>
    <w:tmpl w:val="3E6C0008"/>
    <w:lvl w:ilvl="0" w:tentative="0">
      <w:start w:val="1"/>
      <w:numFmt w:val="decimal"/>
      <w:lvlText w:val="%1."/>
      <w:lvlJc w:val="left"/>
      <w:pPr>
        <w:ind w:left="840" w:hanging="360"/>
      </w:pPr>
      <w:rPr>
        <w:rFonts w:hint="default"/>
        <w:color w:val="222222"/>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5">
    <w:nsid w:val="42185A85"/>
    <w:multiLevelType w:val="multilevel"/>
    <w:tmpl w:val="42185A85"/>
    <w:lvl w:ilvl="0" w:tentative="0">
      <w:start w:val="1"/>
      <w:numFmt w:val="decimal"/>
      <w:lvlText w:val="%1."/>
      <w:lvlJc w:val="left"/>
      <w:pPr>
        <w:ind w:left="600" w:hanging="360"/>
      </w:pPr>
      <w:rPr>
        <w:rFonts w:hint="default"/>
      </w:rPr>
    </w:lvl>
    <w:lvl w:ilvl="1" w:tentative="0">
      <w:start w:val="1"/>
      <w:numFmt w:val="lowerLetter"/>
      <w:lvlText w:val="%2)"/>
      <w:lvlJc w:val="left"/>
      <w:pPr>
        <w:ind w:left="1120" w:hanging="440"/>
      </w:pPr>
    </w:lvl>
    <w:lvl w:ilvl="2" w:tentative="0">
      <w:start w:val="1"/>
      <w:numFmt w:val="lowerRoman"/>
      <w:lvlText w:val="%3."/>
      <w:lvlJc w:val="right"/>
      <w:pPr>
        <w:ind w:left="1560" w:hanging="440"/>
      </w:pPr>
    </w:lvl>
    <w:lvl w:ilvl="3" w:tentative="0">
      <w:start w:val="1"/>
      <w:numFmt w:val="decimal"/>
      <w:lvlText w:val="%4."/>
      <w:lvlJc w:val="left"/>
      <w:pPr>
        <w:ind w:left="2000" w:hanging="440"/>
      </w:pPr>
    </w:lvl>
    <w:lvl w:ilvl="4" w:tentative="0">
      <w:start w:val="1"/>
      <w:numFmt w:val="lowerLetter"/>
      <w:lvlText w:val="%5)"/>
      <w:lvlJc w:val="left"/>
      <w:pPr>
        <w:ind w:left="2440" w:hanging="440"/>
      </w:pPr>
    </w:lvl>
    <w:lvl w:ilvl="5" w:tentative="0">
      <w:start w:val="1"/>
      <w:numFmt w:val="lowerRoman"/>
      <w:lvlText w:val="%6."/>
      <w:lvlJc w:val="right"/>
      <w:pPr>
        <w:ind w:left="2880" w:hanging="440"/>
      </w:pPr>
    </w:lvl>
    <w:lvl w:ilvl="6" w:tentative="0">
      <w:start w:val="1"/>
      <w:numFmt w:val="decimal"/>
      <w:lvlText w:val="%7."/>
      <w:lvlJc w:val="left"/>
      <w:pPr>
        <w:ind w:left="3320" w:hanging="440"/>
      </w:pPr>
    </w:lvl>
    <w:lvl w:ilvl="7" w:tentative="0">
      <w:start w:val="1"/>
      <w:numFmt w:val="lowerLetter"/>
      <w:lvlText w:val="%8)"/>
      <w:lvlJc w:val="left"/>
      <w:pPr>
        <w:ind w:left="3760" w:hanging="440"/>
      </w:pPr>
    </w:lvl>
    <w:lvl w:ilvl="8" w:tentative="0">
      <w:start w:val="1"/>
      <w:numFmt w:val="lowerRoman"/>
      <w:lvlText w:val="%9."/>
      <w:lvlJc w:val="right"/>
      <w:pPr>
        <w:ind w:left="4200" w:hanging="440"/>
      </w:pPr>
    </w:lvl>
  </w:abstractNum>
  <w:abstractNum w:abstractNumId="6">
    <w:nsid w:val="55A43082"/>
    <w:multiLevelType w:val="multilevel"/>
    <w:tmpl w:val="55A43082"/>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5"/>
  </w:num>
  <w:num w:numId="2">
    <w:abstractNumId w:val="3"/>
  </w:num>
  <w:num w:numId="3">
    <w:abstractNumId w:val="0"/>
  </w:num>
  <w:num w:numId="4">
    <w:abstractNumId w:val="2"/>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F397A"/>
    <w:rsid w:val="016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80" w:firstLineChars="200"/>
      <w:jc w:val="both"/>
    </w:pPr>
    <w:rPr>
      <w:rFonts w:ascii="仿宋" w:hAnsi="仿宋" w:eastAsia="仿宋" w:cs="仿宋"/>
      <w:kern w:val="2"/>
      <w:sz w:val="24"/>
      <w:szCs w:val="24"/>
      <w:lang w:val="en-US" w:eastAsia="zh-CN" w:bidi="ar-SA"/>
      <w14:ligatures w14:val="none"/>
    </w:rPr>
  </w:style>
  <w:style w:type="paragraph" w:styleId="2">
    <w:name w:val="heading 3"/>
    <w:basedOn w:val="1"/>
    <w:next w:val="1"/>
    <w:qFormat/>
    <w:uiPriority w:val="0"/>
    <w:pPr>
      <w:ind w:left="112"/>
      <w:outlineLvl w:val="2"/>
    </w:pPr>
    <w:rPr>
      <w:rFonts w:ascii="微软雅黑" w:hAnsi="微软雅黑" w:eastAsia="微软雅黑" w:cs="微软雅黑"/>
      <w:b/>
      <w:bCs/>
      <w:sz w:val="31"/>
      <w:szCs w:val="31"/>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sz w:val="21"/>
      <w:szCs w:val="21"/>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8">
    <w:name w:val="null3"/>
    <w:hidden/>
    <w:qFormat/>
    <w:uiPriority w:val="0"/>
    <w:rPr>
      <w:rFonts w:hint="eastAsia" w:asciiTheme="minorHAnsi" w:hAnsiTheme="minorHAnsi" w:eastAsiaTheme="minorEastAsia" w:cstheme="minorBidi"/>
      <w:kern w:val="0"/>
      <w:lang w:val="en-US" w:eastAsia="zh-Hans" w:bidi="ar-SA"/>
      <w14:ligatures w14:val="none"/>
    </w:rPr>
  </w:style>
  <w:style w:type="paragraph" w:styleId="9">
    <w:name w:val="List Paragraph"/>
    <w:basedOn w:val="1"/>
    <w:qFormat/>
    <w:uiPriority w:val="1"/>
    <w:pPr>
      <w:ind w:left="360"/>
    </w:p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2025-06-24T07:25:00Z</dcterms:created>
  <dc:creator>WFF</dc:creator>
  <cp:lastModifiedBy>WFF</cp:lastModifiedBy>
  <dcterms:modified xsi:type="dcterms:W3CDTF">2025-06-24T07:26:07Z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CDB05EECFD3648599C4DA03AB30439DC_11</vt:lpwstr>
  </property>
  <property fmtid="{D5CDD505-2E9C-101B-9397-08002B2CF9AE}" pid="4" name="KSOTemplateDocerSaveRecord">
    <vt:lpwstr>eyJoZGlkIjoiYmU5NDc5ZThiYjkzODVhOTU0YzBiYzhhNmFmMGE5MDQiLCJ1c2VySWQiOiIzMDM1MjAzMjIifQ==</vt:lpwstr>
  </property>
</Properties>
</file>