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2025-2026年定安县病媒生物防制服务市场化采购项目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[HNHH]20250500002[GK]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定安县爱国卫生运动委员会办公室</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海南恒浩招标代理有限公司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定安县爱国卫生运动委员会办公室</w:t>
      </w:r>
      <w:r>
        <w:rPr>
          <w:rFonts w:ascii="仿宋_GB2312" w:hAnsi="仿宋_GB2312" w:cs="仿宋_GB2312" w:eastAsia="仿宋_GB2312"/>
        </w:rPr>
        <w:t xml:space="preserve"> 委托， </w:t>
      </w:r>
      <w:r>
        <w:rPr>
          <w:rFonts w:ascii="仿宋_GB2312" w:hAnsi="仿宋_GB2312" w:cs="仿宋_GB2312" w:eastAsia="仿宋_GB2312"/>
        </w:rPr>
        <w:t>海南恒浩招标代理有限公司</w:t>
      </w:r>
      <w:r>
        <w:rPr>
          <w:rFonts w:ascii="仿宋_GB2312" w:hAnsi="仿宋_GB2312" w:cs="仿宋_GB2312" w:eastAsia="仿宋_GB2312"/>
        </w:rPr>
        <w:t xml:space="preserve"> 对 </w:t>
      </w:r>
      <w:r>
        <w:rPr>
          <w:rFonts w:ascii="仿宋_GB2312" w:hAnsi="仿宋_GB2312" w:cs="仿宋_GB2312" w:eastAsia="仿宋_GB2312"/>
        </w:rPr>
        <w:t>2025-2026年定安县病媒生物防制服务市场化采购项目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[HNHH]20250500002[GK]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2025-2026年定安县病媒生物防制服务市场化采购项目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5,970,000.00元</w:t>
      </w:r>
      <w:r>
        <w:rPr>
          <w:rFonts w:ascii="仿宋_GB2312" w:hAnsi="仿宋_GB2312" w:cs="仿宋_GB2312" w:eastAsia="仿宋_GB2312"/>
        </w:rPr>
        <w:t>伍佰玖拾柒万元整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24个月（合同一年一签），具体详见采购需求。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24个月（合同一年一签），具体详见采购需求。</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24个月（合同一年一签），具体详见采购需求。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(www.ccgp.gov.cn)没有被列入政府采购严重违法失信行为信息记录名单（提供承诺函并加盖公章（格式自拟）；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本项目的特定资格要求：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(www.ccgp.gov.cn)没有被列入政府采购严重违法失信行为信息记录名单（提供承诺函并加盖公章（格式自拟）；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本项目的特定资格要求：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(www.ccgp.gov.cn)没有被列入政府采购严重违法失信行为信息记录名单（提供承诺函并加盖公章（格式自拟）；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次采购分为3个包，分别为：A、B、C包，供应商可以参与全部包次的投标，但每个供应商只能中其中一个包号，每个包的成交供应商不能重复。若供应商参与两个包号或以上的投标，且同时中标两个包号或以上的需在投标文件中做出承诺（详见供应商投标文件内容及格式），确定优先选择中标包号并愿意放弃所中的另一个或多个包号，未作出承诺则按照包号顺序确定中标包号，其余中标包号顺延给第二中标候选人，以此类推。 3.本项目全程线上开标，投标人无需到达开标现场，远程按时参加在线开标解密即可。如需云平台相关咨询，请拨打以下热线电话：热线一：4001691288。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定安县爱国卫生运动委员会办公室</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海南省定安县定城镇人民南路114号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彭宏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0898-63825645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海南恒浩招标代理有限公司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海南省海口市琼山区大英山西三路八一小区2栋401室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黄盟淇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0898-65362279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采购包1：2,980,000.00元</w:t>
            </w:r>
          </w:p>
          <w:p>
            <w:pPr>
              <w:pStyle w:val="null3"/>
              <w:jc w:val="left"/>
            </w:pPr>
            <w:r>
              <w:rPr>
                <w:rFonts w:ascii="仿宋_GB2312" w:hAnsi="仿宋_GB2312" w:cs="仿宋_GB2312" w:eastAsia="仿宋_GB2312"/>
              </w:rPr>
              <w:t>采购包2：1,725,000.00元</w:t>
            </w:r>
          </w:p>
          <w:p>
            <w:pPr>
              <w:pStyle w:val="null3"/>
              <w:jc w:val="left"/>
            </w:pPr>
            <w:r>
              <w:rPr>
                <w:rFonts w:ascii="仿宋_GB2312" w:hAnsi="仿宋_GB2312" w:cs="仿宋_GB2312" w:eastAsia="仿宋_GB2312"/>
              </w:rPr>
              <w:t>采购包3：1,265,000.00元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递交投标文件截止之日起60日历天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 号）规定的差额定律累进法计算下浮20%收取招标代理服务费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1.项目所属行业：其他未列明行业（从业人员300人以下的为中小微型企业。其中，从业人员100人及以上的为中型企业；从业人员10人及以上的为小型企业；从业人员10人以下的为微型企业。） 2.本项目采用全流程电子化开评标，无需提供纸质版投标文件（中标单位须在中标后提供纸质投标文件一正二副共2份投标文件（双面打印）至代理机构处） 3.本项目不接受供应商成功加密后的电子备用投标文件，以供应商成功加密后递交至海南省政府采购智慧云平台的电子响应文件为准，因投标人自身原因导致无法解密或解密失败的，自行承担不利后果。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联系人：蔡工</w:t>
      </w:r>
    </w:p>
    <w:p>
      <w:pPr>
        <w:pStyle w:val="null3"/>
        <w:jc w:val="left"/>
      </w:pPr>
      <w:r>
        <w:rPr>
          <w:rFonts w:ascii="仿宋_GB2312" w:hAnsi="仿宋_GB2312" w:cs="仿宋_GB2312" w:eastAsia="仿宋_GB2312"/>
        </w:rPr>
        <w:t>联系电话：0898-65362279</w:t>
      </w:r>
    </w:p>
    <w:p>
      <w:pPr>
        <w:pStyle w:val="null3"/>
        <w:jc w:val="left"/>
      </w:pPr>
      <w:r>
        <w:rPr>
          <w:rFonts w:ascii="仿宋_GB2312" w:hAnsi="仿宋_GB2312" w:cs="仿宋_GB2312" w:eastAsia="仿宋_GB2312"/>
        </w:rPr>
        <w:t>地址：海南省海口市琼山区大英山西三路八一小区2栋401室</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一、项目基本情况</w:t>
      </w:r>
    </w:p>
    <w:p>
      <w:pPr>
        <w:pStyle w:val="null3"/>
        <w:ind w:firstLine="560"/>
        <w:jc w:val="both"/>
      </w:pPr>
      <w:r>
        <w:rPr>
          <w:rFonts w:ascii="仿宋_GB2312" w:hAnsi="仿宋_GB2312" w:cs="仿宋_GB2312" w:eastAsia="仿宋_GB2312"/>
          <w:sz w:val="28"/>
        </w:rPr>
        <w:t>定安县建成区</w:t>
      </w:r>
      <w:r>
        <w:rPr>
          <w:rFonts w:ascii="仿宋_GB2312" w:hAnsi="仿宋_GB2312" w:cs="仿宋_GB2312" w:eastAsia="仿宋_GB2312"/>
          <w:sz w:val="28"/>
        </w:rPr>
        <w:t>12</w:t>
      </w:r>
      <w:r>
        <w:rPr>
          <w:rFonts w:ascii="仿宋_GB2312" w:hAnsi="仿宋_GB2312" w:cs="仿宋_GB2312" w:eastAsia="仿宋_GB2312"/>
          <w:sz w:val="28"/>
        </w:rPr>
        <w:t>平方公里计算，龙州墟、雷鸣镇、龙门镇、岭口</w:t>
      </w:r>
      <w:r>
        <w:rPr>
          <w:rFonts w:ascii="仿宋_GB2312" w:hAnsi="仿宋_GB2312" w:cs="仿宋_GB2312" w:eastAsia="仿宋_GB2312"/>
          <w:sz w:val="28"/>
        </w:rPr>
        <w:t>镇</w:t>
      </w:r>
      <w:r>
        <w:rPr>
          <w:rFonts w:ascii="仿宋_GB2312" w:hAnsi="仿宋_GB2312" w:cs="仿宋_GB2312" w:eastAsia="仿宋_GB2312"/>
          <w:sz w:val="28"/>
        </w:rPr>
        <w:t>镇墟各</w:t>
      </w:r>
      <w:r>
        <w:rPr>
          <w:rFonts w:ascii="仿宋_GB2312" w:hAnsi="仿宋_GB2312" w:cs="仿宋_GB2312" w:eastAsia="仿宋_GB2312"/>
          <w:sz w:val="28"/>
        </w:rPr>
        <w:t>0.5</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平方公里（每镇按照</w:t>
      </w:r>
      <w:r>
        <w:rPr>
          <w:rFonts w:ascii="仿宋_GB2312" w:hAnsi="仿宋_GB2312" w:cs="仿宋_GB2312" w:eastAsia="仿宋_GB2312"/>
          <w:sz w:val="28"/>
        </w:rPr>
        <w:t>1</w:t>
      </w:r>
      <w:r>
        <w:rPr>
          <w:rFonts w:ascii="仿宋_GB2312" w:hAnsi="仿宋_GB2312" w:cs="仿宋_GB2312" w:eastAsia="仿宋_GB2312"/>
          <w:sz w:val="28"/>
        </w:rPr>
        <w:t>平方公里费用计算，共计</w:t>
      </w:r>
      <w:r>
        <w:rPr>
          <w:rFonts w:ascii="仿宋_GB2312" w:hAnsi="仿宋_GB2312" w:cs="仿宋_GB2312" w:eastAsia="仿宋_GB2312"/>
          <w:sz w:val="28"/>
        </w:rPr>
        <w:t>4</w:t>
      </w:r>
      <w:r>
        <w:rPr>
          <w:rFonts w:ascii="仿宋_GB2312" w:hAnsi="仿宋_GB2312" w:cs="仿宋_GB2312" w:eastAsia="仿宋_GB2312"/>
          <w:sz w:val="28"/>
        </w:rPr>
        <w:t>平方公里）；</w:t>
      </w:r>
      <w:r>
        <w:rPr>
          <w:rFonts w:ascii="仿宋_GB2312" w:hAnsi="仿宋_GB2312" w:cs="仿宋_GB2312" w:eastAsia="仿宋_GB2312"/>
          <w:sz w:val="28"/>
        </w:rPr>
        <w:t>新竹镇、龙河镇、黄竹镇</w:t>
      </w:r>
      <w:r>
        <w:rPr>
          <w:rFonts w:ascii="仿宋_GB2312" w:hAnsi="仿宋_GB2312" w:cs="仿宋_GB2312" w:eastAsia="仿宋_GB2312"/>
          <w:sz w:val="28"/>
        </w:rPr>
        <w:t>、</w:t>
      </w:r>
      <w:r>
        <w:rPr>
          <w:rFonts w:ascii="仿宋_GB2312" w:hAnsi="仿宋_GB2312" w:cs="仿宋_GB2312" w:eastAsia="仿宋_GB2312"/>
          <w:sz w:val="28"/>
        </w:rPr>
        <w:t>翰林镇</w:t>
      </w:r>
      <w:r>
        <w:rPr>
          <w:rFonts w:ascii="仿宋_GB2312" w:hAnsi="仿宋_GB2312" w:cs="仿宋_GB2312" w:eastAsia="仿宋_GB2312"/>
          <w:sz w:val="28"/>
        </w:rPr>
        <w:t>、</w:t>
      </w:r>
      <w:r>
        <w:rPr>
          <w:rFonts w:ascii="仿宋_GB2312" w:hAnsi="仿宋_GB2312" w:cs="仿宋_GB2312" w:eastAsia="仿宋_GB2312"/>
          <w:sz w:val="28"/>
        </w:rPr>
        <w:t>富文镇、龙湖镇</w:t>
      </w:r>
      <w:r>
        <w:rPr>
          <w:rFonts w:ascii="仿宋_GB2312" w:hAnsi="仿宋_GB2312" w:cs="仿宋_GB2312" w:eastAsia="仿宋_GB2312"/>
          <w:sz w:val="28"/>
        </w:rPr>
        <w:t>各</w:t>
      </w:r>
      <w:r>
        <w:rPr>
          <w:rFonts w:ascii="仿宋_GB2312" w:hAnsi="仿宋_GB2312" w:cs="仿宋_GB2312" w:eastAsia="仿宋_GB2312"/>
          <w:sz w:val="28"/>
        </w:rPr>
        <w:t>超</w:t>
      </w:r>
      <w:r>
        <w:rPr>
          <w:rFonts w:ascii="仿宋_GB2312" w:hAnsi="仿宋_GB2312" w:cs="仿宋_GB2312" w:eastAsia="仿宋_GB2312"/>
          <w:sz w:val="28"/>
        </w:rPr>
        <w:t>1</w:t>
      </w:r>
      <w:r>
        <w:rPr>
          <w:rFonts w:ascii="仿宋_GB2312" w:hAnsi="仿宋_GB2312" w:cs="仿宋_GB2312" w:eastAsia="仿宋_GB2312"/>
          <w:sz w:val="28"/>
        </w:rPr>
        <w:t>平方公里（按照</w:t>
      </w:r>
      <w:r>
        <w:rPr>
          <w:rFonts w:ascii="仿宋_GB2312" w:hAnsi="仿宋_GB2312" w:cs="仿宋_GB2312" w:eastAsia="仿宋_GB2312"/>
          <w:sz w:val="28"/>
        </w:rPr>
        <w:t>1.5</w:t>
      </w:r>
      <w:r>
        <w:rPr>
          <w:rFonts w:ascii="仿宋_GB2312" w:hAnsi="仿宋_GB2312" w:cs="仿宋_GB2312" w:eastAsia="仿宋_GB2312"/>
          <w:sz w:val="28"/>
        </w:rPr>
        <w:t>平方公里费用计算，共计</w:t>
      </w:r>
      <w:r>
        <w:rPr>
          <w:rFonts w:ascii="仿宋_GB2312" w:hAnsi="仿宋_GB2312" w:cs="仿宋_GB2312" w:eastAsia="仿宋_GB2312"/>
          <w:sz w:val="28"/>
        </w:rPr>
        <w:t>9</w:t>
      </w:r>
      <w:r>
        <w:rPr>
          <w:rFonts w:ascii="仿宋_GB2312" w:hAnsi="仿宋_GB2312" w:cs="仿宋_GB2312" w:eastAsia="仿宋_GB2312"/>
          <w:sz w:val="28"/>
        </w:rPr>
        <w:t>平方公里）。</w:t>
      </w:r>
      <w:r>
        <w:rPr>
          <w:rFonts w:ascii="仿宋_GB2312" w:hAnsi="仿宋_GB2312" w:cs="仿宋_GB2312" w:eastAsia="仿宋_GB2312"/>
          <w:sz w:val="21"/>
        </w:rPr>
        <w:t xml:space="preserve"> </w:t>
      </w:r>
      <w:r>
        <w:rPr>
          <w:rFonts w:ascii="仿宋_GB2312" w:hAnsi="仿宋_GB2312" w:cs="仿宋_GB2312" w:eastAsia="仿宋_GB2312"/>
          <w:sz w:val="28"/>
        </w:rPr>
        <w:t>共计</w:t>
      </w:r>
      <w:r>
        <w:rPr>
          <w:rFonts w:ascii="仿宋_GB2312" w:hAnsi="仿宋_GB2312" w:cs="仿宋_GB2312" w:eastAsia="仿宋_GB2312"/>
          <w:sz w:val="28"/>
        </w:rPr>
        <w:t>25</w:t>
      </w:r>
      <w:r>
        <w:rPr>
          <w:rFonts w:ascii="仿宋_GB2312" w:hAnsi="仿宋_GB2312" w:cs="仿宋_GB2312" w:eastAsia="仿宋_GB2312"/>
          <w:sz w:val="28"/>
        </w:rPr>
        <w:t>平方公里。</w:t>
      </w:r>
    </w:p>
    <w:p>
      <w:pPr>
        <w:pStyle w:val="null3"/>
        <w:ind w:firstLine="560"/>
        <w:jc w:val="both"/>
      </w:pPr>
      <w:r>
        <w:rPr>
          <w:rFonts w:ascii="仿宋_GB2312" w:hAnsi="仿宋_GB2312" w:cs="仿宋_GB2312" w:eastAsia="仿宋_GB2312"/>
          <w:sz w:val="28"/>
        </w:rPr>
        <w:t>2025</w:t>
      </w:r>
      <w:r>
        <w:rPr>
          <w:rFonts w:ascii="仿宋_GB2312" w:hAnsi="仿宋_GB2312" w:cs="仿宋_GB2312" w:eastAsia="仿宋_GB2312"/>
          <w:sz w:val="28"/>
        </w:rPr>
        <w:t>年，拟定向社会公开招标，项目时间为</w:t>
      </w:r>
      <w:r>
        <w:rPr>
          <w:rFonts w:ascii="仿宋_GB2312" w:hAnsi="仿宋_GB2312" w:cs="仿宋_GB2312" w:eastAsia="仿宋_GB2312"/>
          <w:sz w:val="32"/>
        </w:rPr>
        <w:t>2024年1</w:t>
      </w:r>
      <w:r>
        <w:rPr>
          <w:rFonts w:ascii="仿宋_GB2312" w:hAnsi="仿宋_GB2312" w:cs="仿宋_GB2312" w:eastAsia="仿宋_GB2312"/>
          <w:sz w:val="32"/>
        </w:rPr>
        <w:t>2</w:t>
      </w:r>
      <w:r>
        <w:rPr>
          <w:rFonts w:ascii="仿宋_GB2312" w:hAnsi="仿宋_GB2312" w:cs="仿宋_GB2312" w:eastAsia="仿宋_GB2312"/>
          <w:sz w:val="32"/>
        </w:rPr>
        <w:t>月</w:t>
      </w:r>
      <w:r>
        <w:rPr>
          <w:rFonts w:ascii="仿宋_GB2312" w:hAnsi="仿宋_GB2312" w:cs="仿宋_GB2312" w:eastAsia="仿宋_GB2312"/>
          <w:sz w:val="32"/>
        </w:rPr>
        <w:t>9日零时</w:t>
      </w:r>
      <w:r>
        <w:rPr>
          <w:rFonts w:ascii="仿宋_GB2312" w:hAnsi="仿宋_GB2312" w:cs="仿宋_GB2312" w:eastAsia="仿宋_GB2312"/>
          <w:sz w:val="32"/>
        </w:rPr>
        <w:t>—2026年</w:t>
      </w:r>
      <w:r>
        <w:rPr>
          <w:rFonts w:ascii="仿宋_GB2312" w:hAnsi="仿宋_GB2312" w:cs="仿宋_GB2312" w:eastAsia="仿宋_GB2312"/>
          <w:sz w:val="32"/>
        </w:rPr>
        <w:t>12月</w:t>
      </w:r>
      <w:r>
        <w:rPr>
          <w:rFonts w:ascii="仿宋_GB2312" w:hAnsi="仿宋_GB2312" w:cs="仿宋_GB2312" w:eastAsia="仿宋_GB2312"/>
          <w:sz w:val="32"/>
        </w:rPr>
        <w:t>8</w:t>
      </w:r>
      <w:r>
        <w:rPr>
          <w:rFonts w:ascii="仿宋_GB2312" w:hAnsi="仿宋_GB2312" w:cs="仿宋_GB2312" w:eastAsia="仿宋_GB2312"/>
          <w:sz w:val="32"/>
        </w:rPr>
        <w:t>日</w:t>
      </w:r>
      <w:r>
        <w:rPr>
          <w:rFonts w:ascii="仿宋_GB2312" w:hAnsi="仿宋_GB2312" w:cs="仿宋_GB2312" w:eastAsia="仿宋_GB2312"/>
          <w:sz w:val="32"/>
        </w:rPr>
        <w:t>二十四时</w:t>
      </w:r>
      <w:r>
        <w:rPr>
          <w:rFonts w:ascii="仿宋_GB2312" w:hAnsi="仿宋_GB2312" w:cs="仿宋_GB2312" w:eastAsia="仿宋_GB2312"/>
          <w:sz w:val="28"/>
        </w:rPr>
        <w:t>共计</w:t>
      </w:r>
      <w:r>
        <w:rPr>
          <w:rFonts w:ascii="仿宋_GB2312" w:hAnsi="仿宋_GB2312" w:cs="仿宋_GB2312" w:eastAsia="仿宋_GB2312"/>
          <w:sz w:val="28"/>
        </w:rPr>
        <w:t>24</w:t>
      </w:r>
      <w:r>
        <w:rPr>
          <w:rFonts w:ascii="仿宋_GB2312" w:hAnsi="仿宋_GB2312" w:cs="仿宋_GB2312" w:eastAsia="仿宋_GB2312"/>
          <w:sz w:val="28"/>
        </w:rPr>
        <w:t>个月（涵盖中标前的代管费用、以及病媒生物效果评估费用</w:t>
      </w:r>
      <w:r>
        <w:rPr>
          <w:rFonts w:ascii="仿宋_GB2312" w:hAnsi="仿宋_GB2312" w:cs="仿宋_GB2312" w:eastAsia="仿宋_GB2312"/>
          <w:sz w:val="28"/>
        </w:rPr>
        <w:t>5%</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因项目资金未下达，无法开展招投标，为保持我县病媒生物防制效果，防止病媒生物密度反弹，确保将病媒生物防制密度控制</w:t>
      </w:r>
      <w:r>
        <w:rPr>
          <w:rFonts w:ascii="仿宋_GB2312" w:hAnsi="仿宋_GB2312" w:cs="仿宋_GB2312" w:eastAsia="仿宋_GB2312"/>
          <w:sz w:val="28"/>
        </w:rPr>
        <w:t>达到国家病媒生物密度控制水平标准</w:t>
      </w:r>
      <w:r>
        <w:rPr>
          <w:rFonts w:ascii="仿宋_GB2312" w:hAnsi="仿宋_GB2312" w:cs="仿宋_GB2312" w:eastAsia="仿宋_GB2312"/>
          <w:sz w:val="28"/>
        </w:rPr>
        <w:t>C</w:t>
      </w:r>
      <w:r>
        <w:rPr>
          <w:rFonts w:ascii="仿宋_GB2312" w:hAnsi="仿宋_GB2312" w:cs="仿宋_GB2312" w:eastAsia="仿宋_GB2312"/>
          <w:sz w:val="28"/>
        </w:rPr>
        <w:t>级</w:t>
      </w:r>
      <w:r>
        <w:rPr>
          <w:rFonts w:ascii="仿宋_GB2312" w:hAnsi="仿宋_GB2312" w:cs="仿宋_GB2312" w:eastAsia="仿宋_GB2312"/>
          <w:sz w:val="28"/>
        </w:rPr>
        <w:t>，定安县</w:t>
      </w:r>
      <w:r>
        <w:rPr>
          <w:rFonts w:ascii="仿宋_GB2312" w:hAnsi="仿宋_GB2312" w:cs="仿宋_GB2312" w:eastAsia="仿宋_GB2312"/>
          <w:sz w:val="28"/>
        </w:rPr>
        <w:t>202</w:t>
      </w:r>
      <w:r>
        <w:rPr>
          <w:rFonts w:ascii="仿宋_GB2312" w:hAnsi="仿宋_GB2312" w:cs="仿宋_GB2312" w:eastAsia="仿宋_GB2312"/>
          <w:sz w:val="28"/>
        </w:rPr>
        <w:t>4</w:t>
      </w:r>
      <w:r>
        <w:rPr>
          <w:rFonts w:ascii="仿宋_GB2312" w:hAnsi="仿宋_GB2312" w:cs="仿宋_GB2312" w:eastAsia="仿宋_GB2312"/>
          <w:sz w:val="28"/>
        </w:rPr>
        <w:t>年</w:t>
      </w:r>
      <w:r>
        <w:rPr>
          <w:rFonts w:ascii="仿宋_GB2312" w:hAnsi="仿宋_GB2312" w:cs="仿宋_GB2312" w:eastAsia="仿宋_GB2312"/>
          <w:sz w:val="28"/>
        </w:rPr>
        <w:t>12</w:t>
      </w:r>
      <w:r>
        <w:rPr>
          <w:rFonts w:ascii="仿宋_GB2312" w:hAnsi="仿宋_GB2312" w:cs="仿宋_GB2312" w:eastAsia="仿宋_GB2312"/>
          <w:sz w:val="28"/>
        </w:rPr>
        <w:t>月至今一直做代管实施病媒生物防制服务工作。</w:t>
      </w:r>
    </w:p>
    <w:p>
      <w:pPr>
        <w:pStyle w:val="null3"/>
        <w:ind w:firstLine="560"/>
        <w:jc w:val="both"/>
      </w:pPr>
      <w:r>
        <w:rPr>
          <w:rFonts w:ascii="仿宋_GB2312" w:hAnsi="仿宋_GB2312" w:cs="仿宋_GB2312" w:eastAsia="仿宋_GB2312"/>
          <w:sz w:val="28"/>
        </w:rPr>
        <w:t>2025-2026</w:t>
      </w:r>
      <w:r>
        <w:rPr>
          <w:rFonts w:ascii="仿宋_GB2312" w:hAnsi="仿宋_GB2312" w:cs="仿宋_GB2312" w:eastAsia="仿宋_GB2312"/>
          <w:sz w:val="28"/>
        </w:rPr>
        <w:t>年定安县病媒生物防制服务市场化采购项目分成</w:t>
      </w:r>
      <w:r>
        <w:rPr>
          <w:rFonts w:ascii="仿宋_GB2312" w:hAnsi="仿宋_GB2312" w:cs="仿宋_GB2312" w:eastAsia="仿宋_GB2312"/>
          <w:sz w:val="28"/>
        </w:rPr>
        <w:t>A</w:t>
      </w:r>
      <w:r>
        <w:rPr>
          <w:rFonts w:ascii="仿宋_GB2312" w:hAnsi="仿宋_GB2312" w:cs="仿宋_GB2312" w:eastAsia="仿宋_GB2312"/>
          <w:sz w:val="28"/>
        </w:rPr>
        <w:t>、</w:t>
      </w:r>
      <w:r>
        <w:rPr>
          <w:rFonts w:ascii="仿宋_GB2312" w:hAnsi="仿宋_GB2312" w:cs="仿宋_GB2312" w:eastAsia="仿宋_GB2312"/>
          <w:sz w:val="28"/>
        </w:rPr>
        <w:t>B</w:t>
      </w:r>
      <w:r>
        <w:rPr>
          <w:rFonts w:ascii="仿宋_GB2312" w:hAnsi="仿宋_GB2312" w:cs="仿宋_GB2312" w:eastAsia="仿宋_GB2312"/>
          <w:sz w:val="28"/>
        </w:rPr>
        <w:t>、</w:t>
      </w:r>
      <w:r>
        <w:rPr>
          <w:rFonts w:ascii="仿宋_GB2312" w:hAnsi="仿宋_GB2312" w:cs="仿宋_GB2312" w:eastAsia="仿宋_GB2312"/>
          <w:sz w:val="28"/>
        </w:rPr>
        <w:t>C</w:t>
      </w:r>
      <w:r>
        <w:rPr>
          <w:rFonts w:ascii="仿宋_GB2312" w:hAnsi="仿宋_GB2312" w:cs="仿宋_GB2312" w:eastAsia="仿宋_GB2312"/>
          <w:sz w:val="28"/>
        </w:rPr>
        <w:t>三个标包。</w:t>
      </w:r>
    </w:p>
    <w:p>
      <w:pPr>
        <w:pStyle w:val="null3"/>
        <w:ind w:firstLine="560"/>
        <w:jc w:val="both"/>
      </w:pPr>
      <w:r>
        <w:rPr>
          <w:rFonts w:ascii="仿宋_GB2312" w:hAnsi="仿宋_GB2312" w:cs="仿宋_GB2312" w:eastAsia="仿宋_GB2312"/>
          <w:sz w:val="28"/>
        </w:rPr>
        <w:t>总费用</w:t>
      </w:r>
      <w:r>
        <w:rPr>
          <w:rFonts w:ascii="仿宋_GB2312" w:hAnsi="仿宋_GB2312" w:cs="仿宋_GB2312" w:eastAsia="仿宋_GB2312"/>
          <w:sz w:val="28"/>
        </w:rPr>
        <w:t>597.00</w:t>
      </w:r>
      <w:r>
        <w:rPr>
          <w:rFonts w:ascii="仿宋_GB2312" w:hAnsi="仿宋_GB2312" w:cs="仿宋_GB2312" w:eastAsia="仿宋_GB2312"/>
          <w:sz w:val="28"/>
        </w:rPr>
        <w:t>万元（含除四害药品</w:t>
      </w:r>
      <w:r>
        <w:rPr>
          <w:rFonts w:ascii="仿宋_GB2312" w:hAnsi="仿宋_GB2312" w:cs="仿宋_GB2312" w:eastAsia="仿宋_GB2312"/>
          <w:sz w:val="28"/>
        </w:rPr>
        <w:t>22</w:t>
      </w:r>
      <w:r>
        <w:rPr>
          <w:rFonts w:ascii="仿宋_GB2312" w:hAnsi="仿宋_GB2312" w:cs="仿宋_GB2312" w:eastAsia="仿宋_GB2312"/>
          <w:sz w:val="28"/>
        </w:rPr>
        <w:t>万元），其中：</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A</w:t>
      </w:r>
      <w:r>
        <w:rPr>
          <w:rFonts w:ascii="仿宋_GB2312" w:hAnsi="仿宋_GB2312" w:cs="仿宋_GB2312" w:eastAsia="仿宋_GB2312"/>
          <w:sz w:val="28"/>
        </w:rPr>
        <w:t>包预算金额：</w:t>
      </w:r>
      <w:r>
        <w:rPr>
          <w:rFonts w:ascii="仿宋_GB2312" w:hAnsi="仿宋_GB2312" w:cs="仿宋_GB2312" w:eastAsia="仿宋_GB2312"/>
          <w:sz w:val="28"/>
        </w:rPr>
        <w:t>298.00</w:t>
      </w:r>
      <w:r>
        <w:rPr>
          <w:rFonts w:ascii="仿宋_GB2312" w:hAnsi="仿宋_GB2312" w:cs="仿宋_GB2312" w:eastAsia="仿宋_GB2312"/>
          <w:sz w:val="28"/>
        </w:rPr>
        <w:t>万元，</w:t>
      </w:r>
      <w:r>
        <w:rPr>
          <w:rFonts w:ascii="仿宋_GB2312" w:hAnsi="仿宋_GB2312" w:cs="仿宋_GB2312" w:eastAsia="仿宋_GB2312"/>
          <w:sz w:val="28"/>
        </w:rPr>
        <w:t>24</w:t>
      </w:r>
      <w:r>
        <w:rPr>
          <w:rFonts w:ascii="仿宋_GB2312" w:hAnsi="仿宋_GB2312" w:cs="仿宋_GB2312" w:eastAsia="仿宋_GB2312"/>
          <w:sz w:val="28"/>
        </w:rPr>
        <w:t>个月共计</w:t>
      </w:r>
      <w:r>
        <w:rPr>
          <w:rFonts w:ascii="仿宋_GB2312" w:hAnsi="仿宋_GB2312" w:cs="仿宋_GB2312" w:eastAsia="仿宋_GB2312"/>
          <w:sz w:val="28"/>
        </w:rPr>
        <w:t>276.00</w:t>
      </w:r>
      <w:r>
        <w:rPr>
          <w:rFonts w:ascii="仿宋_GB2312" w:hAnsi="仿宋_GB2312" w:cs="仿宋_GB2312" w:eastAsia="仿宋_GB2312"/>
          <w:sz w:val="28"/>
        </w:rPr>
        <w:t>万元，以及“除四害”药品（清单后附）费用为</w:t>
      </w:r>
      <w:r>
        <w:rPr>
          <w:rFonts w:ascii="仿宋_GB2312" w:hAnsi="仿宋_GB2312" w:cs="仿宋_GB2312" w:eastAsia="仿宋_GB2312"/>
          <w:sz w:val="28"/>
        </w:rPr>
        <w:t>22</w:t>
      </w:r>
      <w:r>
        <w:rPr>
          <w:rFonts w:ascii="仿宋_GB2312" w:hAnsi="仿宋_GB2312" w:cs="仿宋_GB2312" w:eastAsia="仿宋_GB2312"/>
          <w:sz w:val="28"/>
        </w:rPr>
        <w:t>万，总计预算金额</w:t>
      </w:r>
      <w:r>
        <w:rPr>
          <w:rFonts w:ascii="仿宋_GB2312" w:hAnsi="仿宋_GB2312" w:cs="仿宋_GB2312" w:eastAsia="仿宋_GB2312"/>
          <w:sz w:val="28"/>
        </w:rPr>
        <w:t>298.00</w:t>
      </w:r>
      <w:r>
        <w:rPr>
          <w:rFonts w:ascii="仿宋_GB2312" w:hAnsi="仿宋_GB2312" w:cs="仿宋_GB2312" w:eastAsia="仿宋_GB2312"/>
          <w:sz w:val="28"/>
        </w:rPr>
        <w:t>万元。服务区域：定安县城建成区及城乡结合部（包含仙沟墟）及周边村庄病媒生物防制服务项目，共计</w:t>
      </w:r>
      <w:r>
        <w:rPr>
          <w:rFonts w:ascii="仿宋_GB2312" w:hAnsi="仿宋_GB2312" w:cs="仿宋_GB2312" w:eastAsia="仿宋_GB2312"/>
          <w:sz w:val="28"/>
        </w:rPr>
        <w:t>12</w:t>
      </w:r>
      <w:r>
        <w:rPr>
          <w:rFonts w:ascii="仿宋_GB2312" w:hAnsi="仿宋_GB2312" w:cs="仿宋_GB2312" w:eastAsia="仿宋_GB2312"/>
          <w:sz w:val="28"/>
        </w:rPr>
        <w:t>平方公里。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B</w:t>
      </w:r>
      <w:r>
        <w:rPr>
          <w:rFonts w:ascii="仿宋_GB2312" w:hAnsi="仿宋_GB2312" w:cs="仿宋_GB2312" w:eastAsia="仿宋_GB2312"/>
          <w:sz w:val="28"/>
        </w:rPr>
        <w:t>包预算金额：</w:t>
      </w:r>
      <w:r>
        <w:rPr>
          <w:rFonts w:ascii="仿宋_GB2312" w:hAnsi="仿宋_GB2312" w:cs="仿宋_GB2312" w:eastAsia="仿宋_GB2312"/>
          <w:sz w:val="28"/>
        </w:rPr>
        <w:t>172.5</w:t>
      </w:r>
      <w:r>
        <w:rPr>
          <w:rFonts w:ascii="仿宋_GB2312" w:hAnsi="仿宋_GB2312" w:cs="仿宋_GB2312" w:eastAsia="仿宋_GB2312"/>
          <w:sz w:val="28"/>
        </w:rPr>
        <w:t>万元，</w:t>
      </w:r>
      <w:r>
        <w:rPr>
          <w:rFonts w:ascii="仿宋_GB2312" w:hAnsi="仿宋_GB2312" w:cs="仿宋_GB2312" w:eastAsia="仿宋_GB2312"/>
          <w:sz w:val="28"/>
        </w:rPr>
        <w:t>24</w:t>
      </w:r>
      <w:r>
        <w:rPr>
          <w:rFonts w:ascii="仿宋_GB2312" w:hAnsi="仿宋_GB2312" w:cs="仿宋_GB2312" w:eastAsia="仿宋_GB2312"/>
          <w:sz w:val="28"/>
        </w:rPr>
        <w:t>个月共计</w:t>
      </w:r>
      <w:r>
        <w:rPr>
          <w:rFonts w:ascii="仿宋_GB2312" w:hAnsi="仿宋_GB2312" w:cs="仿宋_GB2312" w:eastAsia="仿宋_GB2312"/>
          <w:sz w:val="28"/>
        </w:rPr>
        <w:t>172.5</w:t>
      </w:r>
      <w:r>
        <w:rPr>
          <w:rFonts w:ascii="仿宋_GB2312" w:hAnsi="仿宋_GB2312" w:cs="仿宋_GB2312" w:eastAsia="仿宋_GB2312"/>
          <w:sz w:val="28"/>
        </w:rPr>
        <w:t>万元。服务区域：岭口镇、翰林镇（含中瑞居）、龙河镇（含驻部队营区）、雷鸣镇、龙门镇、黄竹镇（含南海居）等镇墟及周边村庄病媒生物防制服务项目，共计</w:t>
      </w:r>
      <w:r>
        <w:rPr>
          <w:rFonts w:ascii="仿宋_GB2312" w:hAnsi="仿宋_GB2312" w:cs="仿宋_GB2312" w:eastAsia="仿宋_GB2312"/>
          <w:sz w:val="28"/>
        </w:rPr>
        <w:t>7.5</w:t>
      </w:r>
      <w:r>
        <w:rPr>
          <w:rFonts w:ascii="仿宋_GB2312" w:hAnsi="仿宋_GB2312" w:cs="仿宋_GB2312" w:eastAsia="仿宋_GB2312"/>
          <w:sz w:val="28"/>
        </w:rPr>
        <w:t>平方公里。</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C</w:t>
      </w:r>
      <w:r>
        <w:rPr>
          <w:rFonts w:ascii="仿宋_GB2312" w:hAnsi="仿宋_GB2312" w:cs="仿宋_GB2312" w:eastAsia="仿宋_GB2312"/>
          <w:sz w:val="28"/>
        </w:rPr>
        <w:t>包预算金额：</w:t>
      </w:r>
      <w:r>
        <w:rPr>
          <w:rFonts w:ascii="仿宋_GB2312" w:hAnsi="仿宋_GB2312" w:cs="仿宋_GB2312" w:eastAsia="仿宋_GB2312"/>
          <w:sz w:val="28"/>
        </w:rPr>
        <w:t>126.5</w:t>
      </w:r>
      <w:r>
        <w:rPr>
          <w:rFonts w:ascii="仿宋_GB2312" w:hAnsi="仿宋_GB2312" w:cs="仿宋_GB2312" w:eastAsia="仿宋_GB2312"/>
          <w:sz w:val="28"/>
        </w:rPr>
        <w:t>万元，</w:t>
      </w:r>
      <w:r>
        <w:rPr>
          <w:rFonts w:ascii="仿宋_GB2312" w:hAnsi="仿宋_GB2312" w:cs="仿宋_GB2312" w:eastAsia="仿宋_GB2312"/>
          <w:sz w:val="28"/>
        </w:rPr>
        <w:t>24</w:t>
      </w:r>
      <w:r>
        <w:rPr>
          <w:rFonts w:ascii="仿宋_GB2312" w:hAnsi="仿宋_GB2312" w:cs="仿宋_GB2312" w:eastAsia="仿宋_GB2312"/>
          <w:sz w:val="28"/>
        </w:rPr>
        <w:t>个月共计</w:t>
      </w:r>
      <w:r>
        <w:rPr>
          <w:rFonts w:ascii="仿宋_GB2312" w:hAnsi="仿宋_GB2312" w:cs="仿宋_GB2312" w:eastAsia="仿宋_GB2312"/>
          <w:sz w:val="28"/>
        </w:rPr>
        <w:t>126.5</w:t>
      </w:r>
      <w:r>
        <w:rPr>
          <w:rFonts w:ascii="仿宋_GB2312" w:hAnsi="仿宋_GB2312" w:cs="仿宋_GB2312" w:eastAsia="仿宋_GB2312"/>
          <w:sz w:val="28"/>
        </w:rPr>
        <w:t>万元。服务区域：龙州墟、新竹镇、龙湖镇（含永丰）、富文镇（含坡寨、金鸡岭居）等镇墟及周边村庄病媒生物防制服务项目，共计</w:t>
      </w:r>
      <w:r>
        <w:rPr>
          <w:rFonts w:ascii="仿宋_GB2312" w:hAnsi="仿宋_GB2312" w:cs="仿宋_GB2312" w:eastAsia="仿宋_GB2312"/>
          <w:sz w:val="28"/>
        </w:rPr>
        <w:t>5.5</w:t>
      </w:r>
      <w:r>
        <w:rPr>
          <w:rFonts w:ascii="仿宋_GB2312" w:hAnsi="仿宋_GB2312" w:cs="仿宋_GB2312" w:eastAsia="仿宋_GB2312"/>
          <w:sz w:val="28"/>
        </w:rPr>
        <w:t>平方公里。</w:t>
      </w:r>
    </w:p>
    <w:p>
      <w:pPr>
        <w:pStyle w:val="null3"/>
        <w:ind w:firstLine="56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2,980,000.00</w:t>
      </w:r>
    </w:p>
    <w:p>
      <w:pPr>
        <w:pStyle w:val="null3"/>
        <w:jc w:val="left"/>
      </w:pPr>
      <w:r>
        <w:rPr>
          <w:rFonts w:ascii="仿宋_GB2312" w:hAnsi="仿宋_GB2312" w:cs="仿宋_GB2312" w:eastAsia="仿宋_GB2312"/>
        </w:rPr>
        <w:t>采购包最高限价（元）: 2,980,000.00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1,725,000.00</w:t>
      </w:r>
    </w:p>
    <w:p>
      <w:pPr>
        <w:pStyle w:val="null3"/>
        <w:jc w:val="left"/>
      </w:pPr>
      <w:r>
        <w:rPr>
          <w:rFonts w:ascii="仿宋_GB2312" w:hAnsi="仿宋_GB2312" w:cs="仿宋_GB2312" w:eastAsia="仿宋_GB2312"/>
        </w:rPr>
        <w:t>采购包最高限价（元）: 1,725,000.00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1,725,000.00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1,265,000.00</w:t>
      </w:r>
    </w:p>
    <w:p>
      <w:pPr>
        <w:pStyle w:val="null3"/>
        <w:jc w:val="left"/>
      </w:pPr>
      <w:r>
        <w:rPr>
          <w:rFonts w:ascii="仿宋_GB2312" w:hAnsi="仿宋_GB2312" w:cs="仿宋_GB2312" w:eastAsia="仿宋_GB2312"/>
        </w:rPr>
        <w:t>采购包最高限价（元）: 1,265,000.00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C04110000-公共卫生事件防控服务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1,265,000.00</w:t>
            </w:r>
          </w:p>
        </w:tc>
        <w:tc>
          <w:tcPr>
            <w:tcW w:type="dxa" w:w="831"/>
          </w:tcPr>
          <w:p>
            <w:pPr>
              <w:pStyle w:val="null3"/>
              <w:jc w:val="left"/>
            </w:pPr>
            <w:r>
              <w:rPr>
                <w:rFonts w:ascii="仿宋_GB2312" w:hAnsi="仿宋_GB2312" w:cs="仿宋_GB2312" w:eastAsia="仿宋_GB2312"/>
              </w:rPr>
              <w:t>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C04110000-公共卫生事件防控服务</w:t>
            </w:r>
          </w:p>
        </w:tc>
        <w:tc>
          <w:tcPr>
            <w:tcW w:type="dxa" w:w="554"/>
          </w:tcPr>
          <w:p>
            <w:pPr>
              <w:pStyle w:val="null3"/>
              <w:jc w:val="left"/>
            </w:pPr>
            <w:r>
              <w:rPr>
                <w:rFonts w:ascii="仿宋_GB2312" w:hAnsi="仿宋_GB2312" w:cs="仿宋_GB2312" w:eastAsia="仿宋_GB2312"/>
              </w:rPr>
              <w:t>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color w:val="000000"/>
              </w:rPr>
              <w:t>一、项目服务范围：（以下所指服务范围包括内外环境）</w:t>
            </w:r>
          </w:p>
          <w:p>
            <w:pPr>
              <w:pStyle w:val="null3"/>
              <w:jc w:val="left"/>
            </w:pPr>
            <w:r>
              <w:rPr>
                <w:rFonts w:ascii="仿宋_GB2312" w:hAnsi="仿宋_GB2312" w:cs="仿宋_GB2312" w:eastAsia="仿宋_GB2312"/>
                <w:sz w:val="28"/>
                <w:b/>
                <w:color w:val="000000"/>
              </w:rPr>
              <w:t xml:space="preserve">  </w:t>
            </w:r>
            <w:r>
              <w:rPr>
                <w:rFonts w:ascii="仿宋_GB2312" w:hAnsi="仿宋_GB2312" w:cs="仿宋_GB2312" w:eastAsia="仿宋_GB2312"/>
                <w:sz w:val="28"/>
              </w:rPr>
              <w:t>A包</w:t>
            </w:r>
            <w:r>
              <w:rPr>
                <w:rFonts w:ascii="仿宋_GB2312" w:hAnsi="仿宋_GB2312" w:cs="仿宋_GB2312" w:eastAsia="仿宋_GB2312"/>
                <w:sz w:val="28"/>
              </w:rPr>
              <w:t>服务区域中各防制服务点的公共区域（包括市政大街、背街小巷、公共绿化带、公园广场、城中村、江河两岸、下水道等）、各行政机关、企事业单位（含住宅小区）、农贸市场、垃圾收集转运站（点）、公厕、建筑工地、学校、医院、车站、屠宰场、废品收购点（站）、住宅小区、社区居民住宅区外环境等范围</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b/>
                <w:color w:val="000000"/>
              </w:rPr>
              <w:t>二、项目服务内容和标准：</w:t>
            </w:r>
          </w:p>
          <w:p>
            <w:pPr>
              <w:pStyle w:val="null3"/>
              <w:ind w:firstLine="560"/>
              <w:jc w:val="both"/>
            </w:pPr>
            <w:r>
              <w:rPr>
                <w:rFonts w:ascii="仿宋_GB2312" w:hAnsi="仿宋_GB2312" w:cs="仿宋_GB2312" w:eastAsia="仿宋_GB2312"/>
                <w:sz w:val="28"/>
              </w:rPr>
              <w:t>（一）服务内容：鼠、蚊、蝇、蟑螂等</w:t>
            </w:r>
            <w:r>
              <w:rPr>
                <w:rFonts w:ascii="仿宋_GB2312" w:hAnsi="仿宋_GB2312" w:cs="仿宋_GB2312" w:eastAsia="仿宋_GB2312"/>
                <w:sz w:val="28"/>
              </w:rPr>
              <w:t>“四害”的防制消杀及病媒孳生地排查和协助治理等；指导“三防”设施建设；规范放置和管理毒鼠屋。</w:t>
            </w:r>
          </w:p>
          <w:p>
            <w:pPr>
              <w:pStyle w:val="null3"/>
              <w:ind w:firstLine="560"/>
              <w:jc w:val="both"/>
            </w:pPr>
            <w:r>
              <w:rPr>
                <w:rFonts w:ascii="仿宋_GB2312" w:hAnsi="仿宋_GB2312" w:cs="仿宋_GB2312" w:eastAsia="仿宋_GB2312"/>
                <w:sz w:val="28"/>
              </w:rPr>
              <w:t>（二）服务标准：服务区域里鼠、蚊、蝇、蟑螂的密度达到国家病媒生物密度控制水平标准</w:t>
            </w:r>
            <w:r>
              <w:rPr>
                <w:rFonts w:ascii="仿宋_GB2312" w:hAnsi="仿宋_GB2312" w:cs="仿宋_GB2312" w:eastAsia="仿宋_GB2312"/>
                <w:sz w:val="28"/>
              </w:rPr>
              <w:t>C级要求。</w:t>
            </w:r>
          </w:p>
          <w:p>
            <w:pPr>
              <w:pStyle w:val="null3"/>
              <w:jc w:val="left"/>
            </w:pPr>
            <w:r>
              <w:rPr>
                <w:rFonts w:ascii="仿宋_GB2312" w:hAnsi="仿宋_GB2312" w:cs="仿宋_GB2312" w:eastAsia="仿宋_GB2312"/>
                <w:sz w:val="28"/>
                <w:b/>
                <w:color w:val="000000"/>
              </w:rPr>
              <w:t>三、项目服务期限：</w:t>
            </w:r>
            <w:r>
              <w:rPr>
                <w:rFonts w:ascii="仿宋_GB2312" w:hAnsi="仿宋_GB2312" w:cs="仿宋_GB2312" w:eastAsia="仿宋_GB2312"/>
                <w:sz w:val="28"/>
                <w:b/>
                <w:color w:val="000000"/>
              </w:rPr>
              <w:t>24个月（合同一年一签）。</w:t>
            </w:r>
          </w:p>
          <w:p>
            <w:pPr>
              <w:pStyle w:val="null3"/>
              <w:jc w:val="left"/>
            </w:pPr>
            <w:r>
              <w:rPr>
                <w:rFonts w:ascii="仿宋_GB2312" w:hAnsi="仿宋_GB2312" w:cs="仿宋_GB2312" w:eastAsia="仿宋_GB2312"/>
                <w:sz w:val="28"/>
                <w:b/>
                <w:color w:val="000000"/>
              </w:rPr>
              <w:t>服务期具体时间为：</w:t>
            </w:r>
            <w:r>
              <w:rPr>
                <w:rFonts w:ascii="仿宋_GB2312" w:hAnsi="仿宋_GB2312" w:cs="仿宋_GB2312" w:eastAsia="仿宋_GB2312"/>
                <w:sz w:val="28"/>
                <w:b/>
              </w:rPr>
              <w:t>2024年12月</w:t>
            </w:r>
            <w:r>
              <w:rPr>
                <w:rFonts w:ascii="仿宋_GB2312" w:hAnsi="仿宋_GB2312" w:cs="仿宋_GB2312" w:eastAsia="仿宋_GB2312"/>
                <w:sz w:val="28"/>
                <w:b/>
              </w:rPr>
              <w:t>9日零时</w:t>
            </w:r>
            <w:r>
              <w:rPr>
                <w:rFonts w:ascii="仿宋_GB2312" w:hAnsi="仿宋_GB2312" w:cs="仿宋_GB2312" w:eastAsia="仿宋_GB2312"/>
                <w:sz w:val="28"/>
                <w:b/>
              </w:rPr>
              <w:t>-2026年12月</w:t>
            </w:r>
            <w:r>
              <w:rPr>
                <w:rFonts w:ascii="仿宋_GB2312" w:hAnsi="仿宋_GB2312" w:cs="仿宋_GB2312" w:eastAsia="仿宋_GB2312"/>
                <w:sz w:val="28"/>
                <w:b/>
              </w:rPr>
              <w:t>8日二十四时</w:t>
            </w:r>
            <w:r>
              <w:rPr>
                <w:rFonts w:ascii="仿宋_GB2312" w:hAnsi="仿宋_GB2312" w:cs="仿宋_GB2312" w:eastAsia="仿宋_GB2312"/>
                <w:sz w:val="28"/>
                <w:b/>
              </w:rPr>
              <w:t>（含代管期限）</w:t>
            </w:r>
            <w:r>
              <w:rPr>
                <w:rFonts w:ascii="仿宋_GB2312" w:hAnsi="仿宋_GB2312" w:cs="仿宋_GB2312" w:eastAsia="仿宋_GB2312"/>
                <w:sz w:val="28"/>
                <w:b/>
                <w:color w:val="000000"/>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color w:val="000000"/>
              </w:rPr>
              <w:t>一、项目服务范围：（以下所指服务范围包括内外环境）</w:t>
            </w:r>
          </w:p>
          <w:p>
            <w:pPr>
              <w:pStyle w:val="null3"/>
              <w:jc w:val="left"/>
            </w:pPr>
            <w:r>
              <w:rPr>
                <w:rFonts w:ascii="仿宋_GB2312" w:hAnsi="仿宋_GB2312" w:cs="仿宋_GB2312" w:eastAsia="仿宋_GB2312"/>
                <w:sz w:val="28"/>
                <w:b/>
                <w:color w:val="000000"/>
              </w:rPr>
              <w:t xml:space="preserve">  </w:t>
            </w:r>
            <w:r>
              <w:rPr>
                <w:rFonts w:ascii="仿宋_GB2312" w:hAnsi="仿宋_GB2312" w:cs="仿宋_GB2312" w:eastAsia="仿宋_GB2312"/>
                <w:sz w:val="28"/>
              </w:rPr>
              <w:t>B包</w:t>
            </w:r>
            <w:r>
              <w:rPr>
                <w:rFonts w:ascii="仿宋_GB2312" w:hAnsi="仿宋_GB2312" w:cs="仿宋_GB2312" w:eastAsia="仿宋_GB2312"/>
                <w:sz w:val="28"/>
              </w:rPr>
              <w:t>服务区域中各防制服务点的公共区域（包括市政大街、背街小巷、公共绿化带、公园广场、城中村、江河两岸、下水道等）、各行政机关、企事业单位（含住宅小区）、农贸市场、垃圾收集转运站（点）、公厕、建筑工地、学校、医院、车站、屠宰场、废品收购点（站）、住宅小区、社区居民住宅区外环境等范围</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b/>
                <w:color w:val="000000"/>
              </w:rPr>
              <w:t>二、项目服务内容和标准：</w:t>
            </w:r>
          </w:p>
          <w:p>
            <w:pPr>
              <w:pStyle w:val="null3"/>
              <w:ind w:firstLine="560"/>
              <w:jc w:val="both"/>
            </w:pPr>
            <w:r>
              <w:rPr>
                <w:rFonts w:ascii="仿宋_GB2312" w:hAnsi="仿宋_GB2312" w:cs="仿宋_GB2312" w:eastAsia="仿宋_GB2312"/>
                <w:sz w:val="28"/>
              </w:rPr>
              <w:t>（一）服务内容：鼠、蚊、蝇、蟑螂等</w:t>
            </w:r>
            <w:r>
              <w:rPr>
                <w:rFonts w:ascii="仿宋_GB2312" w:hAnsi="仿宋_GB2312" w:cs="仿宋_GB2312" w:eastAsia="仿宋_GB2312"/>
                <w:sz w:val="28"/>
              </w:rPr>
              <w:t>“四害”的防制消杀及病媒孳生地排查和协助治理等；指导“三防”设施建设；规范放置和管理毒鼠屋。</w:t>
            </w:r>
          </w:p>
          <w:p>
            <w:pPr>
              <w:pStyle w:val="null3"/>
              <w:ind w:firstLine="560"/>
              <w:jc w:val="both"/>
            </w:pPr>
            <w:r>
              <w:rPr>
                <w:rFonts w:ascii="仿宋_GB2312" w:hAnsi="仿宋_GB2312" w:cs="仿宋_GB2312" w:eastAsia="仿宋_GB2312"/>
                <w:sz w:val="28"/>
              </w:rPr>
              <w:t>（二）服务标准：服务区域里鼠、蚊、蝇、蟑螂的密度达到国家病媒生物密度控制水平标准</w:t>
            </w:r>
            <w:r>
              <w:rPr>
                <w:rFonts w:ascii="仿宋_GB2312" w:hAnsi="仿宋_GB2312" w:cs="仿宋_GB2312" w:eastAsia="仿宋_GB2312"/>
                <w:sz w:val="28"/>
              </w:rPr>
              <w:t>C级要求。</w:t>
            </w:r>
          </w:p>
          <w:p>
            <w:pPr>
              <w:pStyle w:val="null3"/>
              <w:jc w:val="left"/>
            </w:pPr>
            <w:r>
              <w:rPr>
                <w:rFonts w:ascii="仿宋_GB2312" w:hAnsi="仿宋_GB2312" w:cs="仿宋_GB2312" w:eastAsia="仿宋_GB2312"/>
                <w:sz w:val="28"/>
                <w:b/>
                <w:color w:val="000000"/>
              </w:rPr>
              <w:t>三、项目服务期限：</w:t>
            </w:r>
            <w:r>
              <w:rPr>
                <w:rFonts w:ascii="仿宋_GB2312" w:hAnsi="仿宋_GB2312" w:cs="仿宋_GB2312" w:eastAsia="仿宋_GB2312"/>
                <w:sz w:val="28"/>
                <w:b/>
                <w:color w:val="000000"/>
              </w:rPr>
              <w:t>24个月（合同一年一签）。</w:t>
            </w:r>
          </w:p>
          <w:p>
            <w:pPr>
              <w:pStyle w:val="null3"/>
              <w:jc w:val="left"/>
            </w:pPr>
            <w:r>
              <w:rPr>
                <w:rFonts w:ascii="仿宋_GB2312" w:hAnsi="仿宋_GB2312" w:cs="仿宋_GB2312" w:eastAsia="仿宋_GB2312"/>
                <w:sz w:val="28"/>
                <w:b/>
                <w:color w:val="000000"/>
              </w:rPr>
              <w:t>服务期具体时间为：</w:t>
            </w:r>
            <w:r>
              <w:rPr>
                <w:rFonts w:ascii="仿宋_GB2312" w:hAnsi="仿宋_GB2312" w:cs="仿宋_GB2312" w:eastAsia="仿宋_GB2312"/>
                <w:sz w:val="28"/>
                <w:b/>
              </w:rPr>
              <w:t>2024年12月</w:t>
            </w:r>
            <w:r>
              <w:rPr>
                <w:rFonts w:ascii="仿宋_GB2312" w:hAnsi="仿宋_GB2312" w:cs="仿宋_GB2312" w:eastAsia="仿宋_GB2312"/>
                <w:sz w:val="28"/>
                <w:b/>
              </w:rPr>
              <w:t>9日零时</w:t>
            </w:r>
            <w:r>
              <w:rPr>
                <w:rFonts w:ascii="仿宋_GB2312" w:hAnsi="仿宋_GB2312" w:cs="仿宋_GB2312" w:eastAsia="仿宋_GB2312"/>
                <w:sz w:val="28"/>
                <w:b/>
              </w:rPr>
              <w:t>-2026年12月</w:t>
            </w:r>
            <w:r>
              <w:rPr>
                <w:rFonts w:ascii="仿宋_GB2312" w:hAnsi="仿宋_GB2312" w:cs="仿宋_GB2312" w:eastAsia="仿宋_GB2312"/>
                <w:sz w:val="28"/>
                <w:b/>
              </w:rPr>
              <w:t>8日二十四时</w:t>
            </w:r>
            <w:r>
              <w:rPr>
                <w:rFonts w:ascii="仿宋_GB2312" w:hAnsi="仿宋_GB2312" w:cs="仿宋_GB2312" w:eastAsia="仿宋_GB2312"/>
                <w:sz w:val="28"/>
                <w:b/>
              </w:rPr>
              <w:t>（含代管期限）</w:t>
            </w:r>
            <w:r>
              <w:rPr>
                <w:rFonts w:ascii="仿宋_GB2312" w:hAnsi="仿宋_GB2312" w:cs="仿宋_GB2312" w:eastAsia="仿宋_GB2312"/>
                <w:sz w:val="28"/>
                <w:b/>
                <w:color w:val="000000"/>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标的名称：C04110000-公共卫生事件防控服务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color w:val="000000"/>
              </w:rPr>
              <w:t>一、项目服务范围：（以下所指服务范围包括内外环境）</w:t>
            </w:r>
          </w:p>
          <w:p>
            <w:pPr>
              <w:pStyle w:val="null3"/>
              <w:jc w:val="left"/>
            </w:pPr>
            <w:r>
              <w:rPr>
                <w:rFonts w:ascii="仿宋_GB2312" w:hAnsi="仿宋_GB2312" w:cs="仿宋_GB2312" w:eastAsia="仿宋_GB2312"/>
                <w:sz w:val="28"/>
                <w:b/>
                <w:color w:val="000000"/>
              </w:rPr>
              <w:t xml:space="preserve">  </w:t>
            </w:r>
            <w:r>
              <w:rPr>
                <w:rFonts w:ascii="仿宋_GB2312" w:hAnsi="仿宋_GB2312" w:cs="仿宋_GB2312" w:eastAsia="仿宋_GB2312"/>
                <w:sz w:val="28"/>
              </w:rPr>
              <w:t>C包</w:t>
            </w:r>
            <w:r>
              <w:rPr>
                <w:rFonts w:ascii="仿宋_GB2312" w:hAnsi="仿宋_GB2312" w:cs="仿宋_GB2312" w:eastAsia="仿宋_GB2312"/>
                <w:sz w:val="28"/>
              </w:rPr>
              <w:t>服务区域中各防制服务点的公共区域（包括市政大街、背街小巷、公共绿化带、公园广场、城中村、江河两岸、下水道等）、各行政机关、企事业单位（含住宅小区）、农贸市场、垃圾收集转运站（点）、公厕、建筑工地、学校、医院、车站、屠宰场、废品收购点（站）、住宅小区、社区居民住宅区外环境等范围</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b/>
                <w:color w:val="000000"/>
              </w:rPr>
              <w:t>二、项目服务内容和标准：</w:t>
            </w:r>
          </w:p>
          <w:p>
            <w:pPr>
              <w:pStyle w:val="null3"/>
              <w:ind w:firstLine="560"/>
              <w:jc w:val="both"/>
            </w:pPr>
            <w:r>
              <w:rPr>
                <w:rFonts w:ascii="仿宋_GB2312" w:hAnsi="仿宋_GB2312" w:cs="仿宋_GB2312" w:eastAsia="仿宋_GB2312"/>
                <w:sz w:val="28"/>
              </w:rPr>
              <w:t>（一）服务内容：鼠、蚊、蝇、蟑螂等</w:t>
            </w:r>
            <w:r>
              <w:rPr>
                <w:rFonts w:ascii="仿宋_GB2312" w:hAnsi="仿宋_GB2312" w:cs="仿宋_GB2312" w:eastAsia="仿宋_GB2312"/>
                <w:sz w:val="28"/>
              </w:rPr>
              <w:t>“四害”的防制消杀及病媒孳生地排查和协助治理等；指导“三防”设施建设；规范放置和管理毒鼠屋。</w:t>
            </w:r>
          </w:p>
          <w:p>
            <w:pPr>
              <w:pStyle w:val="null3"/>
              <w:ind w:firstLine="560"/>
              <w:jc w:val="both"/>
            </w:pPr>
            <w:r>
              <w:rPr>
                <w:rFonts w:ascii="仿宋_GB2312" w:hAnsi="仿宋_GB2312" w:cs="仿宋_GB2312" w:eastAsia="仿宋_GB2312"/>
                <w:sz w:val="28"/>
              </w:rPr>
              <w:t>（二）服务标准：服务区域里鼠、蚊、蝇、蟑螂的密度达到国家病媒生物密度控制水平标准</w:t>
            </w:r>
            <w:r>
              <w:rPr>
                <w:rFonts w:ascii="仿宋_GB2312" w:hAnsi="仿宋_GB2312" w:cs="仿宋_GB2312" w:eastAsia="仿宋_GB2312"/>
                <w:sz w:val="28"/>
              </w:rPr>
              <w:t>C级要求。</w:t>
            </w:r>
          </w:p>
          <w:p>
            <w:pPr>
              <w:pStyle w:val="null3"/>
              <w:jc w:val="left"/>
            </w:pPr>
            <w:r>
              <w:rPr>
                <w:rFonts w:ascii="仿宋_GB2312" w:hAnsi="仿宋_GB2312" w:cs="仿宋_GB2312" w:eastAsia="仿宋_GB2312"/>
                <w:sz w:val="28"/>
                <w:b/>
                <w:color w:val="000000"/>
              </w:rPr>
              <w:t>三、项目服务期限：</w:t>
            </w:r>
            <w:r>
              <w:rPr>
                <w:rFonts w:ascii="仿宋_GB2312" w:hAnsi="仿宋_GB2312" w:cs="仿宋_GB2312" w:eastAsia="仿宋_GB2312"/>
                <w:sz w:val="28"/>
                <w:b/>
                <w:color w:val="000000"/>
              </w:rPr>
              <w:t>24个月（合同一年一签）。</w:t>
            </w:r>
          </w:p>
          <w:p>
            <w:pPr>
              <w:pStyle w:val="null3"/>
              <w:jc w:val="left"/>
            </w:pPr>
            <w:r>
              <w:rPr>
                <w:rFonts w:ascii="仿宋_GB2312" w:hAnsi="仿宋_GB2312" w:cs="仿宋_GB2312" w:eastAsia="仿宋_GB2312"/>
                <w:sz w:val="28"/>
                <w:b/>
                <w:color w:val="000000"/>
              </w:rPr>
              <w:t>服务期具体时间为：</w:t>
            </w:r>
            <w:r>
              <w:rPr>
                <w:rFonts w:ascii="仿宋_GB2312" w:hAnsi="仿宋_GB2312" w:cs="仿宋_GB2312" w:eastAsia="仿宋_GB2312"/>
                <w:sz w:val="28"/>
                <w:b/>
              </w:rPr>
              <w:t>2024年12月</w:t>
            </w:r>
            <w:r>
              <w:rPr>
                <w:rFonts w:ascii="仿宋_GB2312" w:hAnsi="仿宋_GB2312" w:cs="仿宋_GB2312" w:eastAsia="仿宋_GB2312"/>
                <w:sz w:val="28"/>
                <w:b/>
              </w:rPr>
              <w:t>9日零时</w:t>
            </w:r>
            <w:r>
              <w:rPr>
                <w:rFonts w:ascii="仿宋_GB2312" w:hAnsi="仿宋_GB2312" w:cs="仿宋_GB2312" w:eastAsia="仿宋_GB2312"/>
                <w:sz w:val="28"/>
                <w:b/>
              </w:rPr>
              <w:t>-2026年12月</w:t>
            </w:r>
            <w:r>
              <w:rPr>
                <w:rFonts w:ascii="仿宋_GB2312" w:hAnsi="仿宋_GB2312" w:cs="仿宋_GB2312" w:eastAsia="仿宋_GB2312"/>
                <w:sz w:val="28"/>
                <w:b/>
              </w:rPr>
              <w:t>8日二十四时</w:t>
            </w:r>
            <w:r>
              <w:rPr>
                <w:rFonts w:ascii="仿宋_GB2312" w:hAnsi="仿宋_GB2312" w:cs="仿宋_GB2312" w:eastAsia="仿宋_GB2312"/>
                <w:sz w:val="28"/>
                <w:b/>
              </w:rPr>
              <w:t>（含代管期限）</w:t>
            </w:r>
            <w:r>
              <w:rPr>
                <w:rFonts w:ascii="仿宋_GB2312" w:hAnsi="仿宋_GB2312" w:cs="仿宋_GB2312" w:eastAsia="仿宋_GB2312"/>
                <w:sz w:val="28"/>
                <w:b/>
                <w:color w:val="00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、项目报价</w:t>
            </w:r>
          </w:p>
          <w:p>
            <w:pPr>
              <w:pStyle w:val="null3"/>
              <w:ind w:firstLine="560"/>
              <w:jc w:val="both"/>
            </w:pPr>
            <w:r>
              <w:rPr>
                <w:rFonts w:ascii="仿宋_GB2312" w:hAnsi="仿宋_GB2312" w:cs="仿宋_GB2312" w:eastAsia="仿宋_GB2312"/>
                <w:sz w:val="28"/>
              </w:rPr>
              <w:t>报价包括在合同期限内提供的作业、安装、后续服务、食宿办公、交通通讯、管理费用、人员费用（含工资、奖金、社保、运输、教育培训、处理一切伤亡事故等费用）、生产资料（设施设备支出、设备折旧和维护等）、消杀器械及药物、税金、利润等本项目所发生的一切费用。</w:t>
            </w:r>
          </w:p>
          <w:p>
            <w:pPr>
              <w:pStyle w:val="null3"/>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、项目要求</w:t>
            </w:r>
          </w:p>
          <w:p>
            <w:pPr>
              <w:pStyle w:val="null3"/>
              <w:ind w:firstLine="560"/>
              <w:jc w:val="both"/>
            </w:pPr>
            <w:r>
              <w:rPr>
                <w:rFonts w:ascii="仿宋_GB2312" w:hAnsi="仿宋_GB2312" w:cs="仿宋_GB2312" w:eastAsia="仿宋_GB2312"/>
                <w:sz w:val="28"/>
              </w:rPr>
              <w:t>（一）所有采购和服务的化学药剂必须具有国家承认的</w:t>
            </w:r>
            <w:r>
              <w:rPr>
                <w:rFonts w:ascii="仿宋_GB2312" w:hAnsi="仿宋_GB2312" w:cs="仿宋_GB2312" w:eastAsia="仿宋_GB2312"/>
                <w:sz w:val="28"/>
              </w:rPr>
              <w:t>“三证”（具有三证：农药生产许可证、农药登记证、产品标准证书），并提供生产厂家产品质量承诺书，保证进货渠道正规，无过期产品。</w:t>
            </w:r>
          </w:p>
          <w:p>
            <w:pPr>
              <w:pStyle w:val="null3"/>
              <w:ind w:firstLine="560"/>
              <w:jc w:val="both"/>
            </w:pPr>
            <w:r>
              <w:rPr>
                <w:rFonts w:ascii="仿宋_GB2312" w:hAnsi="仿宋_GB2312" w:cs="仿宋_GB2312" w:eastAsia="仿宋_GB2312"/>
                <w:sz w:val="28"/>
              </w:rPr>
              <w:t>（二）禁止使用剧毒药剂及国家法律法规严禁的化学药剂药物。</w:t>
            </w:r>
          </w:p>
          <w:p>
            <w:pPr>
              <w:pStyle w:val="null3"/>
              <w:ind w:firstLine="560"/>
              <w:jc w:val="both"/>
            </w:pPr>
            <w:r>
              <w:rPr>
                <w:rFonts w:ascii="仿宋_GB2312" w:hAnsi="仿宋_GB2312" w:cs="仿宋_GB2312" w:eastAsia="仿宋_GB2312"/>
                <w:sz w:val="28"/>
              </w:rPr>
              <w:t>（三）投放鼠药期间，如因中标单位未做好相关危险标识而导致儿童触摸或误吃鼠药的，所产生的后果和责任由中标单位负责。</w:t>
            </w:r>
          </w:p>
          <w:p>
            <w:pPr>
              <w:pStyle w:val="null3"/>
              <w:ind w:firstLine="560"/>
              <w:jc w:val="both"/>
            </w:pPr>
            <w:r>
              <w:rPr>
                <w:rFonts w:ascii="仿宋_GB2312" w:hAnsi="仿宋_GB2312" w:cs="仿宋_GB2312" w:eastAsia="仿宋_GB2312"/>
                <w:sz w:val="28"/>
              </w:rPr>
              <w:t>（四）中标单位必须在其服务区域里的某个镇墟设立定安县项目办（办事机构）。</w:t>
            </w:r>
          </w:p>
          <w:p>
            <w:pPr>
              <w:pStyle w:val="null3"/>
              <w:ind w:firstLine="560"/>
              <w:jc w:val="both"/>
            </w:pPr>
            <w:r>
              <w:rPr>
                <w:rFonts w:ascii="仿宋_GB2312" w:hAnsi="仿宋_GB2312" w:cs="仿宋_GB2312" w:eastAsia="仿宋_GB2312"/>
                <w:sz w:val="28"/>
              </w:rPr>
              <w:t>（五）中标单位在合同期限内所投入的常年驻点作业技术人员均需取得有害生物防制员职业资格证书或岗位证书，并统一着装，持证上岗，文明服务，着装要符合防护要求，保证</w:t>
            </w:r>
            <w:r>
              <w:rPr>
                <w:rFonts w:ascii="仿宋_GB2312" w:hAnsi="仿宋_GB2312" w:cs="仿宋_GB2312" w:eastAsia="仿宋_GB2312"/>
                <w:sz w:val="28"/>
              </w:rPr>
              <w:t>24小时内有人员值班，24小时接受采购人的监督、检查。</w:t>
            </w:r>
          </w:p>
          <w:p>
            <w:pPr>
              <w:pStyle w:val="null3"/>
              <w:ind w:firstLine="560"/>
              <w:jc w:val="both"/>
            </w:pPr>
            <w:r>
              <w:rPr>
                <w:rFonts w:ascii="仿宋_GB2312" w:hAnsi="仿宋_GB2312" w:cs="仿宋_GB2312" w:eastAsia="仿宋_GB2312"/>
                <w:sz w:val="28"/>
              </w:rPr>
              <w:t>（六）中标单位必须配合好采购人交办的与此项工作有关联的任务。</w:t>
            </w:r>
          </w:p>
          <w:p>
            <w:pPr>
              <w:pStyle w:val="null3"/>
              <w:ind w:firstLine="560"/>
              <w:jc w:val="both"/>
            </w:pPr>
            <w:r>
              <w:rPr>
                <w:rFonts w:ascii="仿宋_GB2312" w:hAnsi="仿宋_GB2312" w:cs="仿宋_GB2312" w:eastAsia="仿宋_GB2312"/>
                <w:sz w:val="28"/>
              </w:rPr>
              <w:t>（七）中标单位必须在合同期限内聘请或指派有职称的专家进行指导、培训工作三次以上（培训人员为采购人指定人员）。</w:t>
            </w:r>
          </w:p>
          <w:p>
            <w:pPr>
              <w:pStyle w:val="null3"/>
              <w:ind w:firstLine="560"/>
              <w:jc w:val="both"/>
            </w:pPr>
            <w:r>
              <w:rPr>
                <w:rFonts w:ascii="仿宋_GB2312" w:hAnsi="仿宋_GB2312" w:cs="仿宋_GB2312" w:eastAsia="仿宋_GB2312"/>
                <w:sz w:val="28"/>
              </w:rPr>
              <w:t>（八）中标单位每个服务年限中须在服务区域里开展</w:t>
            </w:r>
            <w:r>
              <w:rPr>
                <w:rFonts w:ascii="仿宋_GB2312" w:hAnsi="仿宋_GB2312" w:cs="仿宋_GB2312" w:eastAsia="仿宋_GB2312"/>
                <w:sz w:val="28"/>
              </w:rPr>
              <w:t>2-3次病媒生物防制知识宣传活动。（注：以镇墟为单位计算）</w:t>
            </w:r>
          </w:p>
          <w:p>
            <w:pPr>
              <w:pStyle w:val="null3"/>
              <w:ind w:firstLine="560"/>
              <w:jc w:val="both"/>
            </w:pPr>
            <w:r>
              <w:rPr>
                <w:rFonts w:ascii="仿宋_GB2312" w:hAnsi="仿宋_GB2312" w:cs="仿宋_GB2312" w:eastAsia="仿宋_GB2312"/>
                <w:sz w:val="28"/>
              </w:rPr>
              <w:t>（九）中标单位应安排专业技术人员每月对城区（镇墟）、城乡结合部的不同行业、不同单位进行巡查指导工作。</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color w:val="000000"/>
              </w:rPr>
              <w:t>A包</w:t>
            </w:r>
            <w:r>
              <w:rPr>
                <w:rFonts w:ascii="仿宋_GB2312" w:hAnsi="仿宋_GB2312" w:cs="仿宋_GB2312" w:eastAsia="仿宋_GB2312"/>
                <w:sz w:val="28"/>
              </w:rPr>
              <w:t>中标单位投放毒鼠屋不少于</w:t>
            </w:r>
            <w:r>
              <w:rPr>
                <w:rFonts w:ascii="仿宋_GB2312" w:hAnsi="仿宋_GB2312" w:cs="仿宋_GB2312" w:eastAsia="仿宋_GB2312"/>
                <w:sz w:val="28"/>
              </w:rPr>
              <w:t>3500个</w:t>
            </w:r>
            <w:r>
              <w:rPr>
                <w:rFonts w:ascii="仿宋_GB2312" w:hAnsi="仿宋_GB2312" w:cs="仿宋_GB2312" w:eastAsia="仿宋_GB2312"/>
                <w:sz w:val="28"/>
              </w:rPr>
              <w:t>，并粘贴明显的警示标语，以满足投放鼠药需求，布放符合规范要求为准。毒鼠屋规格为：长35cm×宽12cm×高12cm。</w:t>
            </w:r>
          </w:p>
          <w:p>
            <w:pPr>
              <w:pStyle w:val="null3"/>
              <w:ind w:firstLine="560"/>
              <w:jc w:val="both"/>
            </w:pPr>
            <w:r>
              <w:rPr>
                <w:rFonts w:ascii="仿宋_GB2312" w:hAnsi="仿宋_GB2312" w:cs="仿宋_GB2312" w:eastAsia="仿宋_GB2312"/>
                <w:sz w:val="28"/>
              </w:rPr>
              <w:t>（十一）若出现有投诉情况，中标单位必须在</w:t>
            </w:r>
            <w:r>
              <w:rPr>
                <w:rFonts w:ascii="仿宋_GB2312" w:hAnsi="仿宋_GB2312" w:cs="仿宋_GB2312" w:eastAsia="仿宋_GB2312"/>
                <w:sz w:val="28"/>
              </w:rPr>
              <w:t>3小时内做出响应，24小时内指派作业服务人员到达所投诉现场处理问题。</w:t>
            </w:r>
          </w:p>
          <w:p>
            <w:pPr>
              <w:pStyle w:val="null3"/>
              <w:ind w:firstLine="560"/>
              <w:jc w:val="both"/>
            </w:pPr>
            <w:r>
              <w:rPr>
                <w:rFonts w:ascii="仿宋_GB2312" w:hAnsi="仿宋_GB2312" w:cs="仿宋_GB2312" w:eastAsia="仿宋_GB2312"/>
                <w:sz w:val="28"/>
              </w:rPr>
              <w:t>（十二）中标单位必须配足配齐适应作业需要的专业施工器械设备。</w:t>
            </w:r>
          </w:p>
          <w:p>
            <w:pPr>
              <w:pStyle w:val="null3"/>
              <w:ind w:firstLine="560"/>
              <w:jc w:val="both"/>
            </w:pPr>
            <w:r>
              <w:rPr>
                <w:rFonts w:ascii="仿宋_GB2312" w:hAnsi="仿宋_GB2312" w:cs="仿宋_GB2312" w:eastAsia="仿宋_GB2312"/>
                <w:sz w:val="28"/>
              </w:rPr>
              <w:t>（十三）中标单位实施作业服务后，必须做到经常性地自我检查和密度监测，做好病媒孳生地季度性调查并把服务区域病媒生物密度控制达到国家病媒生物密度控制水平标准</w:t>
            </w:r>
            <w:r>
              <w:rPr>
                <w:rFonts w:ascii="仿宋_GB2312" w:hAnsi="仿宋_GB2312" w:cs="仿宋_GB2312" w:eastAsia="仿宋_GB2312"/>
                <w:sz w:val="28"/>
              </w:rPr>
              <w:t>C级要求。</w:t>
            </w:r>
          </w:p>
          <w:p>
            <w:pPr>
              <w:pStyle w:val="null3"/>
              <w:ind w:firstLine="560"/>
              <w:jc w:val="both"/>
            </w:pPr>
            <w:r>
              <w:rPr>
                <w:rFonts w:ascii="仿宋_GB2312" w:hAnsi="仿宋_GB2312" w:cs="仿宋_GB2312" w:eastAsia="仿宋_GB2312"/>
                <w:sz w:val="28"/>
              </w:rPr>
              <w:t>（十四）中标单位进场实施病媒生物防制工作的作业记录、巡查记录、现场照片、药剂器械出入库记录、监测密度记录、病媒孳生地调查报告等按月报送采购人，年度工作总结、技术实施方案、报告等资料必须整理形成竣工验收资料交给采购人。</w:t>
            </w:r>
          </w:p>
          <w:p>
            <w:pPr>
              <w:pStyle w:val="null3"/>
              <w:ind w:firstLine="560"/>
              <w:jc w:val="both"/>
            </w:pPr>
            <w:r>
              <w:rPr>
                <w:rFonts w:ascii="仿宋_GB2312" w:hAnsi="仿宋_GB2312" w:cs="仿宋_GB2312" w:eastAsia="仿宋_GB2312"/>
                <w:sz w:val="28"/>
              </w:rPr>
              <w:t>（十五）中标单位如将该服务合同转包或部分分包给第三者，采购人有权终止合同，造成经济损失和法律责任由中标单位承担。</w:t>
            </w:r>
          </w:p>
          <w:p>
            <w:pPr>
              <w:pStyle w:val="null3"/>
              <w:ind w:firstLine="560"/>
              <w:jc w:val="both"/>
            </w:pPr>
            <w:r>
              <w:rPr>
                <w:rFonts w:ascii="仿宋_GB2312" w:hAnsi="仿宋_GB2312" w:cs="仿宋_GB2312" w:eastAsia="仿宋_GB2312"/>
                <w:sz w:val="28"/>
              </w:rPr>
              <w:t>（十六）中标单位必须具备或履行采购人提出的以上要求条件，否则采购人有权拒签或终止合同，经济损失和法律责任由中标单位承担。</w:t>
            </w:r>
          </w:p>
          <w:p>
            <w:pPr>
              <w:pStyle w:val="null3"/>
              <w:jc w:val="left"/>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、付款方式：</w:t>
            </w:r>
          </w:p>
          <w:p>
            <w:pPr>
              <w:pStyle w:val="null3"/>
              <w:ind w:firstLine="560"/>
              <w:jc w:val="both"/>
            </w:pPr>
            <w:r>
              <w:rPr>
                <w:rFonts w:ascii="仿宋_GB2312" w:hAnsi="仿宋_GB2312" w:cs="仿宋_GB2312" w:eastAsia="仿宋_GB2312"/>
                <w:sz w:val="28"/>
              </w:rPr>
              <w:t>1、根据财政资金下达情况，预计2025年12月份前支付中标公司2025年项目款的95%，2026年上半年支付2026年项目款的50%；如财政资金不紧张，预计2026年12月份前将2026年尾款全部完成支付。</w:t>
            </w:r>
          </w:p>
          <w:p>
            <w:pPr>
              <w:pStyle w:val="null3"/>
              <w:ind w:firstLine="560"/>
              <w:jc w:val="both"/>
            </w:pPr>
            <w:r>
              <w:rPr>
                <w:rFonts w:ascii="仿宋_GB2312" w:hAnsi="仿宋_GB2312" w:cs="仿宋_GB2312" w:eastAsia="仿宋_GB2312"/>
                <w:sz w:val="28"/>
              </w:rPr>
              <w:t>2、定期聘请第三方效果评估机构验收合格后按照合同约定付款，评估费用包含在中标报价中，付款标准为合同总价的5%。</w:t>
            </w:r>
          </w:p>
          <w:p>
            <w:pPr>
              <w:pStyle w:val="null3"/>
              <w:jc w:val="left"/>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、其他事项</w:t>
            </w:r>
          </w:p>
          <w:p>
            <w:pPr>
              <w:pStyle w:val="null3"/>
              <w:ind w:firstLine="560"/>
              <w:jc w:val="both"/>
            </w:pPr>
            <w:r>
              <w:rPr>
                <w:rFonts w:ascii="仿宋_GB2312" w:hAnsi="仿宋_GB2312" w:cs="仿宋_GB2312" w:eastAsia="仿宋_GB2312"/>
                <w:sz w:val="28"/>
              </w:rPr>
              <w:t>（一）在项目承包期限内因招投标等特殊情况中标人未能及时上岗，由原中标的病媒生物防制公司暂代其开展病媒生物防制服务工作，代管期间服务费依据中标价减去相关费用后确定平均每月服务费，不满一个月时按月平均服务费确定每日服务费（需减去的费用为：聘请第三方效果评估费用）。</w:t>
            </w:r>
          </w:p>
          <w:p>
            <w:pPr>
              <w:pStyle w:val="null3"/>
              <w:ind w:firstLine="560"/>
              <w:jc w:val="both"/>
            </w:pPr>
            <w:r>
              <w:rPr>
                <w:rFonts w:ascii="仿宋_GB2312" w:hAnsi="仿宋_GB2312" w:cs="仿宋_GB2312" w:eastAsia="仿宋_GB2312"/>
                <w:sz w:val="28"/>
              </w:rPr>
              <w:t>采购单位与中标单位签订合同之日起七天为交接期，交接完毕后中标单位正式上岗，并将代管服务费税后金额一次性支付给代管公司。</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附件：</w:t>
            </w:r>
            <w:r>
              <w:rPr>
                <w:rFonts w:ascii="仿宋_GB2312" w:hAnsi="仿宋_GB2312" w:cs="仿宋_GB2312" w:eastAsia="仿宋_GB2312"/>
                <w:sz w:val="28"/>
                <w:b/>
              </w:rPr>
              <w:t>A</w:t>
            </w:r>
            <w:r>
              <w:rPr>
                <w:rFonts w:ascii="仿宋_GB2312" w:hAnsi="仿宋_GB2312" w:cs="仿宋_GB2312" w:eastAsia="仿宋_GB2312"/>
                <w:sz w:val="28"/>
                <w:b/>
              </w:rPr>
              <w:t>包</w:t>
            </w:r>
            <w:r>
              <w:rPr>
                <w:rFonts w:ascii="仿宋_GB2312" w:hAnsi="仿宋_GB2312" w:cs="仿宋_GB2312" w:eastAsia="仿宋_GB2312"/>
                <w:sz w:val="28"/>
                <w:b/>
              </w:rPr>
              <w:t>“除四害”药品清单</w:t>
            </w:r>
          </w:p>
          <w:p>
            <w:pPr>
              <w:pStyle w:val="null3"/>
              <w:jc w:val="center"/>
            </w:pPr>
            <w:r>
              <w:rPr>
                <w:rFonts w:ascii="仿宋_GB2312" w:hAnsi="仿宋_GB2312" w:cs="仿宋_GB2312" w:eastAsia="仿宋_GB2312"/>
                <w:sz w:val="44"/>
                <w:b/>
              </w:rPr>
              <w:t>“除四害”药品采购清单</w:t>
            </w:r>
          </w:p>
          <w:tbl>
            <w:tblPr>
              <w:tblBorders>
                <w:top w:val="none" w:color="000000" w:sz="4"/>
                <w:left w:val="none" w:color="000000" w:sz="4"/>
                <w:bottom w:val="none" w:color="000000" w:sz="4"/>
                <w:right w:val="none" w:color="000000" w:sz="4"/>
                <w:insideH w:val="none"/>
                <w:insideV w:val="none"/>
              </w:tblBorders>
            </w:tblPr>
            <w:tblGrid>
              <w:gridCol w:w="183"/>
              <w:gridCol w:w="376"/>
              <w:gridCol w:w="414"/>
              <w:gridCol w:w="335"/>
              <w:gridCol w:w="570"/>
              <w:gridCol w:w="218"/>
              <w:gridCol w:w="455"/>
            </w:tblGrid>
            <w:tr>
              <w:tc>
                <w:tcPr>
                  <w:tcW w:type="dxa" w:w="183"/>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b/>
                    </w:rPr>
                    <w:t>序号</w:t>
                  </w:r>
                </w:p>
              </w:tc>
              <w:tc>
                <w:tcPr>
                  <w:tcW w:type="dxa" w:w="376"/>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b/>
                    </w:rPr>
                    <w:t>药品名称</w:t>
                  </w:r>
                </w:p>
              </w:tc>
              <w:tc>
                <w:tcPr>
                  <w:tcW w:type="dxa" w:w="414"/>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b/>
                    </w:rPr>
                    <w:t>总有效成分含量</w:t>
                  </w:r>
                </w:p>
              </w:tc>
              <w:tc>
                <w:tcPr>
                  <w:tcW w:type="dxa" w:w="335"/>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b/>
                    </w:rPr>
                    <w:t>防治靶标</w:t>
                  </w:r>
                </w:p>
              </w:tc>
              <w:tc>
                <w:tcPr>
                  <w:tcW w:type="dxa" w:w="570"/>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b/>
                    </w:rPr>
                    <w:t>规格</w:t>
                  </w:r>
                </w:p>
              </w:tc>
              <w:tc>
                <w:tcPr>
                  <w:tcW w:type="dxa" w:w="218"/>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b/>
                    </w:rPr>
                    <w:t>单位</w:t>
                  </w:r>
                </w:p>
              </w:tc>
              <w:tc>
                <w:tcPr>
                  <w:tcW w:type="dxa" w:w="455"/>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b/>
                    </w:rPr>
                    <w:t>计划采购数量</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b/>
                    </w:rPr>
                    <w:t>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灭鼠</w:t>
                  </w:r>
                  <w:r>
                    <w:rPr>
                      <w:rFonts w:ascii="仿宋_GB2312" w:hAnsi="仿宋_GB2312" w:cs="仿宋_GB2312" w:eastAsia="仿宋_GB2312"/>
                      <w:sz w:val="24"/>
                    </w:rPr>
                    <w:t>毒饵</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≥0.005%</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鼠</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100包*100g/箱</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箱</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250</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b/>
                    </w:rPr>
                    <w:t>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粘鼠板</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w:t>
                  </w:r>
                  <w:r>
                    <w:rPr>
                      <w:rFonts w:ascii="仿宋_GB2312" w:hAnsi="仿宋_GB2312" w:cs="仿宋_GB2312" w:eastAsia="仿宋_GB2312"/>
                      <w:sz w:val="24"/>
                    </w:rPr>
                    <w:t>40g含胶量</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鼠</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50张/箱</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箱</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50</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b/>
                    </w:rPr>
                    <w:t>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炔咪</w:t>
                  </w:r>
                  <w:r>
                    <w:rPr>
                      <w:rFonts w:ascii="仿宋_GB2312" w:hAnsi="仿宋_GB2312" w:cs="仿宋_GB2312" w:eastAsia="仿宋_GB2312"/>
                      <w:sz w:val="24"/>
                    </w:rPr>
                    <w:t>+苯氰菊酯气雾剂</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≥0.5%</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蚊、蝇、蜚蠊</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460ml*20瓶/箱</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箱</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22</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b/>
                    </w:rPr>
                    <w:t>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杀虫饵剂或饵粒</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≥0.05%</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蜚蠊</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10g*500包/箱</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箱</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10</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b/>
                    </w:rPr>
                    <w:t>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颗粒剂（蚊幼）</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≥0.5%</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孑孓（蚊幼）</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500g*20包/箱</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箱</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75"/>
                    <w:jc w:val="center"/>
                  </w:pPr>
                  <w:r>
                    <w:rPr>
                      <w:rFonts w:ascii="仿宋_GB2312" w:hAnsi="仿宋_GB2312" w:cs="仿宋_GB2312" w:eastAsia="仿宋_GB2312"/>
                      <w:sz w:val="24"/>
                    </w:rPr>
                    <w:t>50</w:t>
                  </w:r>
                </w:p>
              </w:tc>
            </w:tr>
          </w:tbl>
          <w:p>
            <w:pPr>
              <w:pStyle w:val="null3"/>
              <w:jc w:val="both"/>
            </w:pPr>
            <w:r>
              <w:rPr>
                <w:rFonts w:ascii="仿宋_GB2312" w:hAnsi="仿宋_GB2312" w:cs="仿宋_GB2312" w:eastAsia="仿宋_GB2312"/>
                <w:sz w:val="21"/>
                <w:b/>
              </w:rPr>
              <w:t>注：各项药品实际采购数量以采购人实际需求为准，</w:t>
            </w:r>
            <w:r>
              <w:rPr>
                <w:rFonts w:ascii="仿宋_GB2312" w:hAnsi="仿宋_GB2312" w:cs="仿宋_GB2312" w:eastAsia="仿宋_GB2312"/>
                <w:sz w:val="21"/>
                <w:b/>
              </w:rPr>
              <w:t>“除四害”药品采购预算金额</w:t>
            </w:r>
            <w:r>
              <w:rPr>
                <w:rFonts w:ascii="仿宋_GB2312" w:hAnsi="仿宋_GB2312" w:cs="仿宋_GB2312" w:eastAsia="仿宋_GB2312"/>
                <w:sz w:val="21"/>
                <w:b/>
              </w:rPr>
              <w:t>11</w:t>
            </w:r>
            <w:r>
              <w:rPr>
                <w:rFonts w:ascii="仿宋_GB2312" w:hAnsi="仿宋_GB2312" w:cs="仿宋_GB2312" w:eastAsia="仿宋_GB2312"/>
                <w:sz w:val="21"/>
                <w:b/>
              </w:rPr>
              <w:t>万元</w:t>
            </w:r>
            <w:r>
              <w:rPr>
                <w:rFonts w:ascii="仿宋_GB2312" w:hAnsi="仿宋_GB2312" w:cs="仿宋_GB2312" w:eastAsia="仿宋_GB2312"/>
                <w:sz w:val="21"/>
                <w:b/>
              </w:rPr>
              <w:t>/</w:t>
            </w:r>
            <w:r>
              <w:rPr>
                <w:rFonts w:ascii="仿宋_GB2312" w:hAnsi="仿宋_GB2312" w:cs="仿宋_GB2312" w:eastAsia="仿宋_GB2312"/>
                <w:sz w:val="21"/>
                <w:b/>
              </w:rPr>
              <w:t>年（投标人报价时的数量不得少于计划采购数量，总价</w:t>
            </w:r>
            <w:r>
              <w:rPr>
                <w:rFonts w:ascii="仿宋_GB2312" w:hAnsi="仿宋_GB2312" w:cs="仿宋_GB2312" w:eastAsia="仿宋_GB2312"/>
                <w:sz w:val="21"/>
                <w:b/>
              </w:rPr>
              <w:t>11</w:t>
            </w:r>
            <w:r>
              <w:rPr>
                <w:rFonts w:ascii="仿宋_GB2312" w:hAnsi="仿宋_GB2312" w:cs="仿宋_GB2312" w:eastAsia="仿宋_GB2312"/>
                <w:sz w:val="21"/>
                <w:b/>
              </w:rPr>
              <w:t>万元</w:t>
            </w:r>
            <w:r>
              <w:rPr>
                <w:rFonts w:ascii="仿宋_GB2312" w:hAnsi="仿宋_GB2312" w:cs="仿宋_GB2312" w:eastAsia="仿宋_GB2312"/>
                <w:sz w:val="21"/>
                <w:b/>
              </w:rPr>
              <w:t>/</w:t>
            </w:r>
            <w:r>
              <w:rPr>
                <w:rFonts w:ascii="仿宋_GB2312" w:hAnsi="仿宋_GB2312" w:cs="仿宋_GB2312" w:eastAsia="仿宋_GB2312"/>
                <w:sz w:val="21"/>
                <w:b/>
              </w:rPr>
              <w:t>年不变，即：药品单价越低数量越多。）</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、项目报价</w:t>
            </w:r>
          </w:p>
          <w:p>
            <w:pPr>
              <w:pStyle w:val="null3"/>
              <w:ind w:firstLine="560"/>
              <w:jc w:val="both"/>
            </w:pPr>
            <w:r>
              <w:rPr>
                <w:rFonts w:ascii="仿宋_GB2312" w:hAnsi="仿宋_GB2312" w:cs="仿宋_GB2312" w:eastAsia="仿宋_GB2312"/>
                <w:sz w:val="28"/>
              </w:rPr>
              <w:t>报价包括在合同期限内提供的作业、安装、后续服务、食宿办公、交通通讯、管理费用、人员费用（含工资、奖金、社保、运输、教育培训、处理一切伤亡事故等费用）、生产资料（设施设备支出、设备折旧和维护等）、消杀器械及药物、税金、利润等本项目所发生的一切费用。</w:t>
            </w:r>
          </w:p>
          <w:p>
            <w:pPr>
              <w:pStyle w:val="null3"/>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、项目要求</w:t>
            </w:r>
          </w:p>
          <w:p>
            <w:pPr>
              <w:pStyle w:val="null3"/>
              <w:ind w:firstLine="560"/>
              <w:jc w:val="both"/>
            </w:pPr>
            <w:r>
              <w:rPr>
                <w:rFonts w:ascii="仿宋_GB2312" w:hAnsi="仿宋_GB2312" w:cs="仿宋_GB2312" w:eastAsia="仿宋_GB2312"/>
                <w:sz w:val="28"/>
              </w:rPr>
              <w:t>（一）所有采购和服务的化学药剂必须具有国家承认的</w:t>
            </w:r>
            <w:r>
              <w:rPr>
                <w:rFonts w:ascii="仿宋_GB2312" w:hAnsi="仿宋_GB2312" w:cs="仿宋_GB2312" w:eastAsia="仿宋_GB2312"/>
                <w:sz w:val="28"/>
              </w:rPr>
              <w:t>“三证”（具有三证：农药生产许可证、农药登记证、产品标准证书），并提供生产厂家产品质量承诺书，保证进货渠道正规，无过期产品。</w:t>
            </w:r>
          </w:p>
          <w:p>
            <w:pPr>
              <w:pStyle w:val="null3"/>
              <w:ind w:firstLine="560"/>
              <w:jc w:val="both"/>
            </w:pPr>
            <w:r>
              <w:rPr>
                <w:rFonts w:ascii="仿宋_GB2312" w:hAnsi="仿宋_GB2312" w:cs="仿宋_GB2312" w:eastAsia="仿宋_GB2312"/>
                <w:sz w:val="28"/>
              </w:rPr>
              <w:t>（二）禁止使用剧毒药剂及国家法律法规严禁的化学药剂药物。</w:t>
            </w:r>
          </w:p>
          <w:p>
            <w:pPr>
              <w:pStyle w:val="null3"/>
              <w:ind w:firstLine="560"/>
              <w:jc w:val="both"/>
            </w:pPr>
            <w:r>
              <w:rPr>
                <w:rFonts w:ascii="仿宋_GB2312" w:hAnsi="仿宋_GB2312" w:cs="仿宋_GB2312" w:eastAsia="仿宋_GB2312"/>
                <w:sz w:val="28"/>
              </w:rPr>
              <w:t>（三）投放鼠药期间，如因中标单位未做好相关危险标识而导致儿童触摸或误吃鼠药的，所产生的后果和责任由中标单位负责。</w:t>
            </w:r>
          </w:p>
          <w:p>
            <w:pPr>
              <w:pStyle w:val="null3"/>
              <w:ind w:firstLine="560"/>
              <w:jc w:val="both"/>
            </w:pPr>
            <w:r>
              <w:rPr>
                <w:rFonts w:ascii="仿宋_GB2312" w:hAnsi="仿宋_GB2312" w:cs="仿宋_GB2312" w:eastAsia="仿宋_GB2312"/>
                <w:sz w:val="28"/>
              </w:rPr>
              <w:t>（四）中标单位必须在其服务区域里的某个镇墟设立定安县项目办（办事机构）。</w:t>
            </w:r>
          </w:p>
          <w:p>
            <w:pPr>
              <w:pStyle w:val="null3"/>
              <w:ind w:firstLine="560"/>
              <w:jc w:val="both"/>
            </w:pPr>
            <w:r>
              <w:rPr>
                <w:rFonts w:ascii="仿宋_GB2312" w:hAnsi="仿宋_GB2312" w:cs="仿宋_GB2312" w:eastAsia="仿宋_GB2312"/>
                <w:sz w:val="28"/>
              </w:rPr>
              <w:t>（五）中标单位在合同期限内所投入的常年驻点作业技术人员均需取得有害生物防制员职业资格证书或岗位证书，并统一着装，持证上岗，文明服务，着装要符合防护要求，保证</w:t>
            </w:r>
            <w:r>
              <w:rPr>
                <w:rFonts w:ascii="仿宋_GB2312" w:hAnsi="仿宋_GB2312" w:cs="仿宋_GB2312" w:eastAsia="仿宋_GB2312"/>
                <w:sz w:val="28"/>
              </w:rPr>
              <w:t>24小时内有人员值班，24小时接受采购人的监督、检查。</w:t>
            </w:r>
          </w:p>
          <w:p>
            <w:pPr>
              <w:pStyle w:val="null3"/>
              <w:ind w:firstLine="560"/>
              <w:jc w:val="both"/>
            </w:pPr>
            <w:r>
              <w:rPr>
                <w:rFonts w:ascii="仿宋_GB2312" w:hAnsi="仿宋_GB2312" w:cs="仿宋_GB2312" w:eastAsia="仿宋_GB2312"/>
                <w:sz w:val="28"/>
              </w:rPr>
              <w:t>（六）中标单位必须配合好采购人交办的与此项工作有关联的任务。</w:t>
            </w:r>
          </w:p>
          <w:p>
            <w:pPr>
              <w:pStyle w:val="null3"/>
              <w:ind w:firstLine="560"/>
              <w:jc w:val="both"/>
            </w:pPr>
            <w:r>
              <w:rPr>
                <w:rFonts w:ascii="仿宋_GB2312" w:hAnsi="仿宋_GB2312" w:cs="仿宋_GB2312" w:eastAsia="仿宋_GB2312"/>
                <w:sz w:val="28"/>
              </w:rPr>
              <w:t>（七）中标单位必须在合同期限内聘请或指派有职称的专家进行指导、培训工作三次以上（培训人员为采购人指定人员）。</w:t>
            </w:r>
          </w:p>
          <w:p>
            <w:pPr>
              <w:pStyle w:val="null3"/>
              <w:ind w:firstLine="560"/>
              <w:jc w:val="both"/>
            </w:pPr>
            <w:r>
              <w:rPr>
                <w:rFonts w:ascii="仿宋_GB2312" w:hAnsi="仿宋_GB2312" w:cs="仿宋_GB2312" w:eastAsia="仿宋_GB2312"/>
                <w:sz w:val="28"/>
              </w:rPr>
              <w:t>（八）中标单位每个服务年限中须在服务区域里开展</w:t>
            </w:r>
            <w:r>
              <w:rPr>
                <w:rFonts w:ascii="仿宋_GB2312" w:hAnsi="仿宋_GB2312" w:cs="仿宋_GB2312" w:eastAsia="仿宋_GB2312"/>
                <w:sz w:val="28"/>
              </w:rPr>
              <w:t>2-3次病媒生物防制知识宣传活动。（注：以镇墟为单位计算）</w:t>
            </w:r>
          </w:p>
          <w:p>
            <w:pPr>
              <w:pStyle w:val="null3"/>
              <w:ind w:firstLine="560"/>
              <w:jc w:val="both"/>
            </w:pPr>
            <w:r>
              <w:rPr>
                <w:rFonts w:ascii="仿宋_GB2312" w:hAnsi="仿宋_GB2312" w:cs="仿宋_GB2312" w:eastAsia="仿宋_GB2312"/>
                <w:sz w:val="28"/>
              </w:rPr>
              <w:t>（九）中标单位应安排专业技术人员每月对城区（镇墟）、城乡结合部的不同行业、不同单位进行巡查指导工作。</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rPr>
              <w:t>B</w:t>
            </w:r>
            <w:r>
              <w:rPr>
                <w:rFonts w:ascii="仿宋_GB2312" w:hAnsi="仿宋_GB2312" w:cs="仿宋_GB2312" w:eastAsia="仿宋_GB2312"/>
                <w:sz w:val="28"/>
                <w:color w:val="000000"/>
              </w:rPr>
              <w:t>包</w:t>
            </w:r>
            <w:r>
              <w:rPr>
                <w:rFonts w:ascii="仿宋_GB2312" w:hAnsi="仿宋_GB2312" w:cs="仿宋_GB2312" w:eastAsia="仿宋_GB2312"/>
                <w:sz w:val="28"/>
              </w:rPr>
              <w:t>中标单位投放毒鼠屋不少于</w:t>
            </w:r>
            <w:r>
              <w:rPr>
                <w:rFonts w:ascii="仿宋_GB2312" w:hAnsi="仿宋_GB2312" w:cs="仿宋_GB2312" w:eastAsia="仿宋_GB2312"/>
                <w:sz w:val="28"/>
              </w:rPr>
              <w:t>4200个（平均每个乡镇在700个左右）</w:t>
            </w:r>
            <w:r>
              <w:rPr>
                <w:rFonts w:ascii="仿宋_GB2312" w:hAnsi="仿宋_GB2312" w:cs="仿宋_GB2312" w:eastAsia="仿宋_GB2312"/>
                <w:sz w:val="28"/>
              </w:rPr>
              <w:t>，并粘贴明显的警示标语，以满足投放鼠药需求，布放符合规范要求为准。毒鼠屋规格为：长35cm×宽12cm×高12cm。</w:t>
            </w:r>
          </w:p>
          <w:p>
            <w:pPr>
              <w:pStyle w:val="null3"/>
              <w:ind w:firstLine="560"/>
              <w:jc w:val="both"/>
            </w:pPr>
            <w:r>
              <w:rPr>
                <w:rFonts w:ascii="仿宋_GB2312" w:hAnsi="仿宋_GB2312" w:cs="仿宋_GB2312" w:eastAsia="仿宋_GB2312"/>
                <w:sz w:val="28"/>
              </w:rPr>
              <w:t>（十一）若出现有投诉情况，中标单位必须在</w:t>
            </w:r>
            <w:r>
              <w:rPr>
                <w:rFonts w:ascii="仿宋_GB2312" w:hAnsi="仿宋_GB2312" w:cs="仿宋_GB2312" w:eastAsia="仿宋_GB2312"/>
                <w:sz w:val="28"/>
              </w:rPr>
              <w:t>3小时内做出响应，24小时内指派作业服务人员到达所投诉现场处理问题。</w:t>
            </w:r>
          </w:p>
          <w:p>
            <w:pPr>
              <w:pStyle w:val="null3"/>
              <w:ind w:firstLine="560"/>
              <w:jc w:val="both"/>
            </w:pPr>
            <w:r>
              <w:rPr>
                <w:rFonts w:ascii="仿宋_GB2312" w:hAnsi="仿宋_GB2312" w:cs="仿宋_GB2312" w:eastAsia="仿宋_GB2312"/>
                <w:sz w:val="28"/>
              </w:rPr>
              <w:t>（十二）中标单位必须配足配齐适应作业需要的专业施工器械设备。</w:t>
            </w:r>
          </w:p>
          <w:p>
            <w:pPr>
              <w:pStyle w:val="null3"/>
              <w:ind w:firstLine="560"/>
              <w:jc w:val="both"/>
            </w:pPr>
            <w:r>
              <w:rPr>
                <w:rFonts w:ascii="仿宋_GB2312" w:hAnsi="仿宋_GB2312" w:cs="仿宋_GB2312" w:eastAsia="仿宋_GB2312"/>
                <w:sz w:val="28"/>
              </w:rPr>
              <w:t>（十三）中标单位实施作业服务后，必须做到经常性地自我检查和密度监测，做好病媒孳生地季度性调查并把服务区域病媒生物密度控制达到国家病媒生物密度控制水平标准</w:t>
            </w:r>
            <w:r>
              <w:rPr>
                <w:rFonts w:ascii="仿宋_GB2312" w:hAnsi="仿宋_GB2312" w:cs="仿宋_GB2312" w:eastAsia="仿宋_GB2312"/>
                <w:sz w:val="28"/>
              </w:rPr>
              <w:t>C级要求。</w:t>
            </w:r>
          </w:p>
          <w:p>
            <w:pPr>
              <w:pStyle w:val="null3"/>
              <w:ind w:firstLine="560"/>
              <w:jc w:val="both"/>
            </w:pPr>
            <w:r>
              <w:rPr>
                <w:rFonts w:ascii="仿宋_GB2312" w:hAnsi="仿宋_GB2312" w:cs="仿宋_GB2312" w:eastAsia="仿宋_GB2312"/>
                <w:sz w:val="28"/>
              </w:rPr>
              <w:t>（十四）中标单位进场实施病媒生物防制工作的作业记录、巡查记录、现场照片、药剂器械出入库记录、监测密度记录、病媒孳生地调查报告等按月报送采购人，年度工作总结、技术实施方案、报告等资料必须整理形成竣工验收资料交给采购人。</w:t>
            </w:r>
          </w:p>
          <w:p>
            <w:pPr>
              <w:pStyle w:val="null3"/>
              <w:ind w:firstLine="560"/>
              <w:jc w:val="both"/>
            </w:pPr>
            <w:r>
              <w:rPr>
                <w:rFonts w:ascii="仿宋_GB2312" w:hAnsi="仿宋_GB2312" w:cs="仿宋_GB2312" w:eastAsia="仿宋_GB2312"/>
                <w:sz w:val="28"/>
              </w:rPr>
              <w:t>（十五）中标单位如将该服务合同转包或部分分包给第三者，采购人有权终止合同，造成经济损失和法律责任由中标单位承担。</w:t>
            </w:r>
          </w:p>
          <w:p>
            <w:pPr>
              <w:pStyle w:val="null3"/>
              <w:ind w:firstLine="560"/>
              <w:jc w:val="both"/>
            </w:pPr>
            <w:r>
              <w:rPr>
                <w:rFonts w:ascii="仿宋_GB2312" w:hAnsi="仿宋_GB2312" w:cs="仿宋_GB2312" w:eastAsia="仿宋_GB2312"/>
                <w:sz w:val="28"/>
              </w:rPr>
              <w:t>（十六）中标单位必须具备或履行采购人提出的以上要求条件，否则采购人有权拒签或终止合同，经济损失和法律责任由中标单位承担。</w:t>
            </w:r>
          </w:p>
          <w:p>
            <w:pPr>
              <w:pStyle w:val="null3"/>
              <w:jc w:val="left"/>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、付款方式：</w:t>
            </w:r>
          </w:p>
          <w:p>
            <w:pPr>
              <w:pStyle w:val="null3"/>
              <w:ind w:firstLine="560"/>
              <w:jc w:val="both"/>
            </w:pPr>
            <w:r>
              <w:rPr>
                <w:rFonts w:ascii="仿宋_GB2312" w:hAnsi="仿宋_GB2312" w:cs="仿宋_GB2312" w:eastAsia="仿宋_GB2312"/>
                <w:sz w:val="28"/>
              </w:rPr>
              <w:t>1、根据财政资金下达情况，预计2025年12月份前支付中标公司2025年项目款的95%，2026年上半年支付2026年项目款的50%；如财政资金不紧张，预计2026年12月份前将2026年尾款全部完成支付。</w:t>
            </w:r>
          </w:p>
          <w:p>
            <w:pPr>
              <w:pStyle w:val="null3"/>
              <w:ind w:firstLine="560"/>
              <w:jc w:val="both"/>
            </w:pPr>
            <w:r>
              <w:rPr>
                <w:rFonts w:ascii="仿宋_GB2312" w:hAnsi="仿宋_GB2312" w:cs="仿宋_GB2312" w:eastAsia="仿宋_GB2312"/>
                <w:sz w:val="28"/>
              </w:rPr>
              <w:t>2、定期聘请第三方效果评估机构验收合格后按照合同约定付款，评估费用包含在中标报价中，付款标准为合同总价的5%。</w:t>
            </w:r>
          </w:p>
          <w:p>
            <w:pPr>
              <w:pStyle w:val="null3"/>
              <w:jc w:val="left"/>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、其他事项</w:t>
            </w:r>
          </w:p>
          <w:p>
            <w:pPr>
              <w:pStyle w:val="null3"/>
              <w:ind w:firstLine="560"/>
              <w:jc w:val="both"/>
            </w:pPr>
            <w:r>
              <w:rPr>
                <w:rFonts w:ascii="仿宋_GB2312" w:hAnsi="仿宋_GB2312" w:cs="仿宋_GB2312" w:eastAsia="仿宋_GB2312"/>
                <w:sz w:val="28"/>
              </w:rPr>
              <w:t>（一）在项目承包期限内因招投标等特殊情况中标人未能及时上岗，由原中标的病媒生物防制公司暂代其开展病媒生物防制服务工作，代管期间服务费依据中标价减去相关费用后确定平均每月服务费，不满一个月时按月平均服务费确定每日服务费（需减去的费用为：聘请第三方效果评估费用）。</w:t>
            </w:r>
          </w:p>
          <w:p>
            <w:pPr>
              <w:pStyle w:val="null3"/>
              <w:ind w:firstLine="560"/>
              <w:jc w:val="both"/>
            </w:pPr>
            <w:r>
              <w:rPr>
                <w:rFonts w:ascii="仿宋_GB2312" w:hAnsi="仿宋_GB2312" w:cs="仿宋_GB2312" w:eastAsia="仿宋_GB2312"/>
                <w:sz w:val="28"/>
              </w:rPr>
              <w:t>采购单位与中标单位签订合同之日起七天为交接期，交接完毕后中标单位正式上岗，并将代管服务费税后金额一次性支付给代管公司。</w:t>
            </w:r>
          </w:p>
          <w:p>
            <w:pPr>
              <w:pStyle w:val="null3"/>
              <w:ind w:firstLine="560"/>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、项目报价</w:t>
            </w:r>
          </w:p>
          <w:p>
            <w:pPr>
              <w:pStyle w:val="null3"/>
              <w:ind w:firstLine="560"/>
              <w:jc w:val="both"/>
            </w:pPr>
            <w:r>
              <w:rPr>
                <w:rFonts w:ascii="仿宋_GB2312" w:hAnsi="仿宋_GB2312" w:cs="仿宋_GB2312" w:eastAsia="仿宋_GB2312"/>
                <w:sz w:val="28"/>
              </w:rPr>
              <w:t>报价包括在合同期限内提供的作业、安装、后续服务、食宿办公、交通通讯、管理费用、人员费用（含工资、奖金、社保、运输、教育培训、处理一切伤亡事故等费用）、生产资料（设施设备支出、设备折旧和维护等）、消杀器械及药物、税金、利润等本项目所发生的一切费用。</w:t>
            </w:r>
          </w:p>
          <w:p>
            <w:pPr>
              <w:pStyle w:val="null3"/>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、项目要求</w:t>
            </w:r>
          </w:p>
          <w:p>
            <w:pPr>
              <w:pStyle w:val="null3"/>
              <w:ind w:firstLine="560"/>
              <w:jc w:val="both"/>
            </w:pPr>
            <w:r>
              <w:rPr>
                <w:rFonts w:ascii="仿宋_GB2312" w:hAnsi="仿宋_GB2312" w:cs="仿宋_GB2312" w:eastAsia="仿宋_GB2312"/>
                <w:sz w:val="28"/>
              </w:rPr>
              <w:t>（一）所有采购和服务的化学药剂必须具有国家承认的</w:t>
            </w:r>
            <w:r>
              <w:rPr>
                <w:rFonts w:ascii="仿宋_GB2312" w:hAnsi="仿宋_GB2312" w:cs="仿宋_GB2312" w:eastAsia="仿宋_GB2312"/>
                <w:sz w:val="28"/>
              </w:rPr>
              <w:t>“三证”（具有三证：农药生产许可证、农药登记证、产品标准证书），并提供生产厂家产品质量承诺书，保证进货渠道正规，无过期产品。</w:t>
            </w:r>
          </w:p>
          <w:p>
            <w:pPr>
              <w:pStyle w:val="null3"/>
              <w:ind w:firstLine="560"/>
              <w:jc w:val="both"/>
            </w:pPr>
            <w:r>
              <w:rPr>
                <w:rFonts w:ascii="仿宋_GB2312" w:hAnsi="仿宋_GB2312" w:cs="仿宋_GB2312" w:eastAsia="仿宋_GB2312"/>
                <w:sz w:val="28"/>
              </w:rPr>
              <w:t>（二）禁止使用剧毒药剂及国家法律法规严禁的化学药剂药物。</w:t>
            </w:r>
          </w:p>
          <w:p>
            <w:pPr>
              <w:pStyle w:val="null3"/>
              <w:ind w:firstLine="560"/>
              <w:jc w:val="both"/>
            </w:pPr>
            <w:r>
              <w:rPr>
                <w:rFonts w:ascii="仿宋_GB2312" w:hAnsi="仿宋_GB2312" w:cs="仿宋_GB2312" w:eastAsia="仿宋_GB2312"/>
                <w:sz w:val="28"/>
              </w:rPr>
              <w:t>（三）投放鼠药期间，如因中标单位未做好相关危险标识而导致儿童触摸或误吃鼠药的，所产生的后果和责任由中标单位负责。</w:t>
            </w:r>
          </w:p>
          <w:p>
            <w:pPr>
              <w:pStyle w:val="null3"/>
              <w:ind w:firstLine="560"/>
              <w:jc w:val="both"/>
            </w:pPr>
            <w:r>
              <w:rPr>
                <w:rFonts w:ascii="仿宋_GB2312" w:hAnsi="仿宋_GB2312" w:cs="仿宋_GB2312" w:eastAsia="仿宋_GB2312"/>
                <w:sz w:val="28"/>
              </w:rPr>
              <w:t>（四）中标单位必须在其服务区域里的某个镇墟设立定安县项目办（办事机构）。</w:t>
            </w:r>
          </w:p>
          <w:p>
            <w:pPr>
              <w:pStyle w:val="null3"/>
              <w:ind w:firstLine="560"/>
              <w:jc w:val="both"/>
            </w:pPr>
            <w:r>
              <w:rPr>
                <w:rFonts w:ascii="仿宋_GB2312" w:hAnsi="仿宋_GB2312" w:cs="仿宋_GB2312" w:eastAsia="仿宋_GB2312"/>
                <w:sz w:val="28"/>
              </w:rPr>
              <w:t>（五）中标单位在合同期限内所投入的常年驻点作业技术人员均需取得有害生物防制员职业资格证书或岗位证书，并统一着装，持证上岗，文明服务，着装要符合防护要求，保证</w:t>
            </w:r>
            <w:r>
              <w:rPr>
                <w:rFonts w:ascii="仿宋_GB2312" w:hAnsi="仿宋_GB2312" w:cs="仿宋_GB2312" w:eastAsia="仿宋_GB2312"/>
                <w:sz w:val="28"/>
              </w:rPr>
              <w:t>24小时内有人员值班，24小时接受采购人的监督、检查。</w:t>
            </w:r>
          </w:p>
          <w:p>
            <w:pPr>
              <w:pStyle w:val="null3"/>
              <w:ind w:firstLine="560"/>
              <w:jc w:val="both"/>
            </w:pPr>
            <w:r>
              <w:rPr>
                <w:rFonts w:ascii="仿宋_GB2312" w:hAnsi="仿宋_GB2312" w:cs="仿宋_GB2312" w:eastAsia="仿宋_GB2312"/>
                <w:sz w:val="28"/>
              </w:rPr>
              <w:t>（六）中标单位必须配合好采购人交办的与此项工作有关联的任务。</w:t>
            </w:r>
          </w:p>
          <w:p>
            <w:pPr>
              <w:pStyle w:val="null3"/>
              <w:ind w:firstLine="560"/>
              <w:jc w:val="both"/>
            </w:pPr>
            <w:r>
              <w:rPr>
                <w:rFonts w:ascii="仿宋_GB2312" w:hAnsi="仿宋_GB2312" w:cs="仿宋_GB2312" w:eastAsia="仿宋_GB2312"/>
                <w:sz w:val="28"/>
              </w:rPr>
              <w:t>（七）中标单位必须在合同期限内聘请或指派有职称的专家进行指导、培训工作三次以上（培训人员为采购人指定人员）。</w:t>
            </w:r>
          </w:p>
          <w:p>
            <w:pPr>
              <w:pStyle w:val="null3"/>
              <w:ind w:firstLine="560"/>
              <w:jc w:val="both"/>
            </w:pPr>
            <w:r>
              <w:rPr>
                <w:rFonts w:ascii="仿宋_GB2312" w:hAnsi="仿宋_GB2312" w:cs="仿宋_GB2312" w:eastAsia="仿宋_GB2312"/>
                <w:sz w:val="28"/>
              </w:rPr>
              <w:t>（八）中标单位每个服务年限中须在服务区域里开展</w:t>
            </w:r>
            <w:r>
              <w:rPr>
                <w:rFonts w:ascii="仿宋_GB2312" w:hAnsi="仿宋_GB2312" w:cs="仿宋_GB2312" w:eastAsia="仿宋_GB2312"/>
                <w:sz w:val="28"/>
              </w:rPr>
              <w:t>2-3次病媒生物防制知识宣传活动。（注：以镇墟为单位计算）</w:t>
            </w:r>
          </w:p>
          <w:p>
            <w:pPr>
              <w:pStyle w:val="null3"/>
              <w:ind w:firstLine="560"/>
              <w:jc w:val="both"/>
            </w:pPr>
            <w:r>
              <w:rPr>
                <w:rFonts w:ascii="仿宋_GB2312" w:hAnsi="仿宋_GB2312" w:cs="仿宋_GB2312" w:eastAsia="仿宋_GB2312"/>
                <w:sz w:val="28"/>
              </w:rPr>
              <w:t>（九）中标单位应安排专业技术人员每月对城区（镇墟）、城乡结合部的不同行业、不同单位进行巡查指导工作。</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color w:val="000000"/>
              </w:rPr>
              <w:t>C包</w:t>
            </w:r>
            <w:r>
              <w:rPr>
                <w:rFonts w:ascii="仿宋_GB2312" w:hAnsi="仿宋_GB2312" w:cs="仿宋_GB2312" w:eastAsia="仿宋_GB2312"/>
                <w:sz w:val="28"/>
              </w:rPr>
              <w:t>中标单位投放毒鼠屋不少于</w:t>
            </w:r>
            <w:r>
              <w:rPr>
                <w:rFonts w:ascii="仿宋_GB2312" w:hAnsi="仿宋_GB2312" w:cs="仿宋_GB2312" w:eastAsia="仿宋_GB2312"/>
                <w:sz w:val="28"/>
              </w:rPr>
              <w:t>2800个（平均每个乡镇在700个左右），并粘贴明显的警示标语，以满足投放鼠药需求，布放符合规范要求为准。毒鼠屋规格为：长35cm×宽12cm×高12cm。</w:t>
            </w:r>
          </w:p>
          <w:p>
            <w:pPr>
              <w:pStyle w:val="null3"/>
              <w:ind w:firstLine="560"/>
              <w:jc w:val="both"/>
            </w:pPr>
            <w:r>
              <w:rPr>
                <w:rFonts w:ascii="仿宋_GB2312" w:hAnsi="仿宋_GB2312" w:cs="仿宋_GB2312" w:eastAsia="仿宋_GB2312"/>
                <w:sz w:val="28"/>
              </w:rPr>
              <w:t>（十一）若出现有投诉情况，中标单位必须在</w:t>
            </w:r>
            <w:r>
              <w:rPr>
                <w:rFonts w:ascii="仿宋_GB2312" w:hAnsi="仿宋_GB2312" w:cs="仿宋_GB2312" w:eastAsia="仿宋_GB2312"/>
                <w:sz w:val="28"/>
              </w:rPr>
              <w:t>3小时内做出响应，24小时内指派作业服务人员到达所投诉现场处理问题。</w:t>
            </w:r>
          </w:p>
          <w:p>
            <w:pPr>
              <w:pStyle w:val="null3"/>
              <w:ind w:firstLine="560"/>
              <w:jc w:val="both"/>
            </w:pPr>
            <w:r>
              <w:rPr>
                <w:rFonts w:ascii="仿宋_GB2312" w:hAnsi="仿宋_GB2312" w:cs="仿宋_GB2312" w:eastAsia="仿宋_GB2312"/>
                <w:sz w:val="28"/>
              </w:rPr>
              <w:t>（十二）中标单位必须配足配齐适应作业需要的专业施工器械设备。</w:t>
            </w:r>
          </w:p>
          <w:p>
            <w:pPr>
              <w:pStyle w:val="null3"/>
              <w:ind w:firstLine="560"/>
              <w:jc w:val="both"/>
            </w:pPr>
            <w:r>
              <w:rPr>
                <w:rFonts w:ascii="仿宋_GB2312" w:hAnsi="仿宋_GB2312" w:cs="仿宋_GB2312" w:eastAsia="仿宋_GB2312"/>
                <w:sz w:val="28"/>
              </w:rPr>
              <w:t>（十三）中标单位实施作业服务后，必须做到经常性地自我检查和密度监测，做好病媒孳生地季度性调查并把服务区域病媒生物密度控制达到国家病媒生物密度控制水平标准</w:t>
            </w:r>
            <w:r>
              <w:rPr>
                <w:rFonts w:ascii="仿宋_GB2312" w:hAnsi="仿宋_GB2312" w:cs="仿宋_GB2312" w:eastAsia="仿宋_GB2312"/>
                <w:sz w:val="28"/>
              </w:rPr>
              <w:t>C级要求。</w:t>
            </w:r>
          </w:p>
          <w:p>
            <w:pPr>
              <w:pStyle w:val="null3"/>
              <w:ind w:firstLine="560"/>
              <w:jc w:val="both"/>
            </w:pPr>
            <w:r>
              <w:rPr>
                <w:rFonts w:ascii="仿宋_GB2312" w:hAnsi="仿宋_GB2312" w:cs="仿宋_GB2312" w:eastAsia="仿宋_GB2312"/>
                <w:sz w:val="28"/>
              </w:rPr>
              <w:t>（十四）中标单位进场实施病媒生物防制工作的作业记录、巡查记录、现场照片、药剂器械出入库记录、监测密度记录、病媒孳生地调查报告等按月报送采购人，年度工作总结、技术实施方案、报告等资料必须整理形成竣工验收资料交给采购人。</w:t>
            </w:r>
          </w:p>
          <w:p>
            <w:pPr>
              <w:pStyle w:val="null3"/>
              <w:ind w:firstLine="560"/>
              <w:jc w:val="both"/>
            </w:pPr>
            <w:r>
              <w:rPr>
                <w:rFonts w:ascii="仿宋_GB2312" w:hAnsi="仿宋_GB2312" w:cs="仿宋_GB2312" w:eastAsia="仿宋_GB2312"/>
                <w:sz w:val="28"/>
              </w:rPr>
              <w:t>（十五）中标单位如将该服务合同转包或部分分包给第三者，采购人有权终止合同，造成经济损失和法律责任由中标单位承担。</w:t>
            </w:r>
          </w:p>
          <w:p>
            <w:pPr>
              <w:pStyle w:val="null3"/>
              <w:ind w:firstLine="560"/>
              <w:jc w:val="both"/>
            </w:pPr>
            <w:r>
              <w:rPr>
                <w:rFonts w:ascii="仿宋_GB2312" w:hAnsi="仿宋_GB2312" w:cs="仿宋_GB2312" w:eastAsia="仿宋_GB2312"/>
                <w:sz w:val="28"/>
              </w:rPr>
              <w:t>（十六）中标单位必须具备或履行采购人提出的以上要求条件，否则采购人有权拒签或终止合同，经济损失和法律责任由中标单位承担。</w:t>
            </w:r>
          </w:p>
          <w:p>
            <w:pPr>
              <w:pStyle w:val="null3"/>
              <w:jc w:val="left"/>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、付款方式：</w:t>
            </w:r>
          </w:p>
          <w:p>
            <w:pPr>
              <w:pStyle w:val="null3"/>
              <w:ind w:firstLine="560"/>
              <w:jc w:val="both"/>
            </w:pPr>
            <w:r>
              <w:rPr>
                <w:rFonts w:ascii="仿宋_GB2312" w:hAnsi="仿宋_GB2312" w:cs="仿宋_GB2312" w:eastAsia="仿宋_GB2312"/>
                <w:sz w:val="28"/>
              </w:rPr>
              <w:t>1、根据财政资金下达情况，预计2025年12月份前支付中标公司2025年项目款的95%，2026年上半年支付2026年项目款的50%；如财政资金不紧张，预计2026年12月份前将2026年尾款全部完成支付。</w:t>
            </w:r>
          </w:p>
          <w:p>
            <w:pPr>
              <w:pStyle w:val="null3"/>
              <w:ind w:firstLine="560"/>
              <w:jc w:val="both"/>
            </w:pPr>
            <w:r>
              <w:rPr>
                <w:rFonts w:ascii="仿宋_GB2312" w:hAnsi="仿宋_GB2312" w:cs="仿宋_GB2312" w:eastAsia="仿宋_GB2312"/>
                <w:sz w:val="28"/>
              </w:rPr>
              <w:t>2、定期聘请第三方效果评估机构验收合格后按照合同约定付款，评估费用包含在中标报价中，付款标准为合同总价的5%。</w:t>
            </w:r>
          </w:p>
          <w:p>
            <w:pPr>
              <w:pStyle w:val="null3"/>
              <w:jc w:val="left"/>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、其他事项</w:t>
            </w:r>
          </w:p>
          <w:p>
            <w:pPr>
              <w:pStyle w:val="null3"/>
              <w:ind w:firstLine="560"/>
              <w:jc w:val="both"/>
            </w:pPr>
            <w:r>
              <w:rPr>
                <w:rFonts w:ascii="仿宋_GB2312" w:hAnsi="仿宋_GB2312" w:cs="仿宋_GB2312" w:eastAsia="仿宋_GB2312"/>
                <w:sz w:val="28"/>
              </w:rPr>
              <w:t>（一）在项目承包期限内因招投标等特殊情况中标人未能及时上岗，由原中标的病媒生物防制公司暂代其开展病媒生物防制服务工作，代管期间服务费依据中标价减去相关费用后确定平均每月服务费，不满一个月时按月平均服务费确定每日服务费（需减去的费用为：聘请第三方效果评估费用）。</w:t>
            </w:r>
          </w:p>
          <w:p>
            <w:pPr>
              <w:pStyle w:val="null3"/>
              <w:ind w:firstLine="560"/>
              <w:jc w:val="both"/>
            </w:pPr>
            <w:r>
              <w:rPr>
                <w:rFonts w:ascii="仿宋_GB2312" w:hAnsi="仿宋_GB2312" w:cs="仿宋_GB2312" w:eastAsia="仿宋_GB2312"/>
                <w:sz w:val="28"/>
              </w:rPr>
              <w:t>采购单位与中标单位签订合同之日起七天为交接期，交接完毕后中标单位正式上岗，并将代管服务费税后金额一次性支付给代管公司。</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无环保类行政处罚记录声明函 其他材料 供应商应提交的相关证明材料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无环保类行政处罚记录声明函 其他材料 供应商应提交的相关证明材料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无环保类行政处罚记录声明函 其他材料 供应商应提交的相关证明材料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(www.ccgp.gov.cn)没有被列入政府采购严重违法失信行为信息记录名单（提供承诺函并加盖公章（格式自拟）；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(www.ccgp.gov.cn)没有被列入政府采购严重违法失信行为信息记录名单（提供承诺函并加盖公章（格式自拟）；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(www.ccgp.gov.cn)没有被列入政府采购严重违法失信行为信息记录名单（提供承诺函并加盖公章（格式自拟）；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封面 商业信誉、财务会计制度、缴纳税收和社保的承诺函 优先中标包号选择承诺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技术参数响应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商业信誉、财务会计制度、缴纳税收和社保的承诺函 封面 优先中标包号选择承诺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技术参数响应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商业信誉、财务会计制度、缴纳税收和社保的承诺函 优先中标包号选择承诺 封面 具有独立承担民事责任的能力证明文件 投标人承诺函 投标（响应）报价明细表 其他材料 残疾人福利性单位声明函 供应商应提交的相关证明材料 无重大违法记录声明函 技术参数响应 法定代表人资格证明书或法定代表人授权委托书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商业信誉、财务会计制度、缴纳税收和社保的承诺函 封面 优先中标包号选择承诺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技术参数响应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优先中标采购包选择承诺 无重大违法记录声明函 法定代表人资格证明书或法定代表人授权委托书 技术参数响应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优先中标采购包选择承诺 法定代表人资格证明书或法定代表人授权委托书 技术参数响应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优先中标采购包选择承诺 无重大违法记录声明函 技术参数响应 法定代表人资格证明书或法定代表人授权委托书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商业信誉、财务会计制度、缴纳税收和社保的承诺函 封面 具有独立承担民事责任的能力证明文件 投标人承诺函 其他材料 投标（响应）报价明细表 残疾人福利性单位声明函 供应商应提交的相关证明材料 无重大违法记录声明函 优先中标采购包选择承诺 法定代表人资格证明书或法定代表人授权委托书 技术参数响应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优先中标采购包选择承诺 法定代表人资格证明书或法定代表人授权委托书 技术参数响应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优先中标采购包选择承诺 法定代表人资格证明书或法定代表人授权委托书 技术参数响应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商业信誉、财务会计制度、缴纳税收和社保的承诺函 封面 具有独立承担民事责任的能力证明文件 投标人承诺函 其他材料 投标（响应）报价明细表 残疾人福利性单位声明函 供应商应提交的相关证明材料 无重大违法记录声明函 优先中标采购包选择承诺 法定代表人资格证明书或法定代表人授权委托书 技术参数响应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技术方案 自觉抵制政府采购领域商业贿赂行为承诺书 商业信誉、财务会计制度、缴纳税收和社保的承诺函 封面 具有独立承担民事责任的能力证明文件 投标人承诺函 其他材料 投标（响应）报价明细表 残疾人福利性单位声明函 供应商应提交的相关证明材料 无重大违法记录声明函 优先中标采购包选择承诺 技术参数响应 法定代表人资格证明书或法定代表人授权委托书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防制环境的熟悉程度</w:t>
            </w:r>
          </w:p>
        </w:tc>
        <w:tc>
          <w:tcPr>
            <w:tcW w:type="dxa" w:w="2492"/>
          </w:tcPr>
          <w:p>
            <w:pPr>
              <w:pStyle w:val="null3"/>
              <w:jc w:val="both"/>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9分； 2）、辖区内环境特点描述清晰度一般、实地孳生地调查片面，危害分析尚有欠准确者得 6 分。 3）、辖区内环境特点描述不清晰，无实地孳生地调查、危害分析不准确者得 3分。 4）、未提供者得0 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辖区内防制对象的掌握情况</w:t>
            </w:r>
          </w:p>
        </w:tc>
        <w:tc>
          <w:tcPr>
            <w:tcW w:type="dxa" w:w="2492"/>
          </w:tcPr>
          <w:p>
            <w:pPr>
              <w:pStyle w:val="null3"/>
              <w:jc w:val="both"/>
            </w:pPr>
            <w:r>
              <w:rPr>
                <w:rFonts w:ascii="仿宋_GB2312" w:hAnsi="仿宋_GB2312" w:cs="仿宋_GB2312" w:eastAsia="仿宋_GB2312"/>
              </w:rPr>
              <w:t>根据供应商对辖区内防制对象的掌握情况进行评审赋分： 1）、防制对象的种类、优势种群、密度、监测方法科学合理，操作性强者得9 分； 2）、防制对象种类、优势种群、密度、监测方法基本满足采购人需要，可操作性差者得 6 分； 3）、防制对象种类、优势种群、密度、监测方法不合理得3分； 4）、未提供者得0分。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防制技术</w:t>
            </w:r>
          </w:p>
        </w:tc>
        <w:tc>
          <w:tcPr>
            <w:tcW w:type="dxa" w:w="2492"/>
          </w:tcPr>
          <w:p>
            <w:pPr>
              <w:pStyle w:val="null3"/>
              <w:jc w:val="both"/>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用药方案</w:t>
            </w:r>
          </w:p>
        </w:tc>
        <w:tc>
          <w:tcPr>
            <w:tcW w:type="dxa" w:w="2492"/>
          </w:tcPr>
          <w:p>
            <w:pPr>
              <w:pStyle w:val="null3"/>
              <w:jc w:val="both"/>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突发应急能力</w:t>
            </w:r>
          </w:p>
        </w:tc>
        <w:tc>
          <w:tcPr>
            <w:tcW w:type="dxa" w:w="2492"/>
          </w:tcPr>
          <w:p>
            <w:pPr>
              <w:pStyle w:val="null3"/>
              <w:jc w:val="both"/>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病媒生物防治服务机构资质等级：投标人具备有害生物（或病媒生物）防制服务机构相关资质证书,A级或一级（或甲级）得3.0分，B级或二级（或乙级）得2.0分，C级或三级（或丙级）得1.0分，其他得0分。 证明材料：提供相关证书复印件加盖单位公章。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服务车辆</w:t>
            </w:r>
          </w:p>
        </w:tc>
        <w:tc>
          <w:tcPr>
            <w:tcW w:type="dxa" w:w="2492"/>
          </w:tcPr>
          <w:p>
            <w:pPr>
              <w:pStyle w:val="null3"/>
              <w:jc w:val="both"/>
            </w:pPr>
            <w:r>
              <w:rPr>
                <w:rFonts w:ascii="仿宋_GB2312" w:hAnsi="仿宋_GB2312" w:cs="仿宋_GB2312" w:eastAsia="仿宋_GB2312"/>
              </w:rPr>
              <w:t>供应商具有工程服务车辆：2辆（含）以上的得3.0分，1辆的得1.5分，满分3.0分，不提供不得分（提供车辆行驶证或购车发票复印件并加盖单位公章）。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供应商具有相关类似病媒生物防制业绩合同的，每提供一个合同得2.5分，本项满分5.0分。 注：提供合同复印件加盖公章。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w:t>
            </w:r>
          </w:p>
        </w:tc>
        <w:tc>
          <w:tcPr>
            <w:tcW w:type="dxa" w:w="2492"/>
          </w:tcPr>
          <w:p>
            <w:pPr>
              <w:pStyle w:val="null3"/>
              <w:jc w:val="both"/>
            </w:pPr>
            <w:r>
              <w:rPr>
                <w:rFonts w:ascii="仿宋_GB2312" w:hAnsi="仿宋_GB2312" w:cs="仿宋_GB2312" w:eastAsia="仿宋_GB2312"/>
              </w:rPr>
              <w:t>供应商具有病媒生物（有害生物）防制职业技术资格或职业技能等级证书：具有高级资格证书（或三级）的，每提供一人得3.0分；具有中/初级资格证书（或四级/五级）的，每提供一人得1.5分；本项可累计得分，满分12.0分； 【证明材料：以上人员提供相应证书及在本单位2024年9月至今任意6个月的社保证明复印件加盖单位公章，不提供不得分】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投入器械</w:t>
            </w:r>
          </w:p>
        </w:tc>
        <w:tc>
          <w:tcPr>
            <w:tcW w:type="dxa" w:w="2492"/>
          </w:tcPr>
          <w:p>
            <w:pPr>
              <w:pStyle w:val="null3"/>
              <w:jc w:val="both"/>
            </w:pPr>
            <w:r>
              <w:rPr>
                <w:rFonts w:ascii="仿宋_GB2312" w:hAnsi="仿宋_GB2312" w:cs="仿宋_GB2312" w:eastAsia="仿宋_GB2312"/>
              </w:rPr>
              <w:t>1、具有动力（机动）喷雾器（机）/手推式打药机3台或以上者得1.5分 ，不足3台不得分； 2、具有背负式喷雾器（机）3台或以上者得1.5分，不足3台不得分； 3、具有车载式喷雾器（机）1台或以上者得2.0分 ，不足1台不得分； 4、具有超低容量喷雾器（机）6台或以上者得2.5分 ，不足6台不得分； 5、具有热/热力烟雾机3台或以上者得1.5分 ，不足3台不得分； 证明材料：提供以上器械须提供器械一览表（包括器械名称、型号、数量）及发票复印件加盖单位公章。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防制环境的熟悉程度</w:t>
            </w:r>
          </w:p>
        </w:tc>
        <w:tc>
          <w:tcPr>
            <w:tcW w:type="dxa" w:w="2492"/>
          </w:tcPr>
          <w:p>
            <w:pPr>
              <w:pStyle w:val="null3"/>
              <w:jc w:val="both"/>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9分； 2）、辖区内环境特点描述清晰度一般、实地孳生地调查片面，危害分析尚有欠准确者得 6 分。 3）、辖区内环境特点描述不清晰，无实地孳生地调查、危害分析不准确者得 3分。 4）、未提供者得0 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辖区内防制对象的掌握情况</w:t>
            </w:r>
          </w:p>
        </w:tc>
        <w:tc>
          <w:tcPr>
            <w:tcW w:type="dxa" w:w="2492"/>
          </w:tcPr>
          <w:p>
            <w:pPr>
              <w:pStyle w:val="null3"/>
              <w:jc w:val="both"/>
            </w:pPr>
            <w:r>
              <w:rPr>
                <w:rFonts w:ascii="仿宋_GB2312" w:hAnsi="仿宋_GB2312" w:cs="仿宋_GB2312" w:eastAsia="仿宋_GB2312"/>
              </w:rPr>
              <w:t>根据供应商对辖区内防制对象的掌握情况进行评审赋分： 1）、防制对象的种类、优势种群、密度、监测方法科学合理，操作性强者得9 分； 2）、防制对象种类、优势种群、密度、监测方法基本满足采购人需要，可操作性差者得 6 分； 3）、防制对象种类、优势种群、密度、监测方法不合理得3分； 4）、未提供者得0分。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防制技术</w:t>
            </w:r>
          </w:p>
        </w:tc>
        <w:tc>
          <w:tcPr>
            <w:tcW w:type="dxa" w:w="2492"/>
          </w:tcPr>
          <w:p>
            <w:pPr>
              <w:pStyle w:val="null3"/>
              <w:jc w:val="both"/>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用药方案</w:t>
            </w:r>
          </w:p>
        </w:tc>
        <w:tc>
          <w:tcPr>
            <w:tcW w:type="dxa" w:w="2492"/>
          </w:tcPr>
          <w:p>
            <w:pPr>
              <w:pStyle w:val="null3"/>
              <w:jc w:val="both"/>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突发应急能力</w:t>
            </w:r>
          </w:p>
        </w:tc>
        <w:tc>
          <w:tcPr>
            <w:tcW w:type="dxa" w:w="2492"/>
          </w:tcPr>
          <w:p>
            <w:pPr>
              <w:pStyle w:val="null3"/>
              <w:jc w:val="both"/>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病媒生物防治服务机构资质等级：投标人具备有害生物（或病媒生物）防制服务机构相关资质证书,A级或一级（或甲级）得3.0分，B级或二级（或乙级）得2.0分，C级或三级（或丙级）得1.0分，其他得0分。 证明材料：提供相关证书复印件加盖单位公章。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服务车辆</w:t>
            </w:r>
          </w:p>
        </w:tc>
        <w:tc>
          <w:tcPr>
            <w:tcW w:type="dxa" w:w="2492"/>
          </w:tcPr>
          <w:p>
            <w:pPr>
              <w:pStyle w:val="null3"/>
              <w:jc w:val="both"/>
            </w:pPr>
            <w:r>
              <w:rPr>
                <w:rFonts w:ascii="仿宋_GB2312" w:hAnsi="仿宋_GB2312" w:cs="仿宋_GB2312" w:eastAsia="仿宋_GB2312"/>
              </w:rPr>
              <w:t>供应商具有工程服务车辆：2辆（含）以上的得3.0分，1辆的得1.5分，满分3.0分，不提供不得分（提供车辆行驶证或购车发票复印件并加盖单位公章）。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供应商具有相关类似病媒生物防制业绩合同的，每提供一个合同得2.5分，本项满分5.0分。 注：提供合同复印件加盖公章。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w:t>
            </w:r>
          </w:p>
        </w:tc>
        <w:tc>
          <w:tcPr>
            <w:tcW w:type="dxa" w:w="2492"/>
          </w:tcPr>
          <w:p>
            <w:pPr>
              <w:pStyle w:val="null3"/>
              <w:jc w:val="both"/>
            </w:pPr>
            <w:r>
              <w:rPr>
                <w:rFonts w:ascii="仿宋_GB2312" w:hAnsi="仿宋_GB2312" w:cs="仿宋_GB2312" w:eastAsia="仿宋_GB2312"/>
              </w:rPr>
              <w:t>供应商具有病媒生物（有害生物）防制职业技术资格或职业技能等级证书：具有高级资格证书（或三级）的，每提供一人得3.0分；具有中/初级资格证书（或四级/五级）的，每提供一人得1.5分；本项可累计得分，满分12.0分； 【证明材料：以上人员提供相应证书及在本单位2024年9月至今任意6个月的社保证明复印件加盖单位公章，不提供不得分】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投入器械</w:t>
            </w:r>
          </w:p>
        </w:tc>
        <w:tc>
          <w:tcPr>
            <w:tcW w:type="dxa" w:w="2492"/>
          </w:tcPr>
          <w:p>
            <w:pPr>
              <w:pStyle w:val="null3"/>
              <w:jc w:val="both"/>
            </w:pPr>
            <w:r>
              <w:rPr>
                <w:rFonts w:ascii="仿宋_GB2312" w:hAnsi="仿宋_GB2312" w:cs="仿宋_GB2312" w:eastAsia="仿宋_GB2312"/>
              </w:rPr>
              <w:t>1、具有动力（机动）喷雾器（机）/手推式打药机3台或以上者得1.5分 ，不足3台不得分； 2、具有背负式喷雾器（机）3台或以上者得1.5分，不足3台不得分； 3、具有车载式喷雾器（机）1台或以上者得2.0分 ，不足1台不得分； 4、具有超低容量喷雾器（机）6台或以上者得2.5分 ，不足6台不得分； 5、具有热/热力烟雾机3台或以上者得1.5分 ，不足3台不得分； 证明材料：提供以上器械须提供器械一览表（包括器械名称、型号、数量）及发票复印件加盖单位公章。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防制环境的熟悉程度</w:t>
            </w:r>
          </w:p>
        </w:tc>
        <w:tc>
          <w:tcPr>
            <w:tcW w:type="dxa" w:w="2492"/>
          </w:tcPr>
          <w:p>
            <w:pPr>
              <w:pStyle w:val="null3"/>
              <w:jc w:val="both"/>
            </w:pPr>
            <w:r>
              <w:rPr>
                <w:rFonts w:ascii="仿宋_GB2312" w:hAnsi="仿宋_GB2312" w:cs="仿宋_GB2312" w:eastAsia="仿宋_GB2312"/>
              </w:rPr>
              <w:t>根据供应商对防制环境的熟悉程度进行评审赋分： 1）、辖区内环境特点描述清晰，实地孳生地调查仔细全面，危害分析准确能优于或完全满足采购人需求者得 9分； 2）、辖区内环境特点描述清晰度一般、实地孳生地调查片面，危害分析尚有欠准确者得 6 分。 3）、辖区内环境特点描述不清晰，无实地孳生地调查、危害分析不准确者得 3分。 4）、未提供者得0 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辖区内防制对象的掌握情况</w:t>
            </w:r>
          </w:p>
        </w:tc>
        <w:tc>
          <w:tcPr>
            <w:tcW w:type="dxa" w:w="2492"/>
          </w:tcPr>
          <w:p>
            <w:pPr>
              <w:pStyle w:val="null3"/>
              <w:jc w:val="both"/>
            </w:pPr>
            <w:r>
              <w:rPr>
                <w:rFonts w:ascii="仿宋_GB2312" w:hAnsi="仿宋_GB2312" w:cs="仿宋_GB2312" w:eastAsia="仿宋_GB2312"/>
              </w:rPr>
              <w:t>根据供应商对辖区内防制对象的掌握情况进行评审赋分： 1）、防制对象的种类、优势种群、密度、监测方法科学合理，操作性强者得9 分； 2）、防制对象种类、优势种群、密度、监测方法基本满足采购人需要，可操作性差者得 6 分； 3）、防制对象种类、优势种群、密度、监测方法不合理得3分； 4）、未提供者得0分。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防制技术</w:t>
            </w:r>
          </w:p>
        </w:tc>
        <w:tc>
          <w:tcPr>
            <w:tcW w:type="dxa" w:w="2492"/>
          </w:tcPr>
          <w:p>
            <w:pPr>
              <w:pStyle w:val="null3"/>
              <w:jc w:val="both"/>
            </w:pPr>
            <w:r>
              <w:rPr>
                <w:rFonts w:ascii="仿宋_GB2312" w:hAnsi="仿宋_GB2312" w:cs="仿宋_GB2312" w:eastAsia="仿宋_GB2312"/>
              </w:rPr>
              <w:t>根据供应商提供的防制技术和方法进行评审赋分： 1、掌握本地区防制对象的季节生长规律，根据不同环境采用不同的防制方法，所采取的技术和方法要适应本辖区内环境的特点者得 10分； 2、基本掌握本地区防制对象的季节生长规律，同时能根据不同环境采用不同的防制方法，所采取的技术和方法基本适应本辖区内环境的得 7分； 3、基本能够满足采购需要，操作性不强者得3分。 4、所采取的防制技术和方法不合理者得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根据供应商提供的实施方案(包括：前期准备、人员搭配、药品配备、器械选择、仓库设置、宣传和培训方案、配套管理制度、售后服务保障措施等)进行评审赋分： 1、能够根据实际情况制订，优于或完全满足采购人的需要，考虑问题周全，实施过程务实，各项指标均能完成者得 10分； 2、能够根据实际情况制订，满足采购人的需要，考虑问题周全，实施过程务实，各项指标均能完成者得7分； 3、基本能够满足采购需要，操作性不强者得3分； 4、管理实施方案不合理者得1 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用药方案</w:t>
            </w:r>
          </w:p>
        </w:tc>
        <w:tc>
          <w:tcPr>
            <w:tcW w:type="dxa" w:w="2492"/>
          </w:tcPr>
          <w:p>
            <w:pPr>
              <w:pStyle w:val="null3"/>
              <w:jc w:val="both"/>
            </w:pPr>
            <w:r>
              <w:rPr>
                <w:rFonts w:ascii="仿宋_GB2312" w:hAnsi="仿宋_GB2312" w:cs="仿宋_GB2312" w:eastAsia="仿宋_GB2312"/>
              </w:rPr>
              <w:t>根据供应商提供的用药方案进行评审赋分： 1、用药方案内容全面，包含药物的选择、优缺点比较、不同环境的用药及方法，可操作性突出者得 10 分； 2、用药方案内容基本全面，包含药物的选择、优缺点比较、不同环境的用药及方法，可操作性基本合理得 7分； 3、用药方案基本满足采购人需要，但是尚有缺欠的得3分； 4、用药方案不合理者得1分；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突发应急能力</w:t>
            </w:r>
          </w:p>
        </w:tc>
        <w:tc>
          <w:tcPr>
            <w:tcW w:type="dxa" w:w="2492"/>
          </w:tcPr>
          <w:p>
            <w:pPr>
              <w:pStyle w:val="null3"/>
              <w:jc w:val="both"/>
            </w:pPr>
            <w:r>
              <w:rPr>
                <w:rFonts w:ascii="仿宋_GB2312" w:hAnsi="仿宋_GB2312" w:cs="仿宋_GB2312" w:eastAsia="仿宋_GB2312"/>
              </w:rPr>
              <w:t>根据供应商提供的突发应急能力（包括：突发卫生事件、卫生中毒事件、迎检措施等方案）进行评审赋分： 1、突发事件应急能力、措施、迎检等其它活动配合措施完善，优于或完全满足采购需求，操作性强者得10分； 2、突发事件应急能力、措施、迎检等其它活动配合措施满足采购人需要，操作性基本合理得 7分； 3、突发事件应急能力、措施、迎检等其它活动配合措施基本满足采购人需要，操作性不强者得 3分； 4、突发事件应急能力、措施、迎检等其它活动配合措施不合理者得 1分； 5、未提供者得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病媒生物防治服务机构资质等级：投标人具备有害生物（或病媒生物）防制服务机构相关资质证书,A级或一级（或甲级）得3.0分，B级或二级（或乙级）得2.0分，C级或三级（或丙级）得1.0分，其他得0分。 证明材料：提供相关证书复印件加盖单位公章。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服务车辆</w:t>
            </w:r>
          </w:p>
        </w:tc>
        <w:tc>
          <w:tcPr>
            <w:tcW w:type="dxa" w:w="2492"/>
          </w:tcPr>
          <w:p>
            <w:pPr>
              <w:pStyle w:val="null3"/>
              <w:jc w:val="both"/>
            </w:pPr>
            <w:r>
              <w:rPr>
                <w:rFonts w:ascii="仿宋_GB2312" w:hAnsi="仿宋_GB2312" w:cs="仿宋_GB2312" w:eastAsia="仿宋_GB2312"/>
              </w:rPr>
              <w:t>供应商具有工程服务车辆：2辆（含）以上的得3.0分，1辆的得1.5分，满分3.0分，不提供不得分（提供车辆行驶证或购车发票复印件并加盖单位公章）。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供应商具有相关类似病媒生物防制业绩合同的，每提供一个合同得2.5分，本项满分5.0分。 注：提供合同复印件加盖公章。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w:t>
            </w:r>
          </w:p>
        </w:tc>
        <w:tc>
          <w:tcPr>
            <w:tcW w:type="dxa" w:w="2492"/>
          </w:tcPr>
          <w:p>
            <w:pPr>
              <w:pStyle w:val="null3"/>
              <w:jc w:val="both"/>
            </w:pPr>
            <w:r>
              <w:rPr>
                <w:rFonts w:ascii="仿宋_GB2312" w:hAnsi="仿宋_GB2312" w:cs="仿宋_GB2312" w:eastAsia="仿宋_GB2312"/>
              </w:rPr>
              <w:t>供应商具有病媒生物（有害生物）防制职业技术资格或职业技能等级证书：具有高级资格证书（或三级）的，每提供一人得3.0分；具有中/初级资格证书（或四级/五级）的，每提供一人得1.5分；本项可累计得分，满分12.0分； 【证明材料：以上人员提供相应证书及在本单位2024年9月至今任意6个月的社保证明复印件加盖单位公章，不提供不得分】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投入器械</w:t>
            </w:r>
          </w:p>
        </w:tc>
        <w:tc>
          <w:tcPr>
            <w:tcW w:type="dxa" w:w="2492"/>
          </w:tcPr>
          <w:p>
            <w:pPr>
              <w:pStyle w:val="null3"/>
              <w:jc w:val="both"/>
            </w:pPr>
            <w:r>
              <w:rPr>
                <w:rFonts w:ascii="仿宋_GB2312" w:hAnsi="仿宋_GB2312" w:cs="仿宋_GB2312" w:eastAsia="仿宋_GB2312"/>
              </w:rPr>
              <w:t>1、具有动力（机动）喷雾器（机）/手推式打药机3台或以上者得1.5分 ，不足3台不得分； 2、具有背负式喷雾器（机）3台或以上者得1.5分，不足3台不得分； 3、具有车载式喷雾器（机）1台或以上者得2.0分 ，不足1台不得分； 4、具有超低容量喷雾器（机）6台或以上者得2.5分 ，不足6台不得分； 5、具有热/热力烟雾机3台或以上者得1.5分 ，不足3台不得分； 证明材料：提供以上器械须提供器械一览表（包括器械名称、型号、数量）及发票复印件加盖单位公章。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 (2).docx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[HNHH]20250500002[GK]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2025-2026年定安县病媒生物防制服务市场化采购项目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2980000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[HNHH]20250500002[GK]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2025-2026年定安县病媒生物防制服务市场化采购项目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1725000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[HNHH]20250500002[GK]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2025-2026年定安县病媒生物防制服务市场化采购项目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C04110000-公共卫生事件防控服务</w:t>
            </w:r>
          </w:p>
        </w:tc>
        <w:tc>
          <w:tcPr>
            <w:tcW w:type="dxa" w:w="1038"/>
          </w:tcPr>
          <w:p>
            <w:pPr>
              <w:pStyle w:val="null3"/>
              <w:jc w:val="left"/>
            </w:pPr>
            <w:r>
              <w:rPr>
                <w:rFonts w:ascii="仿宋_GB2312" w:hAnsi="仿宋_GB2312" w:cs="仿宋_GB2312" w:eastAsia="仿宋_GB2312"/>
              </w:rPr>
              <w:t xml:space="preserve"> 1.00家</w:t>
            </w:r>
          </w:p>
        </w:tc>
        <w:tc>
          <w:tcPr>
            <w:tcW w:type="dxa" w:w="1038"/>
          </w:tcPr>
          <w:p>
            <w:pPr>
              <w:pStyle w:val="null3"/>
              <w:jc w:val="left"/>
            </w:pPr>
            <w:r>
              <w:rPr>
                <w:rFonts w:ascii="仿宋_GB2312" w:hAnsi="仿宋_GB2312" w:cs="仿宋_GB2312" w:eastAsia="仿宋_GB2312"/>
              </w:rPr>
              <w:t xml:space="preserve"> 1265000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详见附件：优先中标包号选择承诺</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详见附件：优先中标采购包选择承诺</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详见附件：优先中标采购包选择承诺</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