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东方市应急管理局2024年防汛抢险物资采购项目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HNJS2025-C001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东方市应急管理局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海南建盛投资项目管理有限公司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东方市应急管理局</w:t>
      </w:r>
      <w:r>
        <w:rPr>
          <w:rFonts w:ascii="仿宋_GB2312" w:hAnsi="仿宋_GB2312" w:cs="仿宋_GB2312" w:eastAsia="仿宋_GB2312"/>
        </w:rPr>
        <w:t xml:space="preserve"> 的委托， </w:t>
      </w:r>
      <w:r>
        <w:rPr>
          <w:rFonts w:ascii="仿宋_GB2312" w:hAnsi="仿宋_GB2312" w:cs="仿宋_GB2312" w:eastAsia="仿宋_GB2312"/>
        </w:rPr>
        <w:t>海南建盛投资项目管理有限公司</w:t>
      </w:r>
      <w:r>
        <w:rPr>
          <w:rFonts w:ascii="仿宋_GB2312" w:hAnsi="仿宋_GB2312" w:cs="仿宋_GB2312" w:eastAsia="仿宋_GB2312"/>
        </w:rPr>
        <w:t xml:space="preserve"> 对 </w:t>
      </w:r>
      <w:r>
        <w:rPr>
          <w:rFonts w:ascii="仿宋_GB2312" w:hAnsi="仿宋_GB2312" w:cs="仿宋_GB2312" w:eastAsia="仿宋_GB2312"/>
        </w:rPr>
        <w:t>东方市应急管理局2024年防汛抢险物资采购项目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HNJS2025-C001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东方市应急管理局2024年防汛抢险物资采购项目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3,085,350.00元</w:t>
      </w:r>
      <w:r>
        <w:rPr>
          <w:rFonts w:ascii="仿宋_GB2312" w:hAnsi="仿宋_GB2312" w:cs="仿宋_GB2312" w:eastAsia="仿宋_GB2312"/>
        </w:rPr>
        <w:t>叁佰零捌万伍仟叁佰伍拾元整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合同签订生效之日起30天内交付</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1、采购人根据采购项目的特殊要求，所规定的供应商提供其符合特殊要求的证明材料或者情况说明：（1）参加政府采购活动前3年内没有环保类重大违法记录的书面声明； （2）供应商应当从采购人或者采购代理机构合法获得采购项目的磋商文件； （3）本项目不接受联合体磋商； （4）成交供应商成交后不得将成交项目分包或转让给其他主体实施。</w:t>
      </w:r>
    </w:p>
    <w:p>
      <w:pPr>
        <w:pStyle w:val="null3"/>
        <w:jc w:val="left"/>
      </w:pPr>
      <w:r>
        <w:rPr>
          <w:rFonts w:ascii="仿宋_GB2312" w:hAnsi="仿宋_GB2312" w:cs="仿宋_GB2312" w:eastAsia="仿宋_GB2312"/>
        </w:rPr>
        <w:t>2、在政府采购活动中查询及使用信用记录：在政府采购活动中查询及使用信用记录查询渠道及截止时点：（1）采购人、采购代理机构通过“信用中国”网站（www.creditchina.gov.cn）、中国政府采购网（www.ccgp.gov.cn）等渠道查询相关供应商的信用记录，以采购文件要求（确定）的提交投标（响应）文件截止时间为查询截止时点。 （2）信用信息查询记录和证据留存的具体方式：采取必要方式（书证、电子数据等）做好信用信息查询记录和证据留存，信用信息查询记录及相关证据与其他采购文件一并保存。 （3）信用信息的使用规则：对列入失信被执行人、重大税收违法失信主体（案件当事人名单）、政府采购严重违法失信行为记录名单及其他不符合《中华人民共和国政府采购法》第二十二条规定条件的供应商，应当拒绝其参与政府采购活动；两个以上的自然人、法人或者其他组织组成的一个联合体，以一个供应商的身份共同参加政府采购活动的，应当对所有联合体成员进行信用记录查询，联合体成员存在不良信用记录的，视同联合体存在不良信用记录；采购人及采购代理机构应当妥善保管相关供应商信用信息，不得用于政府采购以外事项。</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请供应商自行在海南省政府采购智慧云平台-办事指南查看相应的系统操作指南，严格按照操作指南要求进行系统操作。技术支持电话:0898-66220881/0898-66220882，本项目需使用蓝色CA锁，CA数字证书认证咨询电话:0898-66668096。</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东方市应急管理局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海南省东方市八所镇感恩南路往罗带方向200米处</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余积慧</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13518857466</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海南建盛投资项目管理有限公司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海南省海口市龙华区金宇街道龙昆南路52号润德商业广场（A、B区）铂领公馆21层2105房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570145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林经理</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13379946478</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采购包1：3,085,350.00元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120日历天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代理服务费收费标准：以双方协商金额收取，金额为32562.9元。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政府采购货物项目中涉及商品包装和快递包装的，要符合《财政部等三部门联合印发商品包装和快递包装政府采购需求标准（试行）》（财办库〔2020〕123号）的规定，具体包装要求： （一）商品包装政府采购需求标准： 1、适用范围 本标准规定了商品使用的塑料、纸质、木质等包装材料的环保要求。 2、商品包装环保要求 （1）商品包装层数不得超过3层，空隙率不大于40%； （2）商品包装尽可能使用单一材质的包装材料，如因功能需求必需使用不同材质，不同材质间应便于分离； （3）商品包装中铅、汞、镉、六价铬的总含量应不大于100mg/kg； （4）商品包装印刷使用的油墨中挥发性有机化合物(VOCs)含量应不大于5%（以重量计）； （5）塑料材质商品包装上呈现的印刷颜色不得超过 6 色； （6）纸质商品包装应使用75%以上的可再生纤维原料生产； （7）木质商品包装的原料应来源于可持续性森林。 3、检测方法 （1）商品包装中重金属（铅、汞、镉、六价铬）总量的检测按照 GB/T 10004-2008《包装用塑料复合膜、袋干法复合、挤出复合》规定的方法进行。 （2）商品包装印刷使用的油墨中挥发性有机化合物(VOCs)的检测按照 GB/T 23986-2009《色漆和清漆挥发性有机化合物(VOC)含量的测定气相色谱法》规定的方法进行。 （二）快递包装政府采购需求标准： 1、适用范围 本标准中的快递包装主要指快递封装材料，包括封套、胶带、面单、包装袋/箱、填充物、集装袋、周转箱等。 2、快递包装环保要求 （1）快递包装中重金属（铅、汞、镉、六价铬）总量应不大于 100mg/kg； （2）快递包装印刷使用的油墨中不应添加邻苯二甲酸酯，其挥发性有机化合物(VOCs)含量应不大于5%（以重量计）； （3）快递包装中使用纸基材的包装材料，纸基材中的有机氯的含量应不大于150 mg/kg； （4）快递包装中使用塑料基材的包装材料不得使用邻苯二甲酸二异壬酯、邻苯二甲酸二正辛酯、邻苯二甲酸二(2- 乙基)己酯、邻苯二甲酸二异癸酯、邻苯二甲酸丁基苄基酯、邻苯二甲酸二丁酯等作为增塑剂； （5）快递中使用的塑料包装袋不得使用聚氯乙烯作为原料，且原料应为单一材质制成，生物分解率大于60%； （6）快递中使用的充气类填充物不得使用聚氯乙烯作为原料，且原料为单一材质制成，生物分解率大于60%； （7）快递中使用的集装袋应为单一材质制成，其重复使用次数应不小于80次； （8）快递中应使用幅宽不大于45mm的生物降解胶带； （9）快递包装中不得使用溶剂型胶粘剂； （10）快递应使用电子面单； （11）直接使用商品包装作为快递包装的商品，其商品包装满足《商品包装政府采购需求标准（试行）》即可； （12）快递包装产品质量和封装方式应符合相关国家或行业标准技术指标要求。 3、检测方法 （1）快递包装中重金属（铅、汞、镉、六价铬）总量的检测按照 GB/T 10004-2008《包装用塑料复合膜、袋干法复合、挤出复合》规定的方法进行。 （2）快递包装印刷使用的油墨中挥发性有机化合物(VOCs)的检测按照 GB/T 23986-2009《色漆和清漆 挥发性有机化合物(VOC)含量的测定 气相色谱法》规定的方法进行。 （3）快递包装所使用的塑料包装的生物降解率的检测按照 GB/T 20197-2006《降解塑料的定义、分类、标识和降解性能要求》规定的方法进行。 （4）快递包装使用纸基材的包装材料中有机氯的检测按照 GB/T 22904-2008《纸浆、纸和纸板总氯和有机氯的检定》规定的方法进行。 （5）快递包装中使用的生物降解胶带的生物降解率的检测按照 GB/T19277.1《受控堆肥条件下材料最终需氧生物分解能力的测定采用测定释放的二氧化碳的方法 第1 部分：通用方法》规定的方法进行。</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联系人：林经理</w:t>
      </w:r>
    </w:p>
    <w:p>
      <w:pPr>
        <w:pStyle w:val="null3"/>
        <w:jc w:val="left"/>
      </w:pPr>
      <w:r>
        <w:rPr>
          <w:rFonts w:ascii="仿宋_GB2312" w:hAnsi="仿宋_GB2312" w:cs="仿宋_GB2312" w:eastAsia="仿宋_GB2312"/>
        </w:rPr>
        <w:t>联系电话：13379946478</w:t>
      </w:r>
    </w:p>
    <w:p>
      <w:pPr>
        <w:pStyle w:val="null3"/>
        <w:jc w:val="left"/>
      </w:pPr>
      <w:r>
        <w:rPr>
          <w:rFonts w:ascii="仿宋_GB2312" w:hAnsi="仿宋_GB2312" w:cs="仿宋_GB2312" w:eastAsia="仿宋_GB2312"/>
        </w:rPr>
        <w:t>地址：海口市龙华区龙昆南路52号润德商业广场（A、B区）铂领公馆21层2105房</w:t>
      </w:r>
    </w:p>
    <w:p>
      <w:pPr>
        <w:pStyle w:val="null3"/>
        <w:jc w:val="left"/>
      </w:pPr>
      <w:r>
        <w:rPr>
          <w:rFonts w:ascii="仿宋_GB2312" w:hAnsi="仿宋_GB2312" w:cs="仿宋_GB2312" w:eastAsia="仿宋_GB2312"/>
        </w:rPr>
        <w:t>邮编：570145</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本项目的采购需求，是指采购人为实现项目目标，拟采购的标的及其需要满足的技术、商务要求。技术要求是指对采购标的的功能和质量要求，包括性能、材料、结构、外观、安全，或者服务内容和标准等。商务要求是指取得采购标的的时间、地点、财务和服务要求，包括交付（实施）的时间（期限）和地点（范围），付款条件（进度和方式），包装和运输，售后服务，保险等。</w:t>
      </w:r>
    </w:p>
    <w:p>
      <w:pPr>
        <w:pStyle w:val="null3"/>
        <w:ind w:right="-105" w:firstLine="480"/>
        <w:jc w:val="both"/>
      </w:pPr>
      <w:r>
        <w:rPr>
          <w:rFonts w:ascii="仿宋_GB2312" w:hAnsi="仿宋_GB2312" w:cs="仿宋_GB2312" w:eastAsia="仿宋_GB2312"/>
          <w:sz w:val="24"/>
        </w:rPr>
        <w:t>采购人遵循预算、资产和财务等相关管理制度规定，结合采购项目特点和实际需要并依据部门预算（工程项目概预算）确定采购需求，采购需求可以直接引用相关国家标准、行业标准、地方标准等标准、规范，也可以根据项目目标提出更高的技术要求。</w:t>
      </w:r>
    </w:p>
    <w:p>
      <w:pPr>
        <w:pStyle w:val="null3"/>
        <w:ind w:right="-105" w:firstLine="480"/>
        <w:jc w:val="both"/>
      </w:pPr>
      <w:r>
        <w:rPr>
          <w:rFonts w:ascii="仿宋_GB2312" w:hAnsi="仿宋_GB2312" w:cs="仿宋_GB2312" w:eastAsia="仿宋_GB2312"/>
          <w:sz w:val="21"/>
          <w:b/>
        </w:rPr>
        <w:t>采购的目的</w:t>
      </w:r>
    </w:p>
    <w:p>
      <w:pPr>
        <w:pStyle w:val="null3"/>
        <w:ind w:right="-105" w:firstLine="480"/>
        <w:jc w:val="both"/>
      </w:pPr>
      <w:r>
        <w:rPr>
          <w:rFonts w:ascii="仿宋_GB2312" w:hAnsi="仿宋_GB2312" w:cs="仿宋_GB2312" w:eastAsia="仿宋_GB2312"/>
          <w:sz w:val="24"/>
        </w:rPr>
        <w:t>采购一批防汛抢险物资调拨至基层，以提升基层应急处置能力。</w:t>
      </w:r>
    </w:p>
    <w:p>
      <w:pPr>
        <w:pStyle w:val="null3"/>
        <w:ind w:right="-105" w:firstLine="480"/>
        <w:jc w:val="both"/>
      </w:pPr>
      <w:r>
        <w:rPr>
          <w:rFonts w:ascii="仿宋_GB2312" w:hAnsi="仿宋_GB2312" w:cs="仿宋_GB2312" w:eastAsia="仿宋_GB2312"/>
          <w:sz w:val="24"/>
        </w:rPr>
        <w:t>政府采购应当有助于实现国家的经济和社会发展政策目标、实现项目绩效目标，采购人通过确定供应商资格条件、设定评审规则等措施，落实支持创新、绿色发展、中小企业发展等政府采购政策功能。</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3,085,350.00</w:t>
      </w:r>
    </w:p>
    <w:p>
      <w:pPr>
        <w:pStyle w:val="null3"/>
        <w:jc w:val="left"/>
      </w:pPr>
      <w:r>
        <w:rPr>
          <w:rFonts w:ascii="仿宋_GB2312" w:hAnsi="仿宋_GB2312" w:cs="仿宋_GB2312" w:eastAsia="仿宋_GB2312"/>
        </w:rPr>
        <w:t>采购包最高限价（元）: 3,085,350.00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1,190,020.00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A07099900-其他橡胶、塑料、玻璃和陶瓷制品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1,895,330.00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A02340800-应急救援设备类</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1,190,020.00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A07099900-其他橡胶、塑料、玻璃和陶瓷制品</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1,895,330.00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油锯</w:t>
            </w:r>
          </w:p>
          <w:p>
            <w:pPr>
              <w:pStyle w:val="null3"/>
              <w:jc w:val="left"/>
            </w:pPr>
            <w:r>
              <w:rPr>
                <w:rFonts w:ascii="仿宋_GB2312" w:hAnsi="仿宋_GB2312" w:cs="仿宋_GB2312" w:eastAsia="仿宋_GB2312"/>
              </w:rPr>
              <w:t>1、数量不得少于173台</w:t>
            </w:r>
          </w:p>
          <w:p>
            <w:pPr>
              <w:pStyle w:val="null3"/>
              <w:jc w:val="left"/>
            </w:pPr>
            <w:r>
              <w:rPr>
                <w:rFonts w:ascii="仿宋_GB2312" w:hAnsi="仿宋_GB2312" w:cs="仿宋_GB2312" w:eastAsia="仿宋_GB2312"/>
              </w:rPr>
              <w:t>2、排量≥2.8KW/50cc。</w:t>
            </w:r>
          </w:p>
          <w:p>
            <w:pPr>
              <w:pStyle w:val="null3"/>
              <w:jc w:val="left"/>
            </w:pPr>
            <w:r>
              <w:rPr>
                <w:rFonts w:ascii="仿宋_GB2312" w:hAnsi="仿宋_GB2312" w:cs="仿宋_GB2312" w:eastAsia="仿宋_GB2312"/>
              </w:rPr>
              <w:t>3、链条节距/厚度≥325×058。</w:t>
            </w:r>
          </w:p>
          <w:p>
            <w:pPr>
              <w:pStyle w:val="null3"/>
              <w:jc w:val="left"/>
            </w:pPr>
            <w:r>
              <w:rPr>
                <w:rFonts w:ascii="仿宋_GB2312" w:hAnsi="仿宋_GB2312" w:cs="仿宋_GB2312" w:eastAsia="仿宋_GB2312"/>
              </w:rPr>
              <w:t>4、可通过手机终端连接设备，可实时显示设备温度、转速、工作时长等数据，支持定时保养提醒，易于维修保养。</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高枝油锯</w:t>
            </w:r>
          </w:p>
          <w:p>
            <w:pPr>
              <w:pStyle w:val="null3"/>
              <w:jc w:val="left"/>
            </w:pPr>
            <w:r>
              <w:rPr>
                <w:rFonts w:ascii="仿宋_GB2312" w:hAnsi="仿宋_GB2312" w:cs="仿宋_GB2312" w:eastAsia="仿宋_GB2312"/>
              </w:rPr>
              <w:t>1、数量不得少于35台</w:t>
            </w:r>
          </w:p>
          <w:p>
            <w:pPr>
              <w:pStyle w:val="null3"/>
              <w:jc w:val="left"/>
            </w:pPr>
            <w:r>
              <w:rPr>
                <w:rFonts w:ascii="仿宋_GB2312" w:hAnsi="仿宋_GB2312" w:cs="仿宋_GB2312" w:eastAsia="仿宋_GB2312"/>
              </w:rPr>
              <w:t>2、排量(cc):≥27</w:t>
            </w:r>
          </w:p>
          <w:p>
            <w:pPr>
              <w:pStyle w:val="null3"/>
              <w:jc w:val="left"/>
            </w:pPr>
            <w:r>
              <w:rPr>
                <w:rFonts w:ascii="仿宋_GB2312" w:hAnsi="仿宋_GB2312" w:cs="仿宋_GB2312" w:eastAsia="仿宋_GB2312"/>
              </w:rPr>
              <w:t>3、输出功率(Kw):≥1</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头灯</w:t>
            </w:r>
          </w:p>
          <w:p>
            <w:pPr>
              <w:pStyle w:val="null3"/>
              <w:jc w:val="left"/>
            </w:pPr>
            <w:r>
              <w:rPr>
                <w:rFonts w:ascii="仿宋_GB2312" w:hAnsi="仿宋_GB2312" w:cs="仿宋_GB2312" w:eastAsia="仿宋_GB2312"/>
              </w:rPr>
              <w:t>1、数量不得少于1085个</w:t>
            </w:r>
          </w:p>
          <w:p>
            <w:pPr>
              <w:pStyle w:val="null3"/>
              <w:jc w:val="left"/>
            </w:pPr>
            <w:r>
              <w:rPr>
                <w:rFonts w:ascii="仿宋_GB2312" w:hAnsi="仿宋_GB2312" w:cs="仿宋_GB2312" w:eastAsia="仿宋_GB2312"/>
              </w:rPr>
              <w:t>2、功率：≥3W</w:t>
            </w:r>
          </w:p>
          <w:p>
            <w:pPr>
              <w:pStyle w:val="null3"/>
              <w:jc w:val="left"/>
            </w:pPr>
            <w:r>
              <w:rPr>
                <w:rFonts w:ascii="仿宋_GB2312" w:hAnsi="仿宋_GB2312" w:cs="仿宋_GB2312" w:eastAsia="仿宋_GB2312"/>
              </w:rPr>
              <w:t>3、防护等级：≥IP67</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发电机（小型）</w:t>
            </w:r>
          </w:p>
          <w:p>
            <w:pPr>
              <w:pStyle w:val="null3"/>
              <w:jc w:val="left"/>
            </w:pPr>
            <w:r>
              <w:rPr>
                <w:rFonts w:ascii="仿宋_GB2312" w:hAnsi="仿宋_GB2312" w:cs="仿宋_GB2312" w:eastAsia="仿宋_GB2312"/>
              </w:rPr>
              <w:t>1、数量不得少于25台</w:t>
            </w:r>
          </w:p>
          <w:p>
            <w:pPr>
              <w:pStyle w:val="null3"/>
              <w:jc w:val="left"/>
            </w:pPr>
            <w:r>
              <w:rPr>
                <w:rFonts w:ascii="仿宋_GB2312" w:hAnsi="仿宋_GB2312" w:cs="仿宋_GB2312" w:eastAsia="仿宋_GB2312"/>
              </w:rPr>
              <w:t>2、额定输出：≥5.0KVA(5.0kw)</w:t>
            </w:r>
          </w:p>
          <w:p>
            <w:pPr>
              <w:pStyle w:val="null3"/>
              <w:jc w:val="left"/>
            </w:pPr>
            <w:r>
              <w:rPr>
                <w:rFonts w:ascii="仿宋_GB2312" w:hAnsi="仿宋_GB2312" w:cs="仿宋_GB2312" w:eastAsia="仿宋_GB2312"/>
              </w:rPr>
              <w:t>3、最大输出：≥5.5KVA(5.5KW)</w:t>
            </w:r>
          </w:p>
          <w:p>
            <w:pPr>
              <w:pStyle w:val="null3"/>
              <w:jc w:val="left"/>
            </w:pPr>
            <w:r>
              <w:rPr>
                <w:rFonts w:ascii="仿宋_GB2312" w:hAnsi="仿宋_GB2312" w:cs="仿宋_GB2312" w:eastAsia="仿宋_GB2312"/>
              </w:rPr>
              <w:t>4、额定电流：≥22.7A</w:t>
            </w:r>
          </w:p>
          <w:p>
            <w:pPr>
              <w:pStyle w:val="null3"/>
              <w:jc w:val="left"/>
            </w:pPr>
            <w:r>
              <w:rPr>
                <w:rFonts w:ascii="仿宋_GB2312" w:hAnsi="仿宋_GB2312" w:cs="仿宋_GB2312" w:eastAsia="仿宋_GB2312"/>
              </w:rPr>
              <w:t>5、频率：≥50HZ</w:t>
            </w:r>
          </w:p>
          <w:p>
            <w:pPr>
              <w:pStyle w:val="null3"/>
              <w:jc w:val="left"/>
            </w:pPr>
            <w:r>
              <w:rPr>
                <w:rFonts w:ascii="仿宋_GB2312" w:hAnsi="仿宋_GB2312" w:cs="仿宋_GB2312" w:eastAsia="仿宋_GB2312"/>
              </w:rPr>
              <w:t>6、额定电压(V) :230/400v；</w:t>
            </w:r>
          </w:p>
          <w:p>
            <w:pPr>
              <w:pStyle w:val="null3"/>
              <w:jc w:val="left"/>
            </w:pPr>
            <w:r>
              <w:rPr>
                <w:rFonts w:ascii="仿宋_GB2312" w:hAnsi="仿宋_GB2312" w:cs="仿宋_GB2312" w:eastAsia="仿宋_GB2312"/>
              </w:rPr>
              <w:t>7、手机终端可蓝牙连接工控数据模块，控制距离≥20 米，实时显示设备的运行状态，同步显示温度、工作时长；</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打桩机</w:t>
            </w:r>
          </w:p>
          <w:p>
            <w:pPr>
              <w:pStyle w:val="null3"/>
              <w:jc w:val="left"/>
            </w:pPr>
            <w:r>
              <w:rPr>
                <w:rFonts w:ascii="仿宋_GB2312" w:hAnsi="仿宋_GB2312" w:cs="仿宋_GB2312" w:eastAsia="仿宋_GB2312"/>
              </w:rPr>
              <w:t>1、数量不得少于11台</w:t>
            </w:r>
          </w:p>
          <w:p>
            <w:pPr>
              <w:pStyle w:val="null3"/>
              <w:jc w:val="left"/>
            </w:pPr>
            <w:r>
              <w:rPr>
                <w:rFonts w:ascii="仿宋_GB2312" w:hAnsi="仿宋_GB2312" w:cs="仿宋_GB2312" w:eastAsia="仿宋_GB2312"/>
              </w:rPr>
              <w:t>2、引擎：520二冲程单缸风冷</w:t>
            </w:r>
          </w:p>
          <w:p>
            <w:pPr>
              <w:pStyle w:val="null3"/>
              <w:jc w:val="left"/>
            </w:pPr>
            <w:r>
              <w:rPr>
                <w:rFonts w:ascii="仿宋_GB2312" w:hAnsi="仿宋_GB2312" w:cs="仿宋_GB2312" w:eastAsia="仿宋_GB2312"/>
              </w:rPr>
              <w:t>3、排量：≥52CC</w:t>
            </w:r>
          </w:p>
          <w:p>
            <w:pPr>
              <w:pStyle w:val="null3"/>
              <w:jc w:val="left"/>
            </w:pPr>
            <w:r>
              <w:rPr>
                <w:rFonts w:ascii="仿宋_GB2312" w:hAnsi="仿宋_GB2312" w:cs="仿宋_GB2312" w:eastAsia="仿宋_GB2312"/>
              </w:rPr>
              <w:t>4、冲击频率：≥1500BPM</w:t>
            </w:r>
          </w:p>
          <w:p>
            <w:pPr>
              <w:pStyle w:val="null3"/>
              <w:jc w:val="left"/>
            </w:pPr>
            <w:r>
              <w:rPr>
                <w:rFonts w:ascii="仿宋_GB2312" w:hAnsi="仿宋_GB2312" w:cs="仿宋_GB2312" w:eastAsia="仿宋_GB2312"/>
              </w:rPr>
              <w:t>5、引擎功率：≥3000W</w:t>
            </w:r>
          </w:p>
          <w:p>
            <w:pPr>
              <w:pStyle w:val="null3"/>
              <w:jc w:val="left"/>
            </w:pPr>
            <w:r>
              <w:rPr>
                <w:rFonts w:ascii="仿宋_GB2312" w:hAnsi="仿宋_GB2312" w:cs="仿宋_GB2312" w:eastAsia="仿宋_GB2312"/>
              </w:rPr>
              <w:t>6、冲击功率：20-65J</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警用喊话器</w:t>
            </w:r>
          </w:p>
          <w:p>
            <w:pPr>
              <w:pStyle w:val="null3"/>
              <w:jc w:val="left"/>
            </w:pPr>
            <w:r>
              <w:rPr>
                <w:rFonts w:ascii="仿宋_GB2312" w:hAnsi="仿宋_GB2312" w:cs="仿宋_GB2312" w:eastAsia="仿宋_GB2312"/>
              </w:rPr>
              <w:t>1、数量不得少于227个</w:t>
            </w:r>
          </w:p>
          <w:p>
            <w:pPr>
              <w:pStyle w:val="null3"/>
              <w:jc w:val="left"/>
            </w:pPr>
            <w:r>
              <w:rPr>
                <w:rFonts w:ascii="仿宋_GB2312" w:hAnsi="仿宋_GB2312" w:cs="仿宋_GB2312" w:eastAsia="仿宋_GB2312"/>
              </w:rPr>
              <w:t>2、输出声强:扩音和放音模式下声强大于108dB</w:t>
            </w:r>
          </w:p>
          <w:p>
            <w:pPr>
              <w:pStyle w:val="null3"/>
              <w:jc w:val="left"/>
            </w:pPr>
            <w:r>
              <w:rPr>
                <w:rFonts w:ascii="仿宋_GB2312" w:hAnsi="仿宋_GB2312" w:cs="仿宋_GB2312" w:eastAsia="仿宋_GB2312"/>
              </w:rPr>
              <w:t>3、传播距离:≥500 米</w:t>
            </w:r>
          </w:p>
          <w:p>
            <w:pPr>
              <w:pStyle w:val="null3"/>
              <w:jc w:val="left"/>
            </w:pPr>
            <w:r>
              <w:rPr>
                <w:rFonts w:ascii="仿宋_GB2312" w:hAnsi="仿宋_GB2312" w:cs="仿宋_GB2312" w:eastAsia="仿宋_GB2312"/>
              </w:rPr>
              <w:t>4、材质:ABS 工程塑料</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橡皮艇（含外挂机）</w:t>
            </w:r>
          </w:p>
          <w:p>
            <w:pPr>
              <w:pStyle w:val="null3"/>
              <w:jc w:val="left"/>
            </w:pPr>
            <w:r>
              <w:rPr>
                <w:rFonts w:ascii="仿宋_GB2312" w:hAnsi="仿宋_GB2312" w:cs="仿宋_GB2312" w:eastAsia="仿宋_GB2312"/>
              </w:rPr>
              <w:t>1、数量不得少于6台</w:t>
            </w:r>
          </w:p>
          <w:p>
            <w:pPr>
              <w:pStyle w:val="null3"/>
              <w:jc w:val="left"/>
            </w:pPr>
            <w:r>
              <w:rPr>
                <w:rFonts w:ascii="仿宋_GB2312" w:hAnsi="仿宋_GB2312" w:cs="仿宋_GB2312" w:eastAsia="仿宋_GB2312"/>
              </w:rPr>
              <w:t>2、气囊数≥4个，最大载荷≥1000kg</w:t>
            </w:r>
          </w:p>
          <w:p>
            <w:pPr>
              <w:pStyle w:val="null3"/>
              <w:jc w:val="left"/>
            </w:pPr>
            <w:r>
              <w:rPr>
                <w:rFonts w:ascii="仿宋_GB2312" w:hAnsi="仿宋_GB2312" w:cs="仿宋_GB2312" w:eastAsia="仿宋_GB2312"/>
              </w:rPr>
              <w:t>3、艇身材质≥0.9mmPVC复合加网材质</w:t>
            </w:r>
          </w:p>
          <w:p>
            <w:pPr>
              <w:pStyle w:val="null3"/>
              <w:jc w:val="left"/>
            </w:pPr>
            <w:r>
              <w:rPr>
                <w:rFonts w:ascii="仿宋_GB2312" w:hAnsi="仿宋_GB2312" w:cs="仿宋_GB2312" w:eastAsia="仿宋_GB2312"/>
              </w:rPr>
              <w:t>4、底板材质：防滑铝合金拼装底板</w:t>
            </w:r>
          </w:p>
          <w:p>
            <w:pPr>
              <w:pStyle w:val="null3"/>
              <w:jc w:val="left"/>
            </w:pPr>
            <w:r>
              <w:rPr>
                <w:rFonts w:ascii="仿宋_GB2312" w:hAnsi="仿宋_GB2312" w:cs="仿宋_GB2312" w:eastAsia="仿宋_GB2312"/>
              </w:rPr>
              <w:t>5、船外机</w:t>
            </w:r>
          </w:p>
          <w:p>
            <w:pPr>
              <w:pStyle w:val="null3"/>
              <w:jc w:val="left"/>
            </w:pPr>
            <w:r>
              <w:rPr>
                <w:rFonts w:ascii="仿宋_GB2312" w:hAnsi="仿宋_GB2312" w:cs="仿宋_GB2312" w:eastAsia="仿宋_GB2312"/>
              </w:rPr>
              <w:t>（1）2冲程40马力</w:t>
            </w:r>
          </w:p>
          <w:p>
            <w:pPr>
              <w:pStyle w:val="null3"/>
              <w:jc w:val="left"/>
            </w:pPr>
            <w:r>
              <w:rPr>
                <w:rFonts w:ascii="仿宋_GB2312" w:hAnsi="仿宋_GB2312" w:cs="仿宋_GB2312" w:eastAsia="仿宋_GB2312"/>
              </w:rPr>
              <w:t>（2）燃油 ：汽油</w:t>
            </w:r>
          </w:p>
          <w:p>
            <w:pPr>
              <w:pStyle w:val="null3"/>
              <w:jc w:val="left"/>
            </w:pPr>
            <w:r>
              <w:rPr>
                <w:rFonts w:ascii="仿宋_GB2312" w:hAnsi="仿宋_GB2312" w:cs="仿宋_GB2312" w:eastAsia="仿宋_GB2312"/>
              </w:rPr>
              <w:t>（3）设备状态监测控制，可实时同步船外机转速、温度及累计工作时长,数据同步至 APP 小程序及手持终端控制模块。</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无人机(小型）</w:t>
            </w:r>
          </w:p>
          <w:p>
            <w:pPr>
              <w:pStyle w:val="null3"/>
              <w:jc w:val="left"/>
            </w:pPr>
            <w:r>
              <w:rPr>
                <w:rFonts w:ascii="仿宋_GB2312" w:hAnsi="仿宋_GB2312" w:cs="仿宋_GB2312" w:eastAsia="仿宋_GB2312"/>
              </w:rPr>
              <w:t>1、数量不得少于2台</w:t>
            </w:r>
          </w:p>
          <w:p>
            <w:pPr>
              <w:pStyle w:val="null3"/>
              <w:jc w:val="left"/>
            </w:pPr>
            <w:r>
              <w:rPr>
                <w:rFonts w:ascii="仿宋_GB2312" w:hAnsi="仿宋_GB2312" w:cs="仿宋_GB2312" w:eastAsia="仿宋_GB2312"/>
              </w:rPr>
              <w:t>2、全向感知系统:全向双目视觉系统，辅以机身前视激光雷达和底部红外传感器</w:t>
            </w:r>
          </w:p>
          <w:p>
            <w:pPr>
              <w:pStyle w:val="null3"/>
              <w:jc w:val="left"/>
            </w:pPr>
            <w:r>
              <w:rPr>
                <w:rFonts w:ascii="仿宋_GB2312" w:hAnsi="仿宋_GB2312" w:cs="仿宋_GB2312" w:eastAsia="仿宋_GB2312"/>
              </w:rPr>
              <w:t>3、工作环境温度:-10°C 至 40°C</w:t>
            </w:r>
          </w:p>
          <w:p>
            <w:pPr>
              <w:pStyle w:val="null3"/>
              <w:jc w:val="left"/>
            </w:pPr>
            <w:r>
              <w:rPr>
                <w:rFonts w:ascii="仿宋_GB2312" w:hAnsi="仿宋_GB2312" w:cs="仿宋_GB2312" w:eastAsia="仿宋_GB2312"/>
              </w:rPr>
              <w:t>4、相机类型:具有长焦可见光、中长焦可见光</w:t>
            </w:r>
          </w:p>
          <w:p>
            <w:pPr>
              <w:pStyle w:val="null3"/>
              <w:jc w:val="left"/>
            </w:pPr>
            <w:r>
              <w:rPr>
                <w:rFonts w:ascii="仿宋_GB2312" w:hAnsi="仿宋_GB2312" w:cs="仿宋_GB2312" w:eastAsia="仿宋_GB2312"/>
              </w:rPr>
              <w:t>5、云台:360°旋转万向云台</w:t>
            </w:r>
          </w:p>
          <w:p>
            <w:pPr>
              <w:pStyle w:val="null3"/>
              <w:jc w:val="left"/>
            </w:pPr>
            <w:r>
              <w:rPr>
                <w:rFonts w:ascii="仿宋_GB2312" w:hAnsi="仿宋_GB2312" w:cs="仿宋_GB2312" w:eastAsia="仿宋_GB2312"/>
              </w:rPr>
              <w:t>6、影像系统：三摄影像系统，包含1亿像素哈苏4/3CMOS主摄与双长焦组合，支持6K/60fps HDR视频录制及全焦段覆盖 20.配置：无人机*1，电池*1，内存卡256G*1，保险*1年</w:t>
            </w:r>
          </w:p>
        </w:tc>
      </w:tr>
    </w:tbl>
    <w:p>
      <w:pPr>
        <w:pStyle w:val="null3"/>
        <w:jc w:val="left"/>
      </w:pPr>
      <w:r>
        <w:rPr>
          <w:rFonts w:ascii="仿宋_GB2312" w:hAnsi="仿宋_GB2312" w:cs="仿宋_GB2312" w:eastAsia="仿宋_GB2312"/>
        </w:rPr>
        <w:t>标的名称：A07099900-其他橡胶、塑料、玻璃和陶瓷制品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应急包</w:t>
            </w:r>
          </w:p>
          <w:p>
            <w:pPr>
              <w:pStyle w:val="null3"/>
              <w:jc w:val="left"/>
            </w:pPr>
            <w:r>
              <w:rPr>
                <w:rFonts w:ascii="仿宋_GB2312" w:hAnsi="仿宋_GB2312" w:cs="仿宋_GB2312" w:eastAsia="仿宋_GB2312"/>
              </w:rPr>
              <w:t>1、数量不得少于2220套</w:t>
            </w:r>
          </w:p>
          <w:p>
            <w:pPr>
              <w:pStyle w:val="null3"/>
              <w:jc w:val="left"/>
            </w:pPr>
            <w:r>
              <w:rPr>
                <w:rFonts w:ascii="仿宋_GB2312" w:hAnsi="仿宋_GB2312" w:cs="仿宋_GB2312" w:eastAsia="仿宋_GB2312"/>
              </w:rPr>
              <w:t>2、材质：尼龙包；</w:t>
            </w:r>
          </w:p>
          <w:p>
            <w:pPr>
              <w:pStyle w:val="null3"/>
              <w:jc w:val="left"/>
            </w:pPr>
            <w:r>
              <w:rPr>
                <w:rFonts w:ascii="仿宋_GB2312" w:hAnsi="仿宋_GB2312" w:cs="仿宋_GB2312" w:eastAsia="仿宋_GB2312"/>
              </w:rPr>
              <w:t>3、背包具备双肩背、单肩背、手提等携带方式；背包含：含铁铲，砍刀，雨衣，雨鞋，照明灯，急救用品</w:t>
            </w:r>
          </w:p>
          <w:p>
            <w:pPr>
              <w:pStyle w:val="null3"/>
              <w:jc w:val="left"/>
            </w:pPr>
            <w:r>
              <w:rPr>
                <w:rFonts w:ascii="仿宋_GB2312" w:hAnsi="仿宋_GB2312" w:cs="仿宋_GB2312" w:eastAsia="仿宋_GB2312"/>
              </w:rPr>
              <w:t>（1）铁铲材质：碳钢</w:t>
            </w:r>
          </w:p>
          <w:p>
            <w:pPr>
              <w:pStyle w:val="null3"/>
              <w:jc w:val="left"/>
            </w:pPr>
            <w:r>
              <w:rPr>
                <w:rFonts w:ascii="仿宋_GB2312" w:hAnsi="仿宋_GB2312" w:cs="仿宋_GB2312" w:eastAsia="仿宋_GB2312"/>
              </w:rPr>
              <w:t>（2）砍刀材质：锰钢</w:t>
            </w:r>
          </w:p>
          <w:p>
            <w:pPr>
              <w:pStyle w:val="null3"/>
              <w:jc w:val="left"/>
            </w:pPr>
            <w:r>
              <w:rPr>
                <w:rFonts w:ascii="仿宋_GB2312" w:hAnsi="仿宋_GB2312" w:cs="仿宋_GB2312" w:eastAsia="仿宋_GB2312"/>
              </w:rPr>
              <w:t>（3）雨衣材质:100%聚酯纤维</w:t>
            </w:r>
          </w:p>
          <w:p>
            <w:pPr>
              <w:pStyle w:val="null3"/>
              <w:jc w:val="left"/>
            </w:pPr>
            <w:r>
              <w:rPr>
                <w:rFonts w:ascii="仿宋_GB2312" w:hAnsi="仿宋_GB2312" w:cs="仿宋_GB2312" w:eastAsia="仿宋_GB2312"/>
              </w:rPr>
              <w:t>（4）雨鞋材质：塑胶+PVC牛筋底</w:t>
            </w:r>
          </w:p>
          <w:p>
            <w:pPr>
              <w:pStyle w:val="null3"/>
              <w:jc w:val="left"/>
            </w:pPr>
            <w:r>
              <w:rPr>
                <w:rFonts w:ascii="仿宋_GB2312" w:hAnsi="仿宋_GB2312" w:cs="仿宋_GB2312" w:eastAsia="仿宋_GB2312"/>
              </w:rPr>
              <w:t>（5）照明灯：整灯可漂浮在水面上，防护等级≥IP68（可以在2米水深中浸泡大于30分钟的情况下仍可正常工作）</w:t>
            </w:r>
          </w:p>
          <w:p>
            <w:pPr>
              <w:pStyle w:val="null3"/>
              <w:jc w:val="left"/>
            </w:pPr>
            <w:r>
              <w:rPr>
                <w:rFonts w:ascii="仿宋_GB2312" w:hAnsi="仿宋_GB2312" w:cs="仿宋_GB2312" w:eastAsia="仿宋_GB2312"/>
              </w:rPr>
              <w:t>（6）急救用品 急救包需采用优质涤纶材质；至少包含酒精棒*5；碘伏棒*5；超大创口贴*1；直角大创口贴*1；关节创口贴*1；指尖创口贴*5；弹力防水创口贴*4；三角绷带*1；安全别针*4；医用口罩*1；医用纱布*1；医用胶带*1；清洁湿巾*1；驱蚊湿巾*1；配置清单*1</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救生圈</w:t>
            </w:r>
          </w:p>
          <w:p>
            <w:pPr>
              <w:pStyle w:val="null3"/>
              <w:jc w:val="left"/>
            </w:pPr>
            <w:r>
              <w:rPr>
                <w:rFonts w:ascii="仿宋_GB2312" w:hAnsi="仿宋_GB2312" w:cs="仿宋_GB2312" w:eastAsia="仿宋_GB2312"/>
              </w:rPr>
              <w:t>1、数量不得少于1085个</w:t>
            </w:r>
          </w:p>
          <w:p>
            <w:pPr>
              <w:pStyle w:val="null3"/>
              <w:jc w:val="left"/>
            </w:pPr>
            <w:r>
              <w:rPr>
                <w:rFonts w:ascii="仿宋_GB2312" w:hAnsi="仿宋_GB2312" w:cs="仿宋_GB2312" w:eastAsia="仿宋_GB2312"/>
              </w:rPr>
              <w:t>2、尺寸与重量：重量≥2.5kg</w:t>
            </w:r>
          </w:p>
          <w:p>
            <w:pPr>
              <w:pStyle w:val="null3"/>
              <w:jc w:val="left"/>
            </w:pPr>
            <w:r>
              <w:rPr>
                <w:rFonts w:ascii="仿宋_GB2312" w:hAnsi="仿宋_GB2312" w:cs="仿宋_GB2312" w:eastAsia="仿宋_GB2312"/>
              </w:rPr>
              <w:t>3、浮力性能：符合国际标准、可承载成人重量</w:t>
            </w:r>
          </w:p>
          <w:p>
            <w:pPr>
              <w:pStyle w:val="null3"/>
              <w:jc w:val="left"/>
            </w:pPr>
            <w:r>
              <w:rPr>
                <w:rFonts w:ascii="仿宋_GB2312" w:hAnsi="仿宋_GB2312" w:cs="仿宋_GB2312" w:eastAsia="仿宋_GB2312"/>
              </w:rPr>
              <w:t>4、安全认证：中国船级（CCS）认证</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救生衣</w:t>
            </w:r>
          </w:p>
          <w:p>
            <w:pPr>
              <w:pStyle w:val="null3"/>
              <w:jc w:val="left"/>
            </w:pPr>
            <w:r>
              <w:rPr>
                <w:rFonts w:ascii="仿宋_GB2312" w:hAnsi="仿宋_GB2312" w:cs="仿宋_GB2312" w:eastAsia="仿宋_GB2312"/>
              </w:rPr>
              <w:t>1、数量不得少于4340套</w:t>
            </w:r>
          </w:p>
          <w:p>
            <w:pPr>
              <w:pStyle w:val="null3"/>
              <w:jc w:val="left"/>
            </w:pPr>
            <w:r>
              <w:rPr>
                <w:rFonts w:ascii="仿宋_GB2312" w:hAnsi="仿宋_GB2312" w:cs="仿宋_GB2312" w:eastAsia="仿宋_GB2312"/>
              </w:rPr>
              <w:t>2、浮力要求：浮力大于75N，在水中浸泡24小时后，浮力损失应小于5%；</w:t>
            </w:r>
          </w:p>
          <w:p>
            <w:pPr>
              <w:pStyle w:val="null3"/>
              <w:jc w:val="left"/>
            </w:pPr>
            <w:r>
              <w:rPr>
                <w:rFonts w:ascii="仿宋_GB2312" w:hAnsi="仿宋_GB2312" w:cs="仿宋_GB2312" w:eastAsia="仿宋_GB2312"/>
              </w:rPr>
              <w:t>3、浮力材料：聚乙烯泡沫塑料</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安全绳</w:t>
            </w:r>
          </w:p>
          <w:p>
            <w:pPr>
              <w:pStyle w:val="null3"/>
              <w:jc w:val="left"/>
            </w:pPr>
            <w:r>
              <w:rPr>
                <w:rFonts w:ascii="仿宋_GB2312" w:hAnsi="仿宋_GB2312" w:cs="仿宋_GB2312" w:eastAsia="仿宋_GB2312"/>
              </w:rPr>
              <w:t>1、数量不得少于76条</w:t>
            </w:r>
          </w:p>
          <w:p>
            <w:pPr>
              <w:pStyle w:val="null3"/>
              <w:jc w:val="left"/>
            </w:pPr>
            <w:r>
              <w:rPr>
                <w:rFonts w:ascii="仿宋_GB2312" w:hAnsi="仿宋_GB2312" w:cs="仿宋_GB2312" w:eastAsia="仿宋_GB2312"/>
              </w:rPr>
              <w:t>2、规格：直径≥16mm</w:t>
            </w:r>
          </w:p>
          <w:p>
            <w:pPr>
              <w:pStyle w:val="null3"/>
              <w:jc w:val="left"/>
            </w:pPr>
            <w:r>
              <w:rPr>
                <w:rFonts w:ascii="仿宋_GB2312" w:hAnsi="仿宋_GB2312" w:cs="仿宋_GB2312" w:eastAsia="仿宋_GB2312"/>
              </w:rPr>
              <w:t>3、长度规格：≥100m/条</w:t>
            </w:r>
          </w:p>
          <w:p>
            <w:pPr>
              <w:pStyle w:val="null3"/>
              <w:jc w:val="left"/>
            </w:pPr>
            <w:r>
              <w:rPr>
                <w:rFonts w:ascii="仿宋_GB2312" w:hAnsi="仿宋_GB2312" w:cs="仿宋_GB2312" w:eastAsia="仿宋_GB2312"/>
              </w:rPr>
              <w:t>4、材质：高强合成纤维（尼龙、涤纶）为主，部分含钢丝绳内芯（如平行安全绳）</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20"/>
              <w:jc w:val="both"/>
            </w:pPr>
            <w:r>
              <w:rPr>
                <w:rFonts w:ascii="仿宋_GB2312" w:hAnsi="仿宋_GB2312" w:cs="仿宋_GB2312" w:eastAsia="仿宋_GB2312"/>
                <w:sz w:val="21"/>
              </w:rPr>
              <w:t>国家对供应商用于响应本项目的产品、服务有强制性规定或要求的，供应商用于响应本项目的产品、服务应符合相关规定或要求，并提供相关合法、真实、有效的证明材料。</w:t>
            </w:r>
          </w:p>
          <w:p>
            <w:pPr>
              <w:pStyle w:val="null3"/>
              <w:ind w:firstLine="420"/>
              <w:jc w:val="both"/>
            </w:pPr>
            <w:r>
              <w:rPr>
                <w:rFonts w:ascii="仿宋_GB2312" w:hAnsi="仿宋_GB2312" w:cs="仿宋_GB2312" w:eastAsia="仿宋_GB2312"/>
                <w:sz w:val="21"/>
              </w:rPr>
              <w:t>1、不符合国家强制性标准的产品、服务，供应商不得用于响应本项目。</w:t>
            </w:r>
          </w:p>
          <w:p>
            <w:pPr>
              <w:pStyle w:val="null3"/>
              <w:ind w:firstLine="420"/>
              <w:jc w:val="both"/>
            </w:pPr>
            <w:r>
              <w:rPr>
                <w:rFonts w:ascii="仿宋_GB2312" w:hAnsi="仿宋_GB2312" w:cs="仿宋_GB2312" w:eastAsia="仿宋_GB2312"/>
                <w:sz w:val="21"/>
              </w:rPr>
              <w:t>2、国家规定相关产品、服务必须经过认证的，供应商用于响应本项目的产品、服务，应当经过认证并标注认证标志。</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spacing w:before="60"/>
              <w:ind w:right="-105"/>
              <w:jc w:val="left"/>
            </w:pPr>
            <w:r>
              <w:rPr>
                <w:rFonts w:ascii="仿宋_GB2312" w:hAnsi="仿宋_GB2312" w:cs="仿宋_GB2312" w:eastAsia="仿宋_GB2312"/>
              </w:rPr>
              <w:t xml:space="preserve"> 本项目需经磋商由供应商提供最终设计方案或解决方案，磋商结束后，磋商小组应当按照少数服从多数的原则投票推荐3家以上供应商的设计方案或者解决方案，并要求前述供应商在规定时间内提交最后报价。</w:t>
            </w:r>
            <w:r>
              <w:br/>
            </w:r>
            <w:r>
              <w:rPr>
                <w:rFonts w:ascii="仿宋_GB2312" w:hAnsi="仿宋_GB2312" w:cs="仿宋_GB2312" w:eastAsia="仿宋_GB2312"/>
              </w:rPr>
              <w:t xml:space="preserve">         为应对自然灾害(如洪涝、地震等)和突发公共安全事件，提升东方市的应急救援和防汛抢险能力，确保人民群众生命财产安全，本项目拟采购一批应急救援设备和防汛抢险物资。因采购标的的配置需兼顾实用性、功能性、安全性、耐用性以及技术先进性与场景的适配性，本项目不能确定采购标的的详细规格或者具体要求，供应商应根据拟采购标的的功能、应用场景、目标等基本要求，通过技术参数对比、设备协同模拟及定制化选型形成设计方案或解决方案，方案要做到：</w:t>
            </w:r>
            <w:r>
              <w:br/>
            </w:r>
            <w:r>
              <w:rPr>
                <w:rFonts w:ascii="仿宋_GB2312" w:hAnsi="仿宋_GB2312" w:cs="仿宋_GB2312" w:eastAsia="仿宋_GB2312"/>
              </w:rPr>
              <w:t xml:space="preserve">       1、确保应急救援设备和防汛抢险物资覆盖生命救援、医疗救护、生活保障、环境清理等多个方面，形成完整的应急救援和防汛抢险物资体系。</w:t>
            </w:r>
            <w:r>
              <w:br/>
            </w:r>
            <w:r>
              <w:rPr>
                <w:rFonts w:ascii="仿宋_GB2312" w:hAnsi="仿宋_GB2312" w:cs="仿宋_GB2312" w:eastAsia="仿宋_GB2312"/>
              </w:rPr>
              <w:t xml:space="preserve">        2、充足储备：根据东方市规模人口结构及历史可借鉴情况，合理估算并采购足够数量的应急救援设备和防汛抢险物资，确保关键时刻物资不短缺。</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sz w:val="21"/>
                <w:b/>
              </w:rPr>
              <w:t>特别说明：</w:t>
            </w:r>
          </w:p>
          <w:p>
            <w:pPr>
              <w:pStyle w:val="null3"/>
              <w:ind w:firstLine="422"/>
              <w:jc w:val="both"/>
            </w:pPr>
            <w:r>
              <w:rPr>
                <w:rFonts w:ascii="仿宋_GB2312" w:hAnsi="仿宋_GB2312" w:cs="仿宋_GB2312" w:eastAsia="仿宋_GB2312"/>
                <w:sz w:val="21"/>
                <w:b/>
              </w:rPr>
              <w:t>1、本项目的采购需求不限定或者指定特定的专利、商标、品牌或者供应商。为能准确清楚地说明采购项目的技术标准和要求，采购需求中若有引用在市场上具有可替代性的货物品牌或生产供应商，则视为在所引用的货物品牌或生产供应商名称前加上“参照或相当于” 的字样。</w:t>
            </w:r>
          </w:p>
          <w:p>
            <w:pPr>
              <w:pStyle w:val="null3"/>
              <w:ind w:firstLine="422"/>
              <w:jc w:val="both"/>
            </w:pPr>
            <w:r>
              <w:rPr>
                <w:rFonts w:ascii="仿宋_GB2312" w:hAnsi="仿宋_GB2312" w:cs="仿宋_GB2312" w:eastAsia="仿宋_GB2312"/>
                <w:sz w:val="21"/>
                <w:b/>
              </w:rPr>
              <w:t>2、采购需求中非订制的采购标的关于重量、尺寸、体积等的技术参数均为范围值，已列明的固定值均视为约等于（≥或≤）。</w:t>
            </w:r>
          </w:p>
          <w:p>
            <w:pPr>
              <w:pStyle w:val="null3"/>
              <w:ind w:firstLine="422"/>
              <w:jc w:val="both"/>
            </w:pPr>
            <w:r>
              <w:rPr>
                <w:rFonts w:ascii="仿宋_GB2312" w:hAnsi="仿宋_GB2312" w:cs="仿宋_GB2312" w:eastAsia="仿宋_GB2312"/>
                <w:sz w:val="21"/>
                <w:b/>
              </w:rPr>
              <w:t>3、采购需求中若有列明响应的产品、服务所应符合的强制性标准、推荐性标准、团体标准或者企业标准的编号、名称，相关编号、名称若已废止或与产品生产、提供的服务实际执行的标准不匹配的，以现行有效或产品生产、服务提供企业公开的标准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ind w:firstLine="420"/>
              <w:jc w:val="both"/>
            </w:pPr>
            <w:r>
              <w:rPr>
                <w:rFonts w:ascii="仿宋_GB2312" w:hAnsi="仿宋_GB2312" w:cs="仿宋_GB2312" w:eastAsia="仿宋_GB2312"/>
                <w:sz w:val="21"/>
              </w:rPr>
              <w:t>（一）交付时间：合同签订生效之日起</w:t>
            </w:r>
            <w:r>
              <w:rPr>
                <w:rFonts w:ascii="仿宋_GB2312" w:hAnsi="仿宋_GB2312" w:cs="仿宋_GB2312" w:eastAsia="仿宋_GB2312"/>
                <w:sz w:val="21"/>
              </w:rPr>
              <w:t>30</w:t>
            </w:r>
            <w:r>
              <w:rPr>
                <w:rFonts w:ascii="仿宋_GB2312" w:hAnsi="仿宋_GB2312" w:cs="仿宋_GB2312" w:eastAsia="仿宋_GB2312"/>
                <w:sz w:val="21"/>
              </w:rPr>
              <w:t>天内</w:t>
            </w:r>
            <w:r>
              <w:rPr>
                <w:rFonts w:ascii="仿宋_GB2312" w:hAnsi="仿宋_GB2312" w:cs="仿宋_GB2312" w:eastAsia="仿宋_GB2312"/>
                <w:sz w:val="21"/>
              </w:rPr>
              <w:t>交付。</w:t>
            </w:r>
          </w:p>
          <w:p>
            <w:pPr>
              <w:pStyle w:val="null3"/>
              <w:ind w:firstLine="420"/>
              <w:jc w:val="both"/>
            </w:pPr>
            <w:r>
              <w:rPr>
                <w:rFonts w:ascii="仿宋_GB2312" w:hAnsi="仿宋_GB2312" w:cs="仿宋_GB2312" w:eastAsia="仿宋_GB2312"/>
              </w:rPr>
              <w:t>（二）</w:t>
            </w:r>
            <w:r>
              <w:rPr>
                <w:rFonts w:ascii="仿宋_GB2312" w:hAnsi="仿宋_GB2312" w:cs="仿宋_GB2312" w:eastAsia="仿宋_GB2312"/>
                <w:sz w:val="21"/>
              </w:rPr>
              <w:t>具体交付地点为采购人指定地点。</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采购资金的支付方式、时间、条件</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严格按照《海南省财政厅关于进一步加强政府采购支持中小企业发展的通知》（</w:t>
      </w:r>
      <w:r>
        <w:rPr>
          <w:rFonts w:ascii="仿宋_GB2312" w:hAnsi="仿宋_GB2312" w:cs="仿宋_GB2312" w:eastAsia="仿宋_GB2312"/>
          <w:sz w:val="21"/>
        </w:rPr>
        <w:t>2022年6月17日印发）、《海南省财政厅关于进一步优化政府采购营商环境的通知》（</w:t>
      </w:r>
      <w:r>
        <w:rPr>
          <w:rFonts w:ascii="仿宋_GB2312" w:hAnsi="仿宋_GB2312" w:cs="仿宋_GB2312" w:eastAsia="仿宋_GB2312"/>
          <w:sz w:val="21"/>
        </w:rPr>
        <w:t>琼财采〔</w:t>
      </w:r>
      <w:r>
        <w:rPr>
          <w:rFonts w:ascii="仿宋_GB2312" w:hAnsi="仿宋_GB2312" w:cs="仿宋_GB2312" w:eastAsia="仿宋_GB2312"/>
          <w:sz w:val="21"/>
        </w:rPr>
        <w:t>2022〕68号</w:t>
      </w:r>
      <w:r>
        <w:rPr>
          <w:rFonts w:ascii="仿宋_GB2312" w:hAnsi="仿宋_GB2312" w:cs="仿宋_GB2312" w:eastAsia="仿宋_GB2312"/>
          <w:sz w:val="21"/>
        </w:rPr>
        <w:t>）以及</w:t>
      </w:r>
      <w:r>
        <w:rPr>
          <w:rFonts w:ascii="仿宋_GB2312" w:hAnsi="仿宋_GB2312" w:cs="仿宋_GB2312" w:eastAsia="仿宋_GB2312"/>
          <w:sz w:val="21"/>
        </w:rPr>
        <w:t>《海南省财政厅关于印发〈海南省政府采购领域优化营商环境提升措施〉的通知》（琼财采〔</w:t>
      </w:r>
      <w:r>
        <w:rPr>
          <w:rFonts w:ascii="仿宋_GB2312" w:hAnsi="仿宋_GB2312" w:cs="仿宋_GB2312" w:eastAsia="仿宋_GB2312"/>
          <w:sz w:val="21"/>
        </w:rPr>
        <w:t>2023〕981号）的规定执行</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1、对于满足合同约定支付条件的，采购人原则上应当自收到发票后5个工作日内将资金支付到合同约定的供应商账户，</w:t>
      </w:r>
      <w:r>
        <w:rPr>
          <w:rFonts w:ascii="仿宋_GB2312" w:hAnsi="仿宋_GB2312" w:cs="仿宋_GB2312" w:eastAsia="仿宋_GB2312"/>
          <w:sz w:val="21"/>
        </w:rPr>
        <w:t>不得以机构变动、人员更替、政策调整等理由延迟付款，不得将采购文件和合同中未规定的义务作为向供应商付款的条件</w:t>
      </w:r>
      <w:r>
        <w:rPr>
          <w:rFonts w:ascii="仿宋_GB2312" w:hAnsi="仿宋_GB2312" w:cs="仿宋_GB2312" w:eastAsia="仿宋_GB2312"/>
          <w:sz w:val="21"/>
        </w:rPr>
        <w:t>，鼓励支付预付款，采购人结合项目特点和供应商资信情况，在签订合同后即预付一定比例的合同款项给成交供应商，预付款比例原则上不低于合同金额的</w:t>
      </w:r>
      <w:r>
        <w:rPr>
          <w:rFonts w:ascii="仿宋_GB2312" w:hAnsi="仿宋_GB2312" w:cs="仿宋_GB2312" w:eastAsia="仿宋_GB2312"/>
          <w:sz w:val="21"/>
        </w:rPr>
        <w:t>30%；对于资信状况良好、履约能力较强的成交供应商，可适当提高预付款比例，但最高不超过合同金额的70%，建议工程项目预付款有特殊规定的除外。</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进一步加强政府采购支持中小企业发展的力度。（</w:t>
      </w:r>
      <w:r>
        <w:rPr>
          <w:rFonts w:ascii="仿宋_GB2312" w:hAnsi="仿宋_GB2312" w:cs="仿宋_GB2312" w:eastAsia="仿宋_GB2312"/>
          <w:sz w:val="21"/>
        </w:rPr>
        <w:t>1）</w:t>
      </w:r>
      <w:r>
        <w:rPr>
          <w:rFonts w:ascii="仿宋_GB2312" w:hAnsi="仿宋_GB2312" w:cs="仿宋_GB2312" w:eastAsia="仿宋_GB2312"/>
          <w:sz w:val="21"/>
        </w:rPr>
        <w:t>严格按照批准的预算开展政府采购，按时足额支付中小企业款项。若满足合同约定支付条件，采购人自收到发票后</w:t>
      </w:r>
      <w:r>
        <w:rPr>
          <w:rFonts w:ascii="仿宋_GB2312" w:hAnsi="仿宋_GB2312" w:cs="仿宋_GB2312" w:eastAsia="仿宋_GB2312"/>
          <w:sz w:val="21"/>
        </w:rPr>
        <w:t>3-5个工作日将资金支付到合同约定的供应商账户。采购人不得以机构变动、人员更替、政策调整等理由延迟付款，不得将采购文件和合同中未规定的义务作为向供应商付款的条件。（</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对于有预留安排的合同，采购人</w:t>
      </w:r>
      <w:r>
        <w:rPr>
          <w:rFonts w:ascii="仿宋_GB2312" w:hAnsi="仿宋_GB2312" w:cs="仿宋_GB2312" w:eastAsia="仿宋_GB2312"/>
          <w:sz w:val="21"/>
        </w:rPr>
        <w:t>将合同预付款比例提高到</w:t>
      </w:r>
      <w:r>
        <w:rPr>
          <w:rFonts w:ascii="仿宋_GB2312" w:hAnsi="仿宋_GB2312" w:cs="仿宋_GB2312" w:eastAsia="仿宋_GB2312"/>
          <w:sz w:val="21"/>
        </w:rPr>
        <w:t>30%以上；对于资信状况良好、履约能力较强的成交供应商，可适当提高预付款比例，但最高不超过合同金额的70%，建议工程项目预付款有特殊规定的除外。</w:t>
      </w:r>
    </w:p>
    <w:p>
      <w:pPr>
        <w:pStyle w:val="null3"/>
        <w:ind w:firstLine="420"/>
        <w:jc w:val="both"/>
      </w:pPr>
      <w:r>
        <w:rPr>
          <w:rFonts w:ascii="仿宋_GB2312" w:hAnsi="仿宋_GB2312" w:cs="仿宋_GB2312" w:eastAsia="仿宋_GB2312"/>
          <w:sz w:val="21"/>
        </w:rPr>
        <w:t>3、采购人和供应商对资金支付产生争议的，应当按照法律规定和合同约定及时解决，保证资金支付效率。</w:t>
      </w:r>
    </w:p>
    <w:p>
      <w:pPr>
        <w:pStyle w:val="null3"/>
        <w:ind w:firstLine="420"/>
        <w:jc w:val="both"/>
      </w:pPr>
      <w:r>
        <w:rPr>
          <w:rFonts w:ascii="仿宋_GB2312" w:hAnsi="仿宋_GB2312" w:cs="仿宋_GB2312" w:eastAsia="仿宋_GB2312"/>
          <w:sz w:val="21"/>
        </w:rPr>
        <w:t>4、采购人逾期支付资金应承担违约责任。采购人若存在逾期支付资金情形的，供应商有权向相关财政部门报告，由财政部门启动政府采购合同资金支付预警监控机制，发现逾期支付资金问题的，视情况进行通报、约谈，依法依规追究责任。</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履约验收程序：  1、采购合同约定的履约验收条件达到时，供应商应当组织内部自验，自验合格后及时向采购人书面提出履约验收申请，自验情况作为履约验收相关证明材料。 2、采购人应当自收到验收申请之日起7个工作日内启动项目验收，并向供应商发送验收通知。技术复杂、专业性强以及重大民生、金额较大的政府采购项目，验收准备时间可适当延长。 3、采购人应当成立履约验收小组，负责采购项目履约验收具体工作，出具验收意见，并对验收意见负责。 4、履约验收小组应当由3人以上单数组成，并确定一名负责人。参与本采购项目评审的采购人代表不能作为负责人。履约验收小组成员应当是熟悉采购需求和技术要求的人员。对于采购人和使用人分离的采购项目，应当邀请实际使用人参与验收。技术复杂、专业性较强的采购项目，可以邀请相关领域专业技术人员作为履约验收小组成员参与验收。 前期参与本采购项目相关采购活动的采购代理机构工作人员、评审专家以及政府采购回避制度规定的与供应商有利害关系的人员，不得作为履约验收小组成员参与履约验收。 财政部门政府采购监管人员不得作为履约验收小组成员参与履约验收。 5、根据采购项目特点和实际需要，采购人、采购代理机构可以邀请参与本采购项目的其他供应商或者专业机构及专家参与验收，相关意见作为履约验收的参考资料，并按照验收档案进行管理。 大型或者复杂的项目，应当邀请国家认可的质量检测机构参加验收。 政府向社会公众提供的公共服务项目，验收时应当邀请服务对象参与并出具意见，验收结果应当向社会公告。 6、履约验收方式可以根据采购项目特点、市场实际和履约风险控制等情况，采用一次性验收、分节点验收和分期验收等方式。 7、履约验收小组应当认真履行项目验收职责，按照履约验收方案实施验收，确保验收意见客观真实反映合同履行情况。 （1）确认验收方案。履约验收小组应根据采购文件和采购合同等履约验收基本依据进行确认。履约验收小组发现履约验收方案存在歧义、重大缺陷导致验收工作无法进行，或者验收过程违反有关法律法规规定的，应当及时与采购人沟通并作书面记录。 （2）实施验收。履约验收小组应当根据履约验收方案，对供应商提供的货物、工程或者服务按照履约验收基本依据对每一项技术、服务、安全标准的履约情况进行确认。分节点、分期验收的，应当根据采购合同和项目特点进行分节点、分期验收。 （3）出具验收意见。履约验收结束后，履约验收小组以书面形式作出结论性意见，列明各项标准的验收情况及项目总体评价，形成验收意见报告，由履约验收小组和供应商共同签署。分节点、分期验收的，应当出具分节点、分期验收意见。 8、履约验收小组成员应当独立发表验收意见。履约验收小组成员对需要共同认定的事项存在争议的，应当按照少数服从多数的原则作出结论。对验收意见报告载明的结论有异议的履约验收小组成员，应当在验收意见报告上签署不同意见并说明理由，否则视为同意验收意见报告。 9、供应商对验收意见报告载明的结论有异议的，应当在签署验收意见报告前向履约验收小组说明情况，履约验收小组应当对有异议的验收事项进行复核。复核后供应商仍不认可验收意见报告结论的，按照采购合同约定的方式解决。 10、采购人应当对履约验收小组报送的验收意见报告进行确认。确认验收合格的，采购人应当在验收意见报告签字并加盖公章；验收意见与采购合同不一致的，采购人应当根据验收意见中载明的具体偏差内容和处置建议，研究确定验收意见并加盖公章；验收意见中存在履约验收小组成员其他异议意见的，采购人应当对异议事项进行复核，妥善处置。 11、验收结果与采购合同约定的内容不完全符合，但经履约验收小组确认，供应商所提供的货物、工程和服务比合同约定内容提高了使用功能、标准或者属于技术更新换代产品的，在不影响、不降低整个采购项目的运行质量和功能以及合同金额不提高的前提下，可以验收通过。 12、功能简单且属于标准定制的货物采购项目和需求单一且属于通用的服务采购项目，可以适当简化验收流程，由采购人指定熟悉采购需求的人员，直接对合同约定的技术、服务、标准等内容进行验收，提出</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采购人根据采购项目的特殊要求，所规定的供应商提供其符合特殊要求的证明材料或者情况说明</w:t>
            </w:r>
          </w:p>
        </w:tc>
        <w:tc>
          <w:tcPr>
            <w:tcW w:type="dxa" w:w="3322"/>
          </w:tcPr>
          <w:p>
            <w:pPr>
              <w:pStyle w:val="null3"/>
              <w:jc w:val="left"/>
            </w:pPr>
            <w:r>
              <w:rPr>
                <w:rFonts w:ascii="仿宋_GB2312" w:hAnsi="仿宋_GB2312" w:cs="仿宋_GB2312" w:eastAsia="仿宋_GB2312"/>
              </w:rPr>
              <w:t>（1）参加政府采购活动前3年内没有环保类重大违法记录的书面声明； （2）供应商应当从采购人或者采购代理机构合法获得采购项目的磋商文件； （3）本项目不接受联合体磋商； （4）成交供应商成交后不得将成交项目分包或转让给其他主体实施。</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在政府采购活动中查询及使用信用记录</w:t>
            </w:r>
          </w:p>
        </w:tc>
        <w:tc>
          <w:tcPr>
            <w:tcW w:type="dxa" w:w="3322"/>
          </w:tcPr>
          <w:p>
            <w:pPr>
              <w:pStyle w:val="null3"/>
              <w:jc w:val="left"/>
            </w:pPr>
            <w:r>
              <w:rPr>
                <w:rFonts w:ascii="仿宋_GB2312" w:hAnsi="仿宋_GB2312" w:cs="仿宋_GB2312" w:eastAsia="仿宋_GB2312"/>
              </w:rPr>
              <w:t>在政府采购活动中查询及使用信用记录查询渠道及截止时点：（1）采购人、采购代理机构通过“信用中国”网站（www.creditchina.gov.cn）、中国政府采购网（www.ccgp.gov.cn）等渠道查询相关供应商的信用记录，以采购文件要求（确定）的提交投标（响应）文件截止时间为查询截止时点。 （2）信用信息查询记录和证据留存的具体方式：采取必要方式（书证、电子数据等）做好信用信息查询记录和证据留存，信用信息查询记录及相关证据与其他采购文件一并保存。 （3）信用信息的使用规则：对列入失信被执行人、重大税收违法失信主体（案件当事人名单）、政府采购严重违法失信行为记录名单及其他不符合《中华人民共和国政府采购法》第二十二条规定条件的供应商，应当拒绝其参与政府采购活动；两个以上的自然人、法人或者其他组织组成的一个联合体，以一个供应商的身份共同参加政府采购活动的，应当对所有联合体成员进行信用记录查询，联合体成员存在不良信用记录的，视同联合体存在不良信用记录；采购人及采购代理机构应当妥善保管相关供应商信用信息，不得用于政府采购以外事项。</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技术部分12.00分</w:t>
            </w:r>
          </w:p>
          <w:p>
            <w:pPr>
              <w:pStyle w:val="null3"/>
              <w:jc w:val="left"/>
            </w:pPr>
            <w:r>
              <w:rPr>
                <w:rFonts w:ascii="仿宋_GB2312" w:hAnsi="仿宋_GB2312" w:cs="仿宋_GB2312" w:eastAsia="仿宋_GB2312"/>
              </w:rPr>
              <w:t>商务部分58.00分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满足项目的技术参数及产品功能要求</w:t>
            </w:r>
          </w:p>
        </w:tc>
        <w:tc>
          <w:tcPr>
            <w:tcW w:type="dxa" w:w="2492"/>
          </w:tcPr>
          <w:p>
            <w:pPr>
              <w:pStyle w:val="null3"/>
              <w:jc w:val="left"/>
            </w:pPr>
            <w:r>
              <w:rPr>
                <w:rFonts w:ascii="仿宋_GB2312" w:hAnsi="仿宋_GB2312" w:cs="仿宋_GB2312" w:eastAsia="仿宋_GB2312"/>
              </w:rPr>
              <w:t>1、“★”代表最关键指标、参数，不满足“★”号条款要求的为无效投标。技术偏离表中“投标文件响应情况”应如实填写，并与“招标文件技术要求”一一对应，如简单填写“响应或者完全响应”将视为实质性不满足，视为投标无效。 2、分值12分，响应文件一般技术指标、参数与招标文件规定的共计60项相应指标、参数相比较，不满足要求的，每有一项扣0.2分。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与实现项目目标相关的因素</w:t>
            </w:r>
          </w:p>
        </w:tc>
        <w:tc>
          <w:tcPr>
            <w:tcW w:type="dxa" w:w="2492"/>
          </w:tcPr>
          <w:p>
            <w:pPr>
              <w:pStyle w:val="null3"/>
              <w:jc w:val="left"/>
            </w:pPr>
            <w:r>
              <w:rPr>
                <w:rFonts w:ascii="仿宋_GB2312" w:hAnsi="仿宋_GB2312" w:cs="仿宋_GB2312" w:eastAsia="仿宋_GB2312"/>
              </w:rPr>
              <w:t>根据供应商针对本项目成立的工作项目组情况进行评价：①成立工作项目组并制定工作流程，可组织保障项目完成的，得8分；②方案在满足①的基础上，针对项目成立专业、分工明确的项目组且明确责任人，有能力保障项目稳定有序完成的，得12分；③未提供方案或方案描述与本项目无关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项目总体实施方案</w:t>
            </w:r>
          </w:p>
        </w:tc>
        <w:tc>
          <w:tcPr>
            <w:tcW w:type="dxa" w:w="2492"/>
          </w:tcPr>
          <w:p>
            <w:pPr>
              <w:pStyle w:val="null3"/>
              <w:jc w:val="left"/>
            </w:pPr>
            <w:r>
              <w:rPr>
                <w:rFonts w:ascii="仿宋_GB2312" w:hAnsi="仿宋_GB2312" w:cs="仿宋_GB2312" w:eastAsia="仿宋_GB2312"/>
              </w:rPr>
              <w:t>根据投标人提供的本项目总体实施方案进行评价：①投标人提供与本项目有关的方案的，得10分；②方案在满足①的基础上，针对商务条件和采购需求制定符合本项目的实施方案，且方案包括对项目的理解、组织架构、人员安排、管理和协调方法等，详细完整、合理可行的，得14分；③未提供方案或方案描述与本项目无关的，得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供货方案</w:t>
            </w:r>
          </w:p>
        </w:tc>
        <w:tc>
          <w:tcPr>
            <w:tcW w:type="dxa" w:w="2492"/>
          </w:tcPr>
          <w:p>
            <w:pPr>
              <w:pStyle w:val="null3"/>
              <w:jc w:val="left"/>
            </w:pPr>
            <w:r>
              <w:rPr>
                <w:rFonts w:ascii="仿宋_GB2312" w:hAnsi="仿宋_GB2312" w:cs="仿宋_GB2312" w:eastAsia="仿宋_GB2312"/>
              </w:rPr>
              <w:t>方案包括但不限于项目实施计划、质量监控方案、安装与调试方案等。能结合本项目特点切实可行或方案不存在瑕疵的，得14分；方案存在1处瑕疵的，得10分；方案存在2处瑕疵的，得7分，不提供方案或不满足项目需求或方案存在3处（含）以上瑕疵的，得 0 分。 （注：瑕疵，指内容不完整或缺少关键点；非专门针对本项目或不适用本项目，套用其他项目内容；对同一问题前后表述矛盾；存在逻辑漏洞、科学原理或常识性的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业绩经验</w:t>
            </w:r>
          </w:p>
        </w:tc>
        <w:tc>
          <w:tcPr>
            <w:tcW w:type="dxa" w:w="2492"/>
          </w:tcPr>
          <w:p>
            <w:pPr>
              <w:pStyle w:val="null3"/>
              <w:jc w:val="left"/>
            </w:pPr>
            <w:r>
              <w:rPr>
                <w:rFonts w:ascii="仿宋_GB2312" w:hAnsi="仿宋_GB2312" w:cs="仿宋_GB2312" w:eastAsia="仿宋_GB2312"/>
              </w:rPr>
              <w:t>根据供应商2022年1月1日以来承担过的类似业绩进行评价：每提供1个业绩，得3分，本项满分为6分。不提供业绩者得0分。（注：（1）类似业绩是指非特定行政区域或特定行业、非特定金额的与本项目类似项目的业绩。（2）提供相关证明材料，复印件加盖供应商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对项目售后服务方案进行评价：内容包括但不限于：验收合格后售后服务体系、服务措施、服务标准、服务内容与范围等方面，服务承诺详细完整满足项目要求或方案不存在瑕疵的，得12分；具有售后服务承诺和服务体系或方案存在1处瑕疵的，得7分；售后服务体系不完备或方案存在2处瑕疵的，得4分；没有售后服务体系或不满足项目要求或方案存在3处（含）以上瑕疵的，得 0 分。（注：瑕疵，指内容不完整或缺少关键点；非专门针对本项目或不适用本项目，套用其他项目内容；对同一问题前后表述矛盾；存在逻辑漏洞、科学原理或常识性的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价格评审</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11.00%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HNJS2025-C001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东方市应急管理局2024年防汛抢险物资采购项目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东方市应急管理局2024年防汛抢险物资采购项目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A02340800-应急救援设备类</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1190020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A07099900-其他橡胶、塑料、玻璃和陶瓷制品</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1895330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