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东河镇种鳄采购（沧龙公司）</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HNYY2025-T001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东方市东河镇人民政府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海南雅雅实业有限责任公司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2.3供应商完成响应文件编制后，应按照谈判文件第六章明确的签章要求，使用互认的证书及签章对响应文件进行电子签章和加密。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谈判文件澄清或者修改的内容可能影响谈判文件编制的，代理机构将重新发布澄清或者修改后的谈判文件，供应商应重新获取澄清或者修改后的谈判文件，按照澄清或者修改后的谈判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供应商未按谈判文件要求提供备用响应文件的。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政府采购谈判邀请函</w:t>
      </w:r>
    </w:p>
    <w:p>
      <w:pPr>
        <w:pStyle w:val="null3"/>
        <w:ind w:firstLine="480"/>
        <w:jc w:val="left"/>
      </w:pPr>
      <w:r>
        <w:rPr>
          <w:rFonts w:ascii="仿宋_GB2312" w:hAnsi="仿宋_GB2312" w:cs="仿宋_GB2312" w:eastAsia="仿宋_GB2312"/>
        </w:rPr>
        <w:t>受</w:t>
      </w:r>
      <w:r>
        <w:rPr>
          <w:rFonts w:ascii="仿宋_GB2312" w:hAnsi="仿宋_GB2312" w:cs="仿宋_GB2312" w:eastAsia="仿宋_GB2312"/>
        </w:rPr>
        <w:t>东方市东河镇人民政府</w:t>
      </w:r>
      <w:r>
        <w:rPr>
          <w:rFonts w:ascii="仿宋_GB2312" w:hAnsi="仿宋_GB2312" w:cs="仿宋_GB2312" w:eastAsia="仿宋_GB2312"/>
        </w:rPr>
        <w:t xml:space="preserve"> 的委托， </w:t>
      </w:r>
      <w:r>
        <w:rPr>
          <w:rFonts w:ascii="仿宋_GB2312" w:hAnsi="仿宋_GB2312" w:cs="仿宋_GB2312" w:eastAsia="仿宋_GB2312"/>
        </w:rPr>
        <w:t>海南雅雅实业有限责任公司</w:t>
      </w:r>
      <w:r>
        <w:rPr>
          <w:rFonts w:ascii="仿宋_GB2312" w:hAnsi="仿宋_GB2312" w:cs="仿宋_GB2312" w:eastAsia="仿宋_GB2312"/>
        </w:rPr>
        <w:t xml:space="preserve"> 对 </w:t>
      </w:r>
      <w:r>
        <w:rPr>
          <w:rFonts w:ascii="仿宋_GB2312" w:hAnsi="仿宋_GB2312" w:cs="仿宋_GB2312" w:eastAsia="仿宋_GB2312"/>
        </w:rPr>
        <w:t>东河镇种鳄采购（沧龙公司）</w:t>
      </w:r>
      <w:r>
        <w:rPr>
          <w:rFonts w:ascii="仿宋_GB2312" w:hAnsi="仿宋_GB2312" w:cs="仿宋_GB2312" w:eastAsia="仿宋_GB2312"/>
        </w:rPr>
        <w:t xml:space="preserve"> 项目进行竞争性谈判采购。 </w:t>
      </w:r>
      <w:r>
        <w:rPr>
          <w:rFonts w:ascii="仿宋_GB2312" w:hAnsi="仿宋_GB2312" w:cs="仿宋_GB2312" w:eastAsia="仿宋_GB2312"/>
        </w:rPr>
        <w:t>现欢迎国内合格的供应商前来参加。</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HNYY2025-T001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东河镇种鳄采购（沧龙公司）</w:t>
      </w:r>
    </w:p>
    <w:p>
      <w:pPr>
        <w:pStyle w:val="null3"/>
        <w:ind w:firstLine="480"/>
        <w:jc w:val="left"/>
      </w:pPr>
      <w:r>
        <w:rPr>
          <w:rFonts w:ascii="仿宋_GB2312" w:hAnsi="仿宋_GB2312" w:cs="仿宋_GB2312" w:eastAsia="仿宋_GB2312"/>
        </w:rPr>
        <w:t>3.采购方式：竞争性谈判</w:t>
      </w:r>
    </w:p>
    <w:p>
      <w:pPr>
        <w:pStyle w:val="null3"/>
        <w:ind w:firstLine="480"/>
        <w:jc w:val="left"/>
      </w:pPr>
      <w:r>
        <w:rPr>
          <w:rFonts w:ascii="仿宋_GB2312" w:hAnsi="仿宋_GB2312" w:cs="仿宋_GB2312" w:eastAsia="仿宋_GB2312"/>
        </w:rPr>
        <w:t>4.预算金额：</w:t>
      </w:r>
    </w:p>
    <w:p>
      <w:pPr>
        <w:pStyle w:val="null3"/>
        <w:jc w:val="left"/>
      </w:pPr>
      <w:r>
        <w:rPr>
          <w:rFonts w:ascii="仿宋_GB2312" w:hAnsi="仿宋_GB2312" w:cs="仿宋_GB2312" w:eastAsia="仿宋_GB2312"/>
        </w:rPr>
        <w:t>采购包1：3,800,000.00元</w:t>
      </w:r>
      <w:r>
        <w:rPr>
          <w:rFonts w:ascii="仿宋_GB2312" w:hAnsi="仿宋_GB2312" w:cs="仿宋_GB2312" w:eastAsia="仿宋_GB2312"/>
        </w:rPr>
        <w:t>叁佰捌拾万元整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合同签订生效之日起180天内交付完成</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1.符合《政府采购法》第二十二条规定的条件；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1、采购人根据采购项目的特殊要求， 所规定的供应商提供其符合特殊要 求的证明材料或者情况说明：（1）参加政府采购活动前3年内没有环保类重大违法记录的书面声明； （2）供应商应当从采购人或者采购代理机构合法获得采购项目的谈判文件； （3）本项目不接受联合体谈判； （4）成交供应商成交后不得将项目分包或转让给其他主体实施。 （5）响应本项目的供应商，应持有所合法有效的《水生野生动物人工繁育许可证》。</w:t>
      </w:r>
    </w:p>
    <w:p>
      <w:pPr>
        <w:pStyle w:val="null3"/>
        <w:jc w:val="left"/>
      </w:pPr>
      <w:r>
        <w:rPr>
          <w:rFonts w:ascii="仿宋_GB2312" w:hAnsi="仿宋_GB2312" w:cs="仿宋_GB2312" w:eastAsia="仿宋_GB2312"/>
        </w:rPr>
        <w:t>2、在政府采购活动中查询及使用信用记录：（1）查询渠道及截止时点：采购人、采购代理机构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 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p>
      <w:pPr>
        <w:pStyle w:val="null3"/>
        <w:jc w:val="left"/>
        <w:outlineLvl w:val="2"/>
      </w:pPr>
      <w:r>
        <w:rPr>
          <w:rFonts w:ascii="仿宋_GB2312" w:hAnsi="仿宋_GB2312" w:cs="仿宋_GB2312" w:eastAsia="仿宋_GB2312"/>
          <w:sz w:val="28"/>
          <w:b/>
        </w:rPr>
        <w:t>三、获取谈判文件</w:t>
      </w:r>
    </w:p>
    <w:p>
      <w:pPr>
        <w:pStyle w:val="null3"/>
        <w:ind w:firstLine="480"/>
        <w:jc w:val="left"/>
      </w:pPr>
      <w:r>
        <w:rPr>
          <w:rFonts w:ascii="仿宋_GB2312" w:hAnsi="仿宋_GB2312" w:cs="仿宋_GB2312" w:eastAsia="仿宋_GB2312"/>
        </w:rPr>
        <w:t>1.时间：遵照竞争性谈判公告或更正公告的相关约定（北京时间）。</w:t>
      </w:r>
    </w:p>
    <w:p>
      <w:pPr>
        <w:pStyle w:val="null3"/>
        <w:ind w:firstLine="480"/>
        <w:jc w:val="left"/>
      </w:pPr>
      <w:r>
        <w:rPr>
          <w:rFonts w:ascii="仿宋_GB2312" w:hAnsi="仿宋_GB2312" w:cs="仿宋_GB2312" w:eastAsia="仿宋_GB2312"/>
        </w:rPr>
        <w:t>2.在谈判文件获取期限内，供应商应通过海南省政府采购智慧云平台注册账号（免费注册）并获取谈判文件(登录海南省政府采购智慧云平台进行文件获取)，否则报价响应将被拒绝。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谈判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2.地点：遵照竞争性谈判公告或更正公告的相关约定。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1.时间：遵照竞争性谈判公告或更正公告的相关约定。</w:t>
      </w:r>
    </w:p>
    <w:p>
      <w:pPr>
        <w:pStyle w:val="null3"/>
        <w:ind w:firstLine="480"/>
        <w:jc w:val="left"/>
      </w:pPr>
      <w:r>
        <w:rPr>
          <w:rFonts w:ascii="仿宋_GB2312" w:hAnsi="仿宋_GB2312" w:cs="仿宋_GB2312" w:eastAsia="仿宋_GB2312"/>
        </w:rPr>
        <w:t>2.地点：遵照竞争性谈判公告或更正公告的相关约定。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六、竞争性谈判公告期限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东方市东河镇人民政府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东方市东河镇东政街1号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倪俊鑫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13627516685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海南雅雅实业有限责任公司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海垦街道八一新村A2栋401房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符佳瑾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13322065478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left"/>
      </w:pPr>
      <w:r>
        <w:rPr>
          <w:rFonts w:ascii="仿宋_GB2312" w:hAnsi="仿宋_GB2312" w:cs="仿宋_GB2312" w:eastAsia="仿宋_GB2312"/>
        </w:rPr>
        <w:t>2.有关本项目谈判文件的补遗、澄清及变更信息以上述网站公告与下载为准，采购代理机构不再另行通知，谈判文件与更正公告的内容相互矛盾时，以最后发出的更正公告内容为准。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采购包1：3,800,000.00元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谈判保证金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代理服务费收费标准：参照《国家计委关于印发&lt;招标代理服务收费管理暂行方法&gt;的通知》（计价格[2002]1980号）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异常低价响应审查：1、政府采购评审中出现下列情形之一的，竞争性谈判小组应当启动异常低价响应审查程序：(一)响应报价低于全部通过符合性审查供应商响应报价平均值50%的，即响应报价&lt;全部通过符合性审查供应商响应报价平均值×50%；(二)响应报价低于通过符合性审查且报价次低供应商响应报价50%的，即响应报价&lt;通过符合性审查且报价次低供应商响应报价×50%；(三)响应报价低于采购项目最高限价45%的，即响应报价&lt;采购项目最高限价×45%；(四)其他竞争性谈判小组认为供应商报价过低，有可能影响产品质量或者不能诚信履约的情形。 2、竞争性谈判小组启动异常低价响应审查后，应当要求相关供应商在评审现场合理的时间内提供书面说明及必要的证明材料，对响应价格作出解释。书面说明、证明材料主要是项目具体成本测算等与报价合理性相关的说明、材料。 3、竞争性谈判小组应当结合同类产品在主要电商平台的价格、该行业当地薪资水平等情况，依据专业经验对报价合理性进行判断。如果响应供应商不提供书面说明、证明材料，或者提供的书面说明、证明材料不能证明其报价合理性的，应当将其作为无效响应处理。审查相关情况应当在评审报告中记录。 4、出现采购文件规定的异常低价情形，竞争性谈判小组未根据采购文件规定作出处理的，财政部门将按照《中华人民共和国政府采购法实施条例》第七十五条追究评审专家的法律责任。</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“采购单位”指谈判文件中所述所有货物及相关服务的甲方。</w:t>
      </w:r>
    </w:p>
    <w:p>
      <w:pPr>
        <w:pStyle w:val="null3"/>
        <w:ind w:firstLine="480"/>
        <w:jc w:val="both"/>
      </w:pPr>
      <w:r>
        <w:rPr>
          <w:rFonts w:ascii="仿宋_GB2312" w:hAnsi="仿宋_GB2312" w:cs="仿宋_GB2312" w:eastAsia="仿宋_GB2312"/>
        </w:rPr>
        <w:t>2.1.3 “货物”是指供应商制造或组织符合谈判文件要求的货物等。谈判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谈判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“供应商”指按谈判文件规定取得谈判文件并参加交易活动谈判的供应商。</w:t>
      </w:r>
    </w:p>
    <w:p>
      <w:pPr>
        <w:pStyle w:val="null3"/>
        <w:ind w:firstLine="480"/>
        <w:jc w:val="both"/>
      </w:pPr>
      <w:r>
        <w:rPr>
          <w:rFonts w:ascii="仿宋_GB2312" w:hAnsi="仿宋_GB2312" w:cs="仿宋_GB2312" w:eastAsia="仿宋_GB2312"/>
        </w:rPr>
        <w:t>2.1.6 “成交人”是指经谈判小组评审，授予合同的供应商。</w:t>
      </w:r>
    </w:p>
    <w:p>
      <w:pPr>
        <w:pStyle w:val="null3"/>
        <w:ind w:firstLine="480"/>
        <w:jc w:val="both"/>
      </w:pPr>
      <w:r>
        <w:rPr>
          <w:rFonts w:ascii="仿宋_GB2312" w:hAnsi="仿宋_GB2312" w:cs="仿宋_GB2312" w:eastAsia="仿宋_GB2312"/>
        </w:rPr>
        <w:t>2.1.7 谈判文件中涉及的时间均为北京时间。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适用于谈判文件载明项目的政府采购活动（以下简称：“本次采购活动”）。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如供应商是银行、保险、石油石化、电力、电信行业的，分支机构可参与本项目的政府采购活动。谈判文件中涉及要求提供“法定代表人”相关证明材料的，提供分支机构“负责人”的相关证明材料。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政府采购谈判邀请函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2.4谈判费用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2.4.2不论谈判结果如何，供应商应自行承担其准备和参加本次采购活动所涉及的一切费用。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现场考察（如有），采购单位应在规定的时间、地点组织已报名的潜在供应商进行现场考察。（组织时间、地点、联系人、联系电话：遵照竞争性谈判公告或更正公告的相关约定。）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答疑会（如有），采购单位应在规定的时间、地点组织已报名的潜在供应商召开答疑会。（组织时间、地点、联系人、联系电话：遵照竞争性谈判公告或更正公告的相关约定。）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三、谈判文件</w:t>
      </w:r>
    </w:p>
    <w:p>
      <w:pPr>
        <w:pStyle w:val="null3"/>
        <w:ind w:firstLine="480"/>
        <w:jc w:val="both"/>
      </w:pPr>
      <w:r>
        <w:rPr>
          <w:rFonts w:ascii="仿宋_GB2312" w:hAnsi="仿宋_GB2312" w:cs="仿宋_GB2312" w:eastAsia="仿宋_GB2312"/>
        </w:rPr>
        <w:t>3.1谈判文件的组成</w:t>
      </w:r>
    </w:p>
    <w:p>
      <w:pPr>
        <w:pStyle w:val="null3"/>
        <w:ind w:firstLine="480"/>
        <w:jc w:val="both"/>
      </w:pPr>
      <w:r>
        <w:rPr>
          <w:rFonts w:ascii="仿宋_GB2312" w:hAnsi="仿宋_GB2312" w:cs="仿宋_GB2312" w:eastAsia="仿宋_GB2312"/>
        </w:rPr>
        <w:t>3.1.1谈判文件由五部分组成，包括：</w:t>
      </w:r>
    </w:p>
    <w:p>
      <w:pPr>
        <w:pStyle w:val="null3"/>
        <w:ind w:firstLine="480"/>
        <w:jc w:val="both"/>
      </w:pPr>
      <w:r>
        <w:rPr>
          <w:rFonts w:ascii="仿宋_GB2312" w:hAnsi="仿宋_GB2312" w:cs="仿宋_GB2312" w:eastAsia="仿宋_GB2312"/>
        </w:rPr>
        <w:t>第一章 政府采购谈判邀请函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3.1.2供应商被视为充分熟悉本采购项目所在地的与履行合同有关的各种情况，包括自然环境、气候条件、劳动力及公用设施等，本谈判文件不再对上述情况进行描述。</w:t>
      </w:r>
    </w:p>
    <w:p>
      <w:pPr>
        <w:pStyle w:val="null3"/>
        <w:ind w:firstLine="480"/>
        <w:jc w:val="both"/>
      </w:pPr>
      <w:r>
        <w:rPr>
          <w:rFonts w:ascii="仿宋_GB2312" w:hAnsi="仿宋_GB2312" w:cs="仿宋_GB2312" w:eastAsia="仿宋_GB2312"/>
        </w:rPr>
        <w:t>3.1.3 供应商必须详阅谈判文件的所有条款、文件及表格格式。供应商若未按谈判文件的要求和规范编制、提交响应文件，将有可能导致响应文件被拒绝接受，所造成的负面后果由供应商负责。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3.2谈判文件的澄清和修改</w:t>
      </w:r>
    </w:p>
    <w:p>
      <w:pPr>
        <w:pStyle w:val="null3"/>
        <w:ind w:firstLine="480"/>
        <w:jc w:val="both"/>
      </w:pPr>
      <w:r>
        <w:rPr>
          <w:rFonts w:ascii="仿宋_GB2312" w:hAnsi="仿宋_GB2312" w:cs="仿宋_GB2312" w:eastAsia="仿宋_GB2312"/>
        </w:rPr>
        <w:t>3.2.1供应商应仔细阅读和检查谈判文件的全部内容。如发现缺项或谈判文件构成要件不全，应及时向采购代理机构提出，以便获得文件补全。</w:t>
      </w:r>
    </w:p>
    <w:p>
      <w:pPr>
        <w:pStyle w:val="null3"/>
        <w:ind w:firstLine="480"/>
        <w:jc w:val="both"/>
      </w:pPr>
      <w:r>
        <w:rPr>
          <w:rFonts w:ascii="仿宋_GB2312" w:hAnsi="仿宋_GB2312" w:cs="仿宋_GB2312" w:eastAsia="仿宋_GB2312"/>
        </w:rPr>
        <w:t>3.2.2谈判文件发出后，采购代理机构和采购单位可以对谈判文件进行澄清和修改。澄清和修改的内容{{采购代理机构名称}}将以法定网站上公告的方式通知。（网址详见政府采购谈判邀请函）</w:t>
      </w:r>
    </w:p>
    <w:p>
      <w:pPr>
        <w:pStyle w:val="null3"/>
        <w:ind w:firstLine="480"/>
        <w:jc w:val="both"/>
      </w:pPr>
      <w:r>
        <w:rPr>
          <w:rFonts w:ascii="仿宋_GB2312" w:hAnsi="仿宋_GB2312" w:cs="仿宋_GB2312" w:eastAsia="仿宋_GB2312"/>
        </w:rPr>
        <w:t>3.2.3当谈判文件、更正公告等内容相互矛盾时，以最后发出的更正公告为准。</w:t>
      </w:r>
    </w:p>
    <w:p>
      <w:pPr>
        <w:pStyle w:val="null3"/>
        <w:ind w:firstLine="480"/>
        <w:jc w:val="both"/>
      </w:pPr>
      <w:r>
        <w:rPr>
          <w:rFonts w:ascii="仿宋_GB2312" w:hAnsi="仿宋_GB2312" w:cs="仿宋_GB2312" w:eastAsia="仿宋_GB2312"/>
        </w:rPr>
        <w:t>3.2.4谈判文件的澄清和更正内容是谈判文件的组成部分，对供应商具有约束力,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 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4.3谈判保证金（如有）</w:t>
      </w:r>
    </w:p>
    <w:p>
      <w:pPr>
        <w:pStyle w:val="null3"/>
        <w:ind w:firstLine="480"/>
        <w:jc w:val="both"/>
      </w:pPr>
      <w:r>
        <w:rPr>
          <w:rFonts w:ascii="仿宋_GB2312" w:hAnsi="仿宋_GB2312" w:cs="仿宋_GB2312" w:eastAsia="仿宋_GB2312"/>
        </w:rPr>
        <w:t>4.3.1谈判保证金是参加本项目谈判的必要条件，保证金到账截止时间即提交响应文件截止时间（具体时间详见“第一章 政府采购谈判邀请函”）。</w:t>
      </w:r>
    </w:p>
    <w:p>
      <w:pPr>
        <w:pStyle w:val="null3"/>
        <w:ind w:firstLine="480"/>
        <w:jc w:val="both"/>
      </w:pPr>
      <w:r>
        <w:rPr>
          <w:rFonts w:ascii="仿宋_GB2312" w:hAnsi="仿宋_GB2312" w:cs="仿宋_GB2312" w:eastAsia="仿宋_GB2312"/>
        </w:rPr>
        <w:t>4.3.2谈判保证金缴纳方式：</w:t>
      </w:r>
    </w:p>
    <w:p>
      <w:pPr>
        <w:pStyle w:val="null3"/>
        <w:ind w:firstLine="480"/>
        <w:jc w:val="both"/>
      </w:pPr>
      <w:r>
        <w:rPr>
          <w:rFonts w:ascii="仿宋_GB2312" w:hAnsi="仿宋_GB2312" w:cs="仿宋_GB2312" w:eastAsia="仿宋_GB2312"/>
        </w:rPr>
        <w:t>4.3.2.1 供应商以汇款形式缴纳谈判保证金的，应从其银行账户（基本存款账户）按照下列方式：公对公转账方式向谈判文件载明的谈判保证金账户提交谈判保证金。</w:t>
      </w:r>
    </w:p>
    <w:p>
      <w:pPr>
        <w:pStyle w:val="null3"/>
        <w:ind w:firstLine="480"/>
        <w:jc w:val="both"/>
      </w:pPr>
      <w:r>
        <w:rPr>
          <w:rFonts w:ascii="仿宋_GB2312" w:hAnsi="仿宋_GB2312" w:cs="仿宋_GB2312" w:eastAsia="仿宋_GB2312"/>
        </w:rPr>
        <w:t>4.3.2.2 供应商以电子保函形式提交谈判保证金的，可在谈判文件载明的响应截止时间前通过海南省政府采购智慧云平台“保函服务”栏目办理电子保函并在电汇或银行转账单上注明（项目编号）；在响应截止时间之前将电子保函文件放入响应文件中，否则视为未提交谈判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若本项目接受联合体参与且供应商为联合体，则联合体中的牵头方应按照本章第4.3.2条第4.3.2.1、4.3.2.2点规定提交谈判保证金。</w:t>
      </w:r>
    </w:p>
    <w:p>
      <w:pPr>
        <w:pStyle w:val="null3"/>
        <w:ind w:firstLine="480"/>
        <w:jc w:val="both"/>
      </w:pPr>
      <w:r>
        <w:rPr>
          <w:rFonts w:ascii="仿宋_GB2312" w:hAnsi="仿宋_GB2312" w:cs="仿宋_GB2312" w:eastAsia="仿宋_GB2312"/>
        </w:rPr>
        <w:t>4.3.3若供应商不按规定提交谈判保证金，其响应文件将被拒绝接收。</w:t>
      </w:r>
    </w:p>
    <w:p>
      <w:pPr>
        <w:pStyle w:val="null3"/>
        <w:ind w:firstLine="480"/>
        <w:jc w:val="both"/>
      </w:pPr>
      <w:r>
        <w:rPr>
          <w:rFonts w:ascii="仿宋_GB2312" w:hAnsi="仿宋_GB2312" w:cs="仿宋_GB2312" w:eastAsia="仿宋_GB2312"/>
        </w:rPr>
        <w:t>4.4谈判保证金的退还</w:t>
      </w:r>
    </w:p>
    <w:p>
      <w:pPr>
        <w:pStyle w:val="null3"/>
        <w:ind w:firstLine="480"/>
        <w:jc w:val="both"/>
      </w:pPr>
      <w:r>
        <w:rPr>
          <w:rFonts w:ascii="仿宋_GB2312" w:hAnsi="仿宋_GB2312" w:cs="仿宋_GB2312" w:eastAsia="仿宋_GB2312"/>
        </w:rPr>
        <w:t>4.4.1成交供应商的谈判保证金在其与采购人签订了采购合同之日起5个工作日内无息退还。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4.4.2未成交的供应商的谈判保证金将在成交通知书发出之日起5个工作日内无息退还。</w:t>
      </w:r>
    </w:p>
    <w:p>
      <w:pPr>
        <w:pStyle w:val="null3"/>
        <w:ind w:firstLine="480"/>
        <w:jc w:val="both"/>
      </w:pPr>
      <w:r>
        <w:rPr>
          <w:rFonts w:ascii="仿宋_GB2312" w:hAnsi="仿宋_GB2312" w:cs="仿宋_GB2312" w:eastAsia="仿宋_GB2312"/>
        </w:rPr>
        <w:t>4.4.3发生下列情况之一，谈判保证金将不予退还：</w:t>
      </w:r>
    </w:p>
    <w:p>
      <w:pPr>
        <w:pStyle w:val="null3"/>
        <w:ind w:firstLine="480"/>
        <w:jc w:val="both"/>
      </w:pPr>
      <w:r>
        <w:rPr>
          <w:rFonts w:ascii="仿宋_GB2312" w:hAnsi="仿宋_GB2312" w:cs="仿宋_GB2312" w:eastAsia="仿宋_GB2312"/>
        </w:rPr>
        <w:t>（1）供应商在规定的谈判有效期内撤销或修改其响应文件的；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（5）向采购人、采购机构、谈判小组成员行贿或者提供其他不正当利益的；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4.5谈判有效期</w:t>
      </w:r>
    </w:p>
    <w:p>
      <w:pPr>
        <w:pStyle w:val="null3"/>
        <w:ind w:firstLine="480"/>
        <w:jc w:val="both"/>
      </w:pPr>
      <w:r>
        <w:rPr>
          <w:rFonts w:ascii="仿宋_GB2312" w:hAnsi="仿宋_GB2312" w:cs="仿宋_GB2312" w:eastAsia="仿宋_GB2312"/>
        </w:rPr>
        <w:t>4.5.l 谈判有效期为从递交响应文件的截止之日起，详见第二章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 采购代理机构可于谈判有效期满之前，征得供应商同意延长谈判有效期，要求与答复均应以书面形式进行。供应商可以拒绝接受这一要求而放弃报价，谈判保证金将在规定期限内无息退还。同意这一要求的供应商，无需也不允许修改其响应文件，但须相应延长谈判有效期。受谈判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供应商应在响应文件中提供证明其所投货物、服务的合格性和符合谈判文件规定的相关证明文件。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谈判文件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4.6.4谈判文件中《报价表》、《明细报价表》（若有）、《技术响应表》、《商务响应表》等要求盖章的文件需单位加盖公章。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4.6.5响应文件中的《法定代表人资格证明书》和《法定代表人授权委托书》（若有）除了需加盖单位公章外，还需法定代表人签名或盖章。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政府采购谈判邀请函”。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六、谈判</w:t>
      </w:r>
    </w:p>
    <w:p>
      <w:pPr>
        <w:pStyle w:val="null3"/>
        <w:ind w:firstLine="480"/>
        <w:jc w:val="both"/>
      </w:pPr>
      <w:r>
        <w:rPr>
          <w:rFonts w:ascii="仿宋_GB2312" w:hAnsi="仿宋_GB2312" w:cs="仿宋_GB2312" w:eastAsia="仿宋_GB2312"/>
        </w:rPr>
        <w:t>6.1谈判时间和地点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 推迟了谈判时间（即递交响应文件截止时间），应以公告的形式通知所有供应商。在这种情况下，供应商的权利和义务均应以新的截止时间为准。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 采购代理机构将按照竞争性谈判公告或更正公告约定的谈判形式、谈判时间进行谈判。开启会的主持人、记录人及其他工作人员（若有）均由采购代理机构派出，现场监督人员（若有）可由有关方面派出。谈判小组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6.1.6供应商到现场参加谈判，供应商应派其法定代表人或其授权代表准时参加谈判会，并代表供应商进行签到、文件解密等工作，否则将导致响应无效。</w:t>
      </w:r>
    </w:p>
    <w:p>
      <w:pPr>
        <w:pStyle w:val="null3"/>
        <w:ind w:firstLine="480"/>
        <w:jc w:val="both"/>
      </w:pPr>
      <w:r>
        <w:rPr>
          <w:rFonts w:ascii="仿宋_GB2312" w:hAnsi="仿宋_GB2312" w:cs="仿宋_GB2312" w:eastAsia="仿宋_GB2312"/>
        </w:rPr>
        <w:t>6.1.7出席谈判现场的人员必须携带本人身份证。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6.2谈判程序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1）在竞争性谈判公告或更正公告规定的时间进开启，由主持人宣布开启会须知，然后由供应商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（6）谈判小组对供应商递交的响应文件进行初审。</w:t>
      </w:r>
    </w:p>
    <w:p>
      <w:pPr>
        <w:pStyle w:val="null3"/>
        <w:ind w:firstLine="480"/>
        <w:jc w:val="both"/>
      </w:pPr>
      <w:r>
        <w:rPr>
          <w:rFonts w:ascii="仿宋_GB2312" w:hAnsi="仿宋_GB2312" w:cs="仿宋_GB2312" w:eastAsia="仿宋_GB2312"/>
        </w:rPr>
        <w:t>（7）谈判小组与初审合格的供应商进行一对一谈判。</w:t>
      </w:r>
    </w:p>
    <w:p>
      <w:pPr>
        <w:pStyle w:val="null3"/>
        <w:ind w:firstLine="480"/>
        <w:jc w:val="both"/>
      </w:pPr>
      <w:r>
        <w:rPr>
          <w:rFonts w:ascii="仿宋_GB2312" w:hAnsi="仿宋_GB2312" w:cs="仿宋_GB2312" w:eastAsia="仿宋_GB2312"/>
        </w:rPr>
        <w:t>（8）供应商根据每轮谈判要求，修改并递交其响应文件以响应谈判。</w:t>
      </w:r>
    </w:p>
    <w:p>
      <w:pPr>
        <w:pStyle w:val="null3"/>
        <w:ind w:firstLine="480"/>
        <w:jc w:val="both"/>
      </w:pPr>
      <w:r>
        <w:rPr>
          <w:rFonts w:ascii="仿宋_GB2312" w:hAnsi="仿宋_GB2312" w:cs="仿宋_GB2312" w:eastAsia="仿宋_GB2312"/>
        </w:rPr>
        <w:t>（9）谈判小组按照谈判文件中规定的评审要求对供应商进行评审。</w:t>
      </w:r>
    </w:p>
    <w:p>
      <w:pPr>
        <w:pStyle w:val="null3"/>
        <w:ind w:firstLine="480"/>
        <w:jc w:val="both"/>
      </w:pPr>
      <w:r>
        <w:rPr>
          <w:rFonts w:ascii="仿宋_GB2312" w:hAnsi="仿宋_GB2312" w:cs="仿宋_GB2312" w:eastAsia="仿宋_GB2312"/>
        </w:rPr>
        <w:t>（10）谈判小组推荐成交顺序，提交评审报告，评审结束。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6.3出现下列情形之一的，将导致供应商本次谈判无效。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（2）相关人员未按时进行谈判签到的；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（4）未按谈判文件要求提交保证金的；</w:t>
      </w:r>
    </w:p>
    <w:p>
      <w:pPr>
        <w:pStyle w:val="null3"/>
        <w:ind w:firstLine="480"/>
        <w:jc w:val="both"/>
      </w:pPr>
      <w:r>
        <w:rPr>
          <w:rFonts w:ascii="仿宋_GB2312" w:hAnsi="仿宋_GB2312" w:cs="仿宋_GB2312" w:eastAsia="仿宋_GB2312"/>
        </w:rPr>
        <w:t>（5）谈判有效期不足的；</w:t>
      </w:r>
    </w:p>
    <w:p>
      <w:pPr>
        <w:pStyle w:val="null3"/>
        <w:ind w:firstLine="480"/>
        <w:jc w:val="both"/>
      </w:pPr>
      <w:r>
        <w:rPr>
          <w:rFonts w:ascii="仿宋_GB2312" w:hAnsi="仿宋_GB2312" w:cs="仿宋_GB2312" w:eastAsia="仿宋_GB2312"/>
        </w:rPr>
        <w:t>（6）响应文件未按谈判文件规定要求及给定的格式填写、签署及盖章的；</w:t>
      </w:r>
    </w:p>
    <w:p>
      <w:pPr>
        <w:pStyle w:val="null3"/>
        <w:ind w:firstLine="480"/>
        <w:jc w:val="both"/>
      </w:pPr>
      <w:r>
        <w:rPr>
          <w:rFonts w:ascii="仿宋_GB2312" w:hAnsi="仿宋_GB2312" w:cs="仿宋_GB2312" w:eastAsia="仿宋_GB2312"/>
        </w:rPr>
        <w:t>（7）报价超过谈判文件中规定的预算金额或者最高限价的；</w:t>
      </w:r>
    </w:p>
    <w:p>
      <w:pPr>
        <w:pStyle w:val="null3"/>
        <w:ind w:firstLine="480"/>
        <w:jc w:val="both"/>
      </w:pPr>
      <w:r>
        <w:rPr>
          <w:rFonts w:ascii="仿宋_GB2312" w:hAnsi="仿宋_GB2312" w:cs="仿宋_GB2312" w:eastAsia="仿宋_GB2312"/>
        </w:rPr>
        <w:t>（8）谈判小组认为供应商的报价明显低于其他通过符合性审查供应商，有可能影响产品质量或者不能诚信履约的，且供应商不能按谈判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竞争性谈判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竞争性谈判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（10）不满足谈判文件中规定的其他实质性要求和条件的；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（12）属于谈判文件中规定的串通行为的情形的；</w:t>
      </w:r>
    </w:p>
    <w:p>
      <w:pPr>
        <w:pStyle w:val="null3"/>
        <w:ind w:firstLine="480"/>
        <w:jc w:val="both"/>
      </w:pPr>
      <w:r>
        <w:rPr>
          <w:rFonts w:ascii="仿宋_GB2312" w:hAnsi="仿宋_GB2312" w:cs="仿宋_GB2312" w:eastAsia="仿宋_GB2312"/>
        </w:rPr>
        <w:t>（13）法律、法规和谈判文件规定的其他无效情形。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6.4.1谈判小组查询供应商的信用记录。供应商存在不良信用记录的，将被认定为响应无效。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t>
      </w:r>
    </w:p>
    <w:p>
      <w:pPr>
        <w:pStyle w:val="null3"/>
        <w:ind w:firstLine="480"/>
        <w:jc w:val="both"/>
      </w:pPr>
      <w:r>
        <w:rPr>
          <w:rFonts w:ascii="仿宋_GB2312" w:hAnsi="仿宋_GB2312" w:cs="仿宋_GB2312" w:eastAsia="仿宋_GB2312"/>
        </w:rPr>
        <w:t>（www.creditchina.gov.cn）被列入失信被执行人、重大税收违法失信主体，或在中国政府采购网（www.ccgp.gov.cn）被列入政府采购严重违法失信行为记录名单。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以联合体形式参加谈判的，联合体任何成员存在以上不良信用记录的，将被认定为响应无效。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供应商不良信用记录以谈判小组查询结果为准。</w:t>
      </w:r>
    </w:p>
    <w:p>
      <w:pPr>
        <w:pStyle w:val="null3"/>
        <w:ind w:firstLine="480"/>
        <w:jc w:val="both"/>
      </w:pPr>
      <w:r>
        <w:rPr>
          <w:rFonts w:ascii="仿宋_GB2312" w:hAnsi="仿宋_GB2312" w:cs="仿宋_GB2312" w:eastAsia="仿宋_GB2312"/>
        </w:rPr>
        <w:t>在本谈判文件规定的查询时间之后，网站信息发生的任何变更均不再作为评审依据。供应商自行提供的与网站信息不一致的其他证明材料亦不作为资格审查的依据。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7.1谈判小组</w:t>
      </w:r>
    </w:p>
    <w:p>
      <w:pPr>
        <w:pStyle w:val="null3"/>
        <w:ind w:firstLine="480"/>
        <w:jc w:val="both"/>
      </w:pPr>
      <w:r>
        <w:rPr>
          <w:rFonts w:ascii="仿宋_GB2312" w:hAnsi="仿宋_GB2312" w:cs="仿宋_GB2312" w:eastAsia="仿宋_GB2312"/>
        </w:rPr>
        <w:t>谈判小组由采购人代表和有关专家共三人以上的单数组成。谈判小组负责具体评审事务，根据有关法律法规和谈判文件规定独立履行谈判小组职责。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7.2.2评审方法：谈判小组从质量和服务均能满足谈判文件实质性响应要求的供应商中，按照报价由低到高的顺序提出3名以上成交候选人。</w:t>
      </w:r>
    </w:p>
    <w:p>
      <w:pPr>
        <w:pStyle w:val="null3"/>
        <w:ind w:firstLine="480"/>
        <w:jc w:val="both"/>
      </w:pPr>
      <w:r>
        <w:rPr>
          <w:rFonts w:ascii="仿宋_GB2312" w:hAnsi="仿宋_GB2312" w:cs="仿宋_GB2312" w:eastAsia="仿宋_GB2312"/>
        </w:rPr>
        <w:t>7.2.3 评审过程的分为文件初审、澄清（如需）、谈判、推荐成交候选供应商。</w:t>
      </w:r>
    </w:p>
    <w:p>
      <w:pPr>
        <w:pStyle w:val="null3"/>
        <w:ind w:firstLine="480"/>
        <w:jc w:val="both"/>
      </w:pPr>
      <w:r>
        <w:rPr>
          <w:rFonts w:ascii="仿宋_GB2312" w:hAnsi="仿宋_GB2312" w:cs="仿宋_GB2312" w:eastAsia="仿宋_GB2312"/>
        </w:rPr>
        <w:t>7.2.4评审中如有未考虑到的问题，由谈判小组集体研究处理。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谈判小组将根据谈判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7.3.2谈判小组将只根据响应文件本身的内容做出独立判断，而不需寻求其他外部证据。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7.3.4提供相同品牌产品的不同供应商参加同一合同项下谈判的，按一家供应商计算。非单一产品采购项目，多家供应商提供的核心产品品牌相同的，按一家供应商计算。核心产品详见“采购需求”。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7.3.5在评审过程中，谈判小组发现供应商有下列表现形式之一的，可以认定属于串通行为，其响应无效，具体表现形式如下：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（4）不同供应商委托同一单位或者个人办理谈判事宜；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谈判小组对于响应文件中含义不明确、同类问题表述不一致或者有明显文字和计算错误的内容或数据，可要求供应商在规定的时限内做出必要的澄清、说明或者补正。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谈判</w:t>
      </w:r>
    </w:p>
    <w:p>
      <w:pPr>
        <w:pStyle w:val="null3"/>
        <w:ind w:firstLine="480"/>
        <w:jc w:val="both"/>
      </w:pPr>
      <w:r>
        <w:rPr>
          <w:rFonts w:ascii="仿宋_GB2312" w:hAnsi="仿宋_GB2312" w:cs="仿宋_GB2312" w:eastAsia="仿宋_GB2312"/>
        </w:rPr>
        <w:t>7.5.1在谈判过程中谈判的任何一方不得向他人透露与谈判有关的技术资料、价格或其他信息。</w:t>
      </w:r>
    </w:p>
    <w:p>
      <w:pPr>
        <w:pStyle w:val="null3"/>
        <w:ind w:firstLine="480"/>
        <w:jc w:val="both"/>
      </w:pPr>
      <w:r>
        <w:rPr>
          <w:rFonts w:ascii="仿宋_GB2312" w:hAnsi="仿宋_GB2312" w:cs="仿宋_GB2312" w:eastAsia="仿宋_GB2312"/>
        </w:rPr>
        <w:t>7.5.2在谈判过程中，谈判小组可以根据谈判文件和谈判情况实质性变动采购需求中的技术、服务要求以及合同文本条款，但不得变动谈判文件中的其他内容。实质性变动的内容，须经采购人代表确认，谈判小组须以书面形式同时通知所有参加谈判的供应商。供应商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7.5.3谈判文件能够详细列明采购标的的技术、服务要求的，谈判结束后，谈判小组要求所有继续参加谈判的供应商在规定的时间内书面提出最后报价。</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谈判结束后，谈判小组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超出规定时间没有提交最后报价的供应商，视为放弃最后报价。</w:t>
      </w:r>
    </w:p>
    <w:p>
      <w:pPr>
        <w:pStyle w:val="null3"/>
        <w:ind w:firstLine="480"/>
        <w:jc w:val="both"/>
      </w:pPr>
      <w:r>
        <w:rPr>
          <w:rFonts w:ascii="仿宋_GB2312" w:hAnsi="仿宋_GB2312" w:cs="仿宋_GB2312" w:eastAsia="仿宋_GB2312"/>
        </w:rPr>
        <w:t>7.5.4对小型或微型企业的扶持（监狱企业、残疾人福利性单位视同小型、微型企业）：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7.5.5节能产品、环境标志产品的落实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7.5.6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谈判小组依据评审情况及谈判结果，按各供应商报价（小型或微型企业、节能或环保产品用扣除后的报价参与评审）由低到高的顺序向采购单位推荐三名以上成交候选供应商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采购代理机构依据确认结果，在“第一章 政府采购谈判邀请函”中规定的信息发布媒体上发布成交公告。</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根据确定的成交结果，采购代理机构 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谈判保证金不予退还，给采购单位造成的损失超过谈判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w:t>
      </w:r>
    </w:p>
    <w:p>
      <w:pPr>
        <w:pStyle w:val="null3"/>
        <w:ind w:firstLine="480"/>
        <w:jc w:val="both"/>
      </w:pPr>
      <w:r>
        <w:rPr>
          <w:rFonts w:ascii="仿宋_GB2312" w:hAnsi="仿宋_GB2312" w:cs="仿宋_GB2312" w:eastAsia="仿宋_GB2312"/>
        </w:rPr>
        <w:t>8.3.2 采购单位应当自成交通知书发出后规定的时间内，按照谈判文件和成交供应商响应文件的约定，与成交供应商签订政府采购合同。所签政府采购合同不得对谈判文件和成交供应商的响应文件作实质性修改。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成交供应商应按成交通知书规定的时间、地点与采购单位签订成交合同,否则谈判保证金将不予退还，给采购人和采购代理机构造成损失的，供应商还应承担赔偿责任。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政府采购活动过程中需对外发布的信息均统一发布在指定的信息发布媒体上，供应商可从本谈判文件“第一章 政府采购谈判邀请函”中指定的信息发布媒体获取信息。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谈判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谈判小组成员不得收受他人的财物或者其他好处，不得向他人透漏对响应文件的评审和比较、成交候选人的推荐情况以及评审有关的其他情况；在评审活动中，谈判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9.4.1供应商认为谈判文件、谈判过程和成交结果使自己的权益受到损害的，可以在知道或者应知其权益受到损害之日起7个工作日内，以书面形式向采购代理机构提出质疑。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联系人：符经理</w:t>
      </w:r>
    </w:p>
    <w:p>
      <w:pPr>
        <w:pStyle w:val="null3"/>
        <w:jc w:val="left"/>
      </w:pPr>
      <w:r>
        <w:rPr>
          <w:rFonts w:ascii="仿宋_GB2312" w:hAnsi="仿宋_GB2312" w:cs="仿宋_GB2312" w:eastAsia="仿宋_GB2312"/>
        </w:rPr>
        <w:t>联系电话：13322065478</w:t>
      </w:r>
    </w:p>
    <w:p>
      <w:pPr>
        <w:pStyle w:val="null3"/>
        <w:jc w:val="left"/>
      </w:pPr>
      <w:r>
        <w:rPr>
          <w:rFonts w:ascii="仿宋_GB2312" w:hAnsi="仿宋_GB2312" w:cs="仿宋_GB2312" w:eastAsia="仿宋_GB2312"/>
        </w:rPr>
        <w:t>地址：海南省海口市龙华区海垦街道八一新村A2栋401房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(4)供应商不遵守谈判会场纪律,扰乱政府采购秩序的;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谈判控制价</w:t>
      </w:r>
    </w:p>
    <w:p>
      <w:pPr>
        <w:pStyle w:val="null3"/>
        <w:ind w:firstLine="480"/>
        <w:jc w:val="both"/>
      </w:pPr>
      <w:r>
        <w:rPr>
          <w:rFonts w:ascii="仿宋_GB2312" w:hAnsi="仿宋_GB2312" w:cs="仿宋_GB2312" w:eastAsia="仿宋_GB2312"/>
        </w:rPr>
        <w:t>谈判文件中规定的最高限价为谈判控制价；如未规定最高限价的，则项目预算金额为谈判控制价。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谈判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谈判文件的各个组成文件应互为解释，互为说明；如有不明确或不一致，构成合同文件组成内容的，以合同文件约定内容为准；除谈判文件中有特别规定外，仅适用于谈判阶段的规定，按竞争性谈判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在中国，自</w:t>
      </w:r>
      <w:r>
        <w:rPr>
          <w:rFonts w:ascii="仿宋_GB2312" w:hAnsi="仿宋_GB2312" w:cs="仿宋_GB2312" w:eastAsia="仿宋_GB2312"/>
          <w:sz w:val="21"/>
        </w:rPr>
        <w:t>2003</w:t>
      </w:r>
      <w:r>
        <w:rPr>
          <w:rFonts w:ascii="仿宋_GB2312" w:hAnsi="仿宋_GB2312" w:cs="仿宋_GB2312" w:eastAsia="仿宋_GB2312"/>
          <w:sz w:val="21"/>
        </w:rPr>
        <w:t>年起，暹罗鳄、尼罗鳄和湾鳄被列入可商业经营利用的野生动物名录，并于</w:t>
      </w:r>
      <w:r>
        <w:rPr>
          <w:rFonts w:ascii="仿宋_GB2312" w:hAnsi="仿宋_GB2312" w:cs="仿宋_GB2312" w:eastAsia="仿宋_GB2312"/>
          <w:sz w:val="21"/>
        </w:rPr>
        <w:t>2019</w:t>
      </w:r>
      <w:r>
        <w:rPr>
          <w:rFonts w:ascii="仿宋_GB2312" w:hAnsi="仿宋_GB2312" w:cs="仿宋_GB2312" w:eastAsia="仿宋_GB2312"/>
          <w:sz w:val="21"/>
        </w:rPr>
        <w:t>年进一步被纳入人工繁育国家重点保护水生野生动物名录。根据相关法规，上述三种鳄鱼在获得适当许可和遵守相关规定的前提下，可以进行合法养殖和商业利用。</w:t>
      </w:r>
    </w:p>
    <w:p>
      <w:pPr>
        <w:pStyle w:val="null3"/>
        <w:ind w:firstLine="420"/>
        <w:jc w:val="both"/>
      </w:pPr>
      <w:r>
        <w:rPr>
          <w:rFonts w:ascii="仿宋_GB2312" w:hAnsi="仿宋_GB2312" w:cs="仿宋_GB2312" w:eastAsia="仿宋_GB2312"/>
          <w:sz w:val="21"/>
        </w:rPr>
        <w:t>鳄鱼在制皮、食品、保健品、制药、旅游和科研等方面的重大商品价值，并且随着鳄鱼人工养殖技术的成熟，鳄鱼产业健康可持续发展，既可以给东河镇的乡村振兴带来显著的经济效益，又可以增加当地农民的收入，解决当地农民的就业问题。</w:t>
      </w:r>
    </w:p>
    <w:p>
      <w:pPr>
        <w:pStyle w:val="null3"/>
        <w:ind w:firstLine="420"/>
        <w:jc w:val="both"/>
      </w:pPr>
      <w:r>
        <w:rPr>
          <w:rFonts w:ascii="仿宋_GB2312" w:hAnsi="仿宋_GB2312" w:cs="仿宋_GB2312" w:eastAsia="仿宋_GB2312"/>
          <w:sz w:val="21"/>
        </w:rPr>
        <w:t>东河镇鳄鱼产业项目，此次采购的种鳄为暹罗鳄或尼罗鳄</w:t>
      </w:r>
      <w:r>
        <w:rPr>
          <w:rFonts w:ascii="仿宋_GB2312" w:hAnsi="仿宋_GB2312" w:cs="仿宋_GB2312" w:eastAsia="仿宋_GB2312"/>
          <w:sz w:val="21"/>
        </w:rPr>
        <w:t>或杂交尼罗鳄</w:t>
      </w:r>
      <w:r>
        <w:rPr>
          <w:rFonts w:ascii="仿宋_GB2312" w:hAnsi="仿宋_GB2312" w:cs="仿宋_GB2312" w:eastAsia="仿宋_GB2312"/>
          <w:sz w:val="21"/>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3,800,000.00</w:t>
      </w:r>
    </w:p>
    <w:p>
      <w:pPr>
        <w:pStyle w:val="null3"/>
        <w:jc w:val="left"/>
      </w:pPr>
      <w:r>
        <w:rPr>
          <w:rFonts w:ascii="仿宋_GB2312" w:hAnsi="仿宋_GB2312" w:cs="仿宋_GB2312" w:eastAsia="仿宋_GB2312"/>
        </w:rPr>
        <w:t>采购包最高限价（元）: 3,800,000.00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C23130100-农畜产品批发服务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C23130100-农畜产品批发服务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标的名称：C23130100-农畜产品批发服务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、体型无畸形，性成熟处于壮年期的暹罗鳄或尼罗鳄或杂交尼罗鳄，其中雌性和雄性种鳄性别比例为</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、种鳄需满足以下关键指标：</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）体型标准</w:t>
            </w:r>
          </w:p>
          <w:p>
            <w:pPr>
              <w:pStyle w:val="null3"/>
              <w:ind w:firstLine="420"/>
              <w:jc w:val="both"/>
            </w:pPr>
            <w:r>
              <w:rPr>
                <w:rFonts w:ascii="仿宋_GB2312" w:hAnsi="仿宋_GB2312" w:cs="仿宋_GB2312" w:eastAsia="仿宋_GB2312"/>
                <w:sz w:val="21"/>
              </w:rPr>
              <w:t>雌鳄：体长需</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厘米（人工繁殖最低要求），雄鳄：体长需≥</w:t>
            </w:r>
            <w:r>
              <w:rPr>
                <w:rFonts w:ascii="仿宋_GB2312" w:hAnsi="仿宋_GB2312" w:cs="仿宋_GB2312" w:eastAsia="仿宋_GB2312"/>
                <w:sz w:val="21"/>
              </w:rPr>
              <w:t>130</w:t>
            </w:r>
            <w:r>
              <w:rPr>
                <w:rFonts w:ascii="仿宋_GB2312" w:hAnsi="仿宋_GB2312" w:cs="仿宋_GB2312" w:eastAsia="仿宋_GB2312"/>
                <w:sz w:val="21"/>
              </w:rPr>
              <w:t>厘米（人工繁殖最低要求），体重：雌鳄</w:t>
            </w:r>
            <w:r>
              <w:rPr>
                <w:rFonts w:ascii="仿宋_GB2312" w:hAnsi="仿宋_GB2312" w:cs="仿宋_GB2312" w:eastAsia="仿宋_GB2312"/>
                <w:sz w:val="21"/>
              </w:rPr>
              <w:t>35</w:t>
            </w:r>
            <w:r>
              <w:rPr>
                <w:rFonts w:ascii="仿宋_GB2312" w:hAnsi="仿宋_GB2312" w:cs="仿宋_GB2312" w:eastAsia="仿宋_GB2312"/>
                <w:sz w:val="21"/>
              </w:rPr>
              <w:t>公斤以上，雄鳄</w:t>
            </w:r>
            <w:r>
              <w:rPr>
                <w:rFonts w:ascii="仿宋_GB2312" w:hAnsi="仿宋_GB2312" w:cs="仿宋_GB2312" w:eastAsia="仿宋_GB2312"/>
                <w:sz w:val="21"/>
              </w:rPr>
              <w:t>70</w:t>
            </w:r>
            <w:r>
              <w:rPr>
                <w:rFonts w:ascii="仿宋_GB2312" w:hAnsi="仿宋_GB2312" w:cs="仿宋_GB2312" w:eastAsia="仿宋_GB2312"/>
                <w:sz w:val="21"/>
              </w:rPr>
              <w:t>公斤以上。</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）健康体征</w:t>
            </w:r>
          </w:p>
          <w:p>
            <w:pPr>
              <w:pStyle w:val="null3"/>
              <w:ind w:firstLine="420"/>
              <w:jc w:val="both"/>
            </w:pPr>
            <w:r>
              <w:rPr>
                <w:rFonts w:ascii="仿宋_GB2312" w:hAnsi="仿宋_GB2312" w:cs="仿宋_GB2312" w:eastAsia="仿宋_GB2312"/>
                <w:sz w:val="21"/>
              </w:rPr>
              <w:t>鳞片状态：鳞片需完整坚硬、排列紧密，无破损或感染迹象，背鳞</w:t>
            </w:r>
            <w:r>
              <w:rPr>
                <w:rFonts w:ascii="仿宋_GB2312" w:hAnsi="仿宋_GB2312" w:cs="仿宋_GB2312" w:eastAsia="仿宋_GB2312"/>
                <w:sz w:val="21"/>
              </w:rPr>
              <w:t>16-18</w:t>
            </w:r>
            <w:r>
              <w:rPr>
                <w:rFonts w:ascii="仿宋_GB2312" w:hAnsi="仿宋_GB2312" w:cs="仿宋_GB2312" w:eastAsia="仿宋_GB2312"/>
                <w:sz w:val="21"/>
              </w:rPr>
              <w:t>横排且无脱落。</w:t>
            </w:r>
          </w:p>
          <w:p>
            <w:pPr>
              <w:pStyle w:val="null3"/>
              <w:ind w:firstLine="420"/>
              <w:jc w:val="both"/>
            </w:pPr>
            <w:r>
              <w:rPr>
                <w:rFonts w:ascii="仿宋_GB2312" w:hAnsi="仿宋_GB2312" w:cs="仿宋_GB2312" w:eastAsia="仿宋_GB2312"/>
                <w:sz w:val="21"/>
              </w:rPr>
              <w:t>感官功能：眼睛明亮无分泌物，鼻孔通畅，泄殖腔周围鳞片清洁，尾部特征线（泄殖腔后细线延伸</w:t>
            </w:r>
            <w:r>
              <w:rPr>
                <w:rFonts w:ascii="仿宋_GB2312" w:hAnsi="仿宋_GB2312" w:cs="仿宋_GB2312" w:eastAsia="仿宋_GB2312"/>
                <w:sz w:val="21"/>
              </w:rPr>
              <w:t>5-7</w:t>
            </w:r>
            <w:r>
              <w:rPr>
                <w:rFonts w:ascii="仿宋_GB2312" w:hAnsi="仿宋_GB2312" w:cs="仿宋_GB2312" w:eastAsia="仿宋_GB2312"/>
                <w:sz w:val="21"/>
              </w:rPr>
              <w:t>圈）清晰可辨。</w:t>
            </w:r>
          </w:p>
          <w:p>
            <w:pPr>
              <w:pStyle w:val="null3"/>
              <w:ind w:firstLine="420"/>
              <w:jc w:val="both"/>
            </w:pPr>
            <w:r>
              <w:rPr>
                <w:rFonts w:ascii="仿宋_GB2312" w:hAnsi="仿宋_GB2312" w:cs="仿宋_GB2312" w:eastAsia="仿宋_GB2312"/>
                <w:sz w:val="21"/>
              </w:rPr>
              <w:t>运动能力：四肢强健无残缺，爪部完整。能快速爬行和水中灵活转向。</w:t>
            </w:r>
          </w:p>
          <w:p>
            <w:pPr>
              <w:pStyle w:val="null3"/>
              <w:ind w:firstLine="420"/>
              <w:jc w:val="both"/>
            </w:pPr>
            <w:r>
              <w:rPr>
                <w:rFonts w:ascii="仿宋_GB2312" w:hAnsi="仿宋_GB2312" w:cs="仿宋_GB2312" w:eastAsia="仿宋_GB2312"/>
                <w:sz w:val="21"/>
              </w:rPr>
              <w:t>年龄与性成熟：优选</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岁的壮年期种鳄。雌鳄腹部宽厚，雄鳄喉部鳞甲发达，繁殖期有明显求偶行为（如低频吼叫、气泡喷水）。</w:t>
            </w:r>
          </w:p>
          <w:p>
            <w:pPr>
              <w:pStyle w:val="null3"/>
              <w:ind w:firstLine="422"/>
              <w:jc w:val="both"/>
            </w:pPr>
            <w:r>
              <w:rPr>
                <w:rFonts w:ascii="仿宋_GB2312" w:hAnsi="仿宋_GB2312" w:cs="仿宋_GB2312" w:eastAsia="仿宋_GB2312"/>
                <w:sz w:val="21"/>
                <w:b/>
              </w:rPr>
              <w:t>特别说明：</w:t>
            </w:r>
          </w:p>
          <w:p>
            <w:pPr>
              <w:pStyle w:val="null3"/>
              <w:ind w:firstLine="420"/>
              <w:jc w:val="both"/>
            </w:pPr>
            <w:r>
              <w:rPr>
                <w:rFonts w:ascii="仿宋_GB2312" w:hAnsi="仿宋_GB2312" w:cs="仿宋_GB2312" w:eastAsia="仿宋_GB2312"/>
                <w:sz w:val="21"/>
              </w:rPr>
              <w:t>采购需求中非订制的采购标的关于重量、尺寸、体积等的技术参数均为范围值，已列明的固定值均视为约等于（</w:t>
            </w:r>
            <w:r>
              <w:rPr>
                <w:rFonts w:ascii="仿宋_GB2312" w:hAnsi="仿宋_GB2312" w:cs="仿宋_GB2312" w:eastAsia="仿宋_GB2312"/>
                <w:sz w:val="21"/>
              </w:rPr>
              <w:t>≥或≤）。</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）国家对供应商用于响应本项目的产品、服务有强制性规定或要求的，供应商用于响应本项目的产品、服务应符合相关规定或要求，并提供相关合法、真实、有效的证明材料。</w:t>
            </w:r>
            <w:r>
              <w:rPr>
                <w:rFonts w:ascii="仿宋_GB2312" w:hAnsi="仿宋_GB2312" w:cs="仿宋_GB2312" w:eastAsia="仿宋_GB2312"/>
                <w:sz w:val="21"/>
              </w:rPr>
              <w:t>已实施标识管理的鳄鱼种鳄，出售时按规定申领活体标识或持有合法有效的经营利用许可证。</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）取得釆购标的时间：合同签订生效之日起</w:t>
            </w:r>
            <w:r>
              <w:rPr>
                <w:rFonts w:ascii="仿宋_GB2312" w:hAnsi="仿宋_GB2312" w:cs="仿宋_GB2312" w:eastAsia="仿宋_GB2312"/>
                <w:sz w:val="21"/>
              </w:rPr>
              <w:t>180天内交付完成。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）取得釆购标的地点：采购人指定地点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）包装和运输：活体鳄鱼在离开养殖场进入流通运输环节前，必须对四肢和嘴巴进行捆绑，对眼睛进行蒙蔽，并将其装在特制的木箱或铁笼内进行运输；离开养殖场前每条活体鳄鱼要</w:t>
            </w:r>
            <w:r>
              <w:rPr>
                <w:rFonts w:ascii="仿宋_GB2312" w:hAnsi="仿宋_GB2312" w:cs="仿宋_GB2312" w:eastAsia="仿宋_GB2312"/>
                <w:sz w:val="21"/>
              </w:rPr>
              <w:t>有</w:t>
            </w:r>
            <w:r>
              <w:rPr>
                <w:rFonts w:ascii="仿宋_GB2312" w:hAnsi="仿宋_GB2312" w:cs="仿宋_GB2312" w:eastAsia="仿宋_GB2312"/>
                <w:sz w:val="21"/>
              </w:rPr>
              <w:t>激活标识，以备运输途中相关部门查验。</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（一）谈判文件、响应文件、采购合同、封样样品（若有）等是履约验收工作的基本依据。</w:t>
      </w:r>
      <w:r>
        <w:br/>
      </w:r>
      <w:r>
        <w:rPr>
          <w:rFonts w:ascii="仿宋_GB2312" w:hAnsi="仿宋_GB2312" w:cs="仿宋_GB2312" w:eastAsia="仿宋_GB2312"/>
        </w:rPr>
        <w:t xml:space="preserve"> （二）政府采购履约验收应当遵循全面完整、客观真实、公开透明的原则，坚持应验必验、验收必严。</w:t>
      </w:r>
      <w:r>
        <w:br/>
      </w:r>
      <w:r>
        <w:rPr>
          <w:rFonts w:ascii="仿宋_GB2312" w:hAnsi="仿宋_GB2312" w:cs="仿宋_GB2312" w:eastAsia="仿宋_GB2312"/>
        </w:rPr>
        <w:t xml:space="preserve"> （三）履约验收主体及职责：</w:t>
      </w:r>
      <w:r>
        <w:br/>
      </w:r>
      <w:r>
        <w:rPr>
          <w:rFonts w:ascii="仿宋_GB2312" w:hAnsi="仿宋_GB2312" w:cs="仿宋_GB2312" w:eastAsia="仿宋_GB2312"/>
        </w:rPr>
        <w:t xml:space="preserve"> 1、采购人是政府采购履约验收工作的责任主体，应当自行组织履约验收。</w:t>
      </w:r>
      <w:r>
        <w:br/>
      </w:r>
      <w:r>
        <w:rPr>
          <w:rFonts w:ascii="仿宋_GB2312" w:hAnsi="仿宋_GB2312" w:cs="仿宋_GB2312" w:eastAsia="仿宋_GB2312"/>
        </w:rPr>
        <w:t xml:space="preserve"> 2、采购人应当在政府采购合同中约定履约验收方案。履约验收方案要明确履约验收的主体、时间、方式、程序、内容和验收标准等事项。采购人应当开展履约风险审查。</w:t>
      </w:r>
      <w:r>
        <w:br/>
      </w:r>
      <w:r>
        <w:rPr>
          <w:rFonts w:ascii="仿宋_GB2312" w:hAnsi="仿宋_GB2312" w:cs="仿宋_GB2312" w:eastAsia="仿宋_GB2312"/>
        </w:rPr>
        <w:t xml:space="preserve"> 3、采购代理机构应当根据委托代理协议约定，协助采购人做好履约验收工作，协调解决验收中出现的问题，及时向采购人反映履约异常情形及供应商违约失信行为等。</w:t>
      </w:r>
    </w:p>
    <w:p>
      <w:pPr>
        <w:pStyle w:val="null3"/>
        <w:jc w:val="left"/>
      </w:pPr>
      <w:r>
        <w:rPr>
          <w:rFonts w:ascii="仿宋_GB2312" w:hAnsi="仿宋_GB2312" w:cs="仿宋_GB2312" w:eastAsia="仿宋_GB2312"/>
        </w:rPr>
        <w:t>4、供应商应当严格按照履约验收基本依据的约定，积极配合采购人做好验收工作，提供与验收相关的生产、技术、服务、数量、质量、安全等资料，根据实际需要做好技术说明、测试演示或场景应用情况分析等工作。对履约情况争议问题，有义务提供相应证据证明材料。</w:t>
      </w:r>
      <w:r>
        <w:br/>
      </w:r>
      <w:r>
        <w:rPr>
          <w:rFonts w:ascii="仿宋_GB2312" w:hAnsi="仿宋_GB2312" w:cs="仿宋_GB2312" w:eastAsia="仿宋_GB2312"/>
        </w:rPr>
        <w:t xml:space="preserve"> （四）履约验收程序：</w:t>
      </w:r>
      <w:r>
        <w:br/>
      </w:r>
      <w:r>
        <w:rPr>
          <w:rFonts w:ascii="仿宋_GB2312" w:hAnsi="仿宋_GB2312" w:cs="仿宋_GB2312" w:eastAsia="仿宋_GB2312"/>
        </w:rPr>
        <w:t xml:space="preserve"> 1、采购合同约定的履约验收条件达到时，供应商应当组织内部自验，自验合格后及时向采购人书面提出履约验收申请，自验收情况作为履约验收相关证明材料。</w:t>
      </w:r>
      <w:r>
        <w:br/>
      </w:r>
      <w:r>
        <w:rPr>
          <w:rFonts w:ascii="仿宋_GB2312" w:hAnsi="仿宋_GB2312" w:cs="仿宋_GB2312" w:eastAsia="仿宋_GB2312"/>
        </w:rPr>
        <w:t xml:space="preserve"> 2、采购人应当自收到验收申请之日起7个工作日内启动项目验收，并向供应商发送验收通知。技术复杂、专业性强以及重大民生、金额较大的政府采购项目，验收准备时间可适当延长。</w:t>
      </w:r>
      <w:r>
        <w:br/>
      </w:r>
      <w:r>
        <w:rPr>
          <w:rFonts w:ascii="仿宋_GB2312" w:hAnsi="仿宋_GB2312" w:cs="仿宋_GB2312" w:eastAsia="仿宋_GB2312"/>
        </w:rPr>
        <w:t xml:space="preserve"> 3、采购人应当成立履约验收小组，负责采购项目履约验收具体工作，出具验收意见，并对验收意见负责。</w:t>
      </w:r>
      <w:r>
        <w:br/>
      </w:r>
      <w:r>
        <w:rPr>
          <w:rFonts w:ascii="仿宋_GB2312" w:hAnsi="仿宋_GB2312" w:cs="仿宋_GB2312" w:eastAsia="仿宋_GB2312"/>
        </w:rPr>
        <w:t xml:space="preserve"> 4、履约验收小组应当由3人以上单数组成，并确定一名负责人。参与本采购项目评审的采购人代表不能作为负责人。履约验收小组成员应当是熟悉采购需求和技术要求的人员。对于采购人和使用人分离的采购项目，应当邀请实际使用人参与验收。技术复杂、专业性较强的采购项目，可以邀请相关领域专业技术人员作为履约验收小组成员参与验收。前期参与本采购项目相关采购活动的采购代理机构工作人员、评审专家以及政府采购回避制度规定的与供应商有利害关系的人员，不得作为履约验收小组成员参与履约验收。财政部门政府采购监管人员不得作为履约验收小组成员参与履约验收。</w:t>
      </w:r>
      <w:r>
        <w:br/>
      </w:r>
      <w:r>
        <w:rPr>
          <w:rFonts w:ascii="仿宋_GB2312" w:hAnsi="仿宋_GB2312" w:cs="仿宋_GB2312" w:eastAsia="仿宋_GB2312"/>
        </w:rPr>
        <w:t xml:space="preserve"> 5、根据采购项目特点和实际需要，采购人、采购代理机构可以邀请参与本采购项目的其他供应商或者专业机构及专家参与验收，相关意见作为履约验收的参考资料，并按照验收档案进行管理。大型或者复杂的项目，应当邀请国家认可的质量检测机构参加验收。政府向社会公众提供的公共服务项目，验收时应当邀请服务对象参与并出具意见，验收结果应当向社会公告。</w:t>
      </w:r>
      <w:r>
        <w:br/>
      </w:r>
      <w:r>
        <w:rPr>
          <w:rFonts w:ascii="仿宋_GB2312" w:hAnsi="仿宋_GB2312" w:cs="仿宋_GB2312" w:eastAsia="仿宋_GB2312"/>
        </w:rPr>
        <w:t xml:space="preserve"> 6、履约验收方式可以根据采购项目特点、市场实际和履约风险控制等情况，采用一次性验收、分节点验收和分期验收等方式。</w:t>
      </w:r>
      <w:r>
        <w:br/>
      </w:r>
      <w:r>
        <w:rPr>
          <w:rFonts w:ascii="仿宋_GB2312" w:hAnsi="仿宋_GB2312" w:cs="仿宋_GB2312" w:eastAsia="仿宋_GB2312"/>
        </w:rPr>
        <w:t xml:space="preserve"> 7、履约验收小组应当认真履行项目验收职责，按照履约验收方案实施验收，确保验收意见客观真实反映合同履行情况。</w:t>
      </w:r>
      <w:r>
        <w:br/>
      </w:r>
      <w:r>
        <w:rPr>
          <w:rFonts w:ascii="仿宋_GB2312" w:hAnsi="仿宋_GB2312" w:cs="仿宋_GB2312" w:eastAsia="仿宋_GB2312"/>
        </w:rPr>
        <w:t xml:space="preserve"> （1）确认验收方案。履约验收小组应根据采购文件和采购合同等履约验收基本依据进行确认。履约验收小组发现履约验收方案存在歧义、重大缺陷导致验收工作无法进行，或者验收过程违反有关法律法规规定的，应当及时与采购人沟通并作书面记录。</w:t>
      </w:r>
      <w:r>
        <w:br/>
      </w:r>
      <w:r>
        <w:rPr>
          <w:rFonts w:ascii="仿宋_GB2312" w:hAnsi="仿宋_GB2312" w:cs="仿宋_GB2312" w:eastAsia="仿宋_GB2312"/>
        </w:rPr>
        <w:t xml:space="preserve"> （2）实施验收。履约验收小组应当根据履约验收方案，对供应商提供的货物、工程或者服务按照履约验收基本依据对每一项技术、服务、安全标准的履约情况进行确认。分节点、分期验收的，应当根据采购合同和项目特点进行分节点、分期验收。</w:t>
      </w:r>
      <w:r>
        <w:br/>
      </w:r>
      <w:r>
        <w:rPr>
          <w:rFonts w:ascii="仿宋_GB2312" w:hAnsi="仿宋_GB2312" w:cs="仿宋_GB2312" w:eastAsia="仿宋_GB2312"/>
        </w:rPr>
        <w:t xml:space="preserve"> （3）出具验收意见。履约验收结束后，履约验收小组以书面形式作出结论性意见，列明各项标准的验收情况及项目总体评价，形成验收意见报告，由履约验收小组和供应商共同签署。分节点、分期验收的，应当出具分节点、分期验收意见。</w:t>
      </w:r>
      <w:r>
        <w:br/>
      </w:r>
      <w:r>
        <w:rPr>
          <w:rFonts w:ascii="仿宋_GB2312" w:hAnsi="仿宋_GB2312" w:cs="仿宋_GB2312" w:eastAsia="仿宋_GB2312"/>
        </w:rPr>
        <w:t xml:space="preserve"> 8、履约验收小组成员应当独立发表验收意见。履约验收小组成员对需要共同认定的事项存在争议的，应当按照少数服从多数的原则作出结论。对验收意见报告载明的结论有异议的履约验收小组成员，应当在验收意见报告上签署不同意见并说明理由，否则视为同意验收意见报告。</w:t>
      </w:r>
      <w:r>
        <w:br/>
      </w:r>
      <w:r>
        <w:rPr>
          <w:rFonts w:ascii="仿宋_GB2312" w:hAnsi="仿宋_GB2312" w:cs="仿宋_GB2312" w:eastAsia="仿宋_GB2312"/>
        </w:rPr>
        <w:t xml:space="preserve"> 9、供应商对验收意见报告载明的结论有异议的，应当在签署验收意见报告前向履约验收小组说明情况，履约验收小组应当对有异议的验收事项进行复核。复核后供应商仍不认可验收意见报告结论的，按照采购合同约定的方式解决。</w:t>
      </w:r>
      <w:r>
        <w:br/>
      </w:r>
      <w:r>
        <w:rPr>
          <w:rFonts w:ascii="仿宋_GB2312" w:hAnsi="仿宋_GB2312" w:cs="仿宋_GB2312" w:eastAsia="仿宋_GB2312"/>
        </w:rPr>
        <w:t xml:space="preserve"> 10、采购人应当对履约验收小组报送的验收意见报告进行确认。确认验收合格的，采购人应当在验收意见报告签字并加盖公章；验收意见与采购合同不一致的，采购人应当根据验收意见中载明的具体偏差内容和处置建议，研究确定验收意见并加盖公章；验收意见中存在履约验收小组成员其他异议意见的，采购人应当对异议事项进行复核，妥善处置。</w:t>
      </w:r>
      <w:r>
        <w:br/>
      </w:r>
      <w:r>
        <w:rPr>
          <w:rFonts w:ascii="仿宋_GB2312" w:hAnsi="仿宋_GB2312" w:cs="仿宋_GB2312" w:eastAsia="仿宋_GB2312"/>
        </w:rPr>
        <w:t xml:space="preserve"> 11、验收结果与采购合同约定的内容不完全符合，但经履约验收小组确认，供应商所提供的货物、工程和服务比合同约定内容提高了使用功能、标准或者属于技术更新换代产品的，在不影响、不降低整个采购项目的运行质量和功能以及合同金额不提高的前提下，可以验收通过。</w:t>
      </w:r>
      <w:r>
        <w:br/>
      </w:r>
      <w:r>
        <w:rPr>
          <w:rFonts w:ascii="仿宋_GB2312" w:hAnsi="仿宋_GB2312" w:cs="仿宋_GB2312" w:eastAsia="仿宋_GB2312"/>
        </w:rPr>
        <w:t xml:space="preserve"> 12、功能简单且属于标准定制的货物采购项目和需求单一且属于通用的服务采购项目，可以适当简化验收流程，由采购人指4、供应商应当严格按照履约验收基本依据的约定，积极配合采购人做好验收工作，提供与验收相关的生产、技术、服务、数量、质量、安全等资料，根据实际需要做好技术说明、测试演示或场景应用情况分析等工作。对履约情况争议问题，有义务提供相应证据证明材料。</w:t>
      </w:r>
      <w:r>
        <w:br/>
      </w:r>
      <w:r>
        <w:rPr>
          <w:rFonts w:ascii="仿宋_GB2312" w:hAnsi="仿宋_GB2312" w:cs="仿宋_GB2312" w:eastAsia="仿宋_GB2312"/>
        </w:rPr>
        <w:t xml:space="preserve"> 13、除涉密情形外，采购人应当在履约验收结束后3个工作日内将履约验收结果信息向社会公开。</w:t>
      </w:r>
      <w:r>
        <w:br/>
      </w:r>
      <w:r>
        <w:rPr>
          <w:rFonts w:ascii="仿宋_GB2312" w:hAnsi="仿宋_GB2312" w:cs="仿宋_GB2312" w:eastAsia="仿宋_GB2312"/>
        </w:rPr>
        <w:t xml:space="preserve"> 14、履约验收合格应作为政府采购项目资金支付的必要条件。验收合格的，采购人应当根据采购合同约定及时向供应商支付采购资金、退还履约保证金，不得将采购文件和合同中未规定的义务作为向供应商付款的条件。涉及分期验收付款的项目，应具备符合合同约定的分期验收报告。</w:t>
      </w:r>
      <w:r>
        <w:br/>
      </w:r>
      <w:r>
        <w:rPr>
          <w:rFonts w:ascii="仿宋_GB2312" w:hAnsi="仿宋_GB2312" w:cs="仿宋_GB2312" w:eastAsia="仿宋_GB2312"/>
        </w:rPr>
        <w:t xml:space="preserve"> 验收不合格的，采购人应当终止资金支付，并按照政府采购合同约定进行处理。</w:t>
      </w:r>
      <w:r>
        <w:br/>
      </w:r>
      <w:r>
        <w:rPr>
          <w:rFonts w:ascii="仿宋_GB2312" w:hAnsi="仿宋_GB2312" w:cs="仿宋_GB2312" w:eastAsia="仿宋_GB2312"/>
        </w:rPr>
        <w:t xml:space="preserve"> 15、对项目验收发生的检测（检验）费、劳务报酬等费用支出，采购合同有约定的按照约定执行；无约定的，由采购人承担。委托采购代理机构组织项目验收的，委托费用应当在委托协议中明确。采购人单位工作人员不得获取劳务报酬。</w:t>
      </w:r>
      <w:r>
        <w:br/>
      </w:r>
      <w:r>
        <w:rPr>
          <w:rFonts w:ascii="仿宋_GB2312" w:hAnsi="仿宋_GB2312" w:cs="仿宋_GB2312" w:eastAsia="仿宋_GB2312"/>
        </w:rPr>
        <w:t xml:space="preserve"> 16、项目验收完成后，采购人应当将验收档案归入采购项目档案妥善保管，不得伪造、变造、隐匿或者违规销毁，验收档案保存期与采购项目档案保存期一致。</w:t>
      </w:r>
      <w:r>
        <w:br/>
      </w:r>
      <w:r>
        <w:rPr>
          <w:rFonts w:ascii="仿宋_GB2312" w:hAnsi="仿宋_GB2312" w:cs="仿宋_GB2312" w:eastAsia="仿宋_GB2312"/>
        </w:rPr>
        <w:t xml:space="preserve"> 17、履约验收过程有关合同履行问题、违约责任认定和争议解决处理按照《中华人民共和国民法典》等有关法律法规规定和合同约定执行。</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1、除谈判文件另有规定外，若出现有关法律、法规和规章有强制性规定但谈判文件未列明的情形，则供应商应按照有关法律、法规和规章强制性规定执行。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采购资金的支付方式、时间、条件： 严格按照《海南省财政厅关于进一步加强政府采购支持中小企业发展的通知》（2022年6月17日印发）、《海南省财政厅关于进一步优化政府采购营商环境的通知》（琼财采〔2022〕68号）以及《海南省财政厅关于印发〈海南省政府采购领域优化营商环境提升措施〉的通知》（琼财采〔2023〕981号）的规定执行： 1、对于满足合同约定支付条件的，采购人（或购买主体）原则上应当自收到发票后5个工作日内将资金支付到合同约定的供应商（或承接主体）账户，不得以机构变动、人员更替、政策调整等理由延迟付款，不得将采购文件和合同中未规定的义务作为向供应商（或承接主体）付款的条件，鼓励支付预付款，采购人（或购买主体）结合项目特点和供应商资信情况，在签订合同后即预付一定比例的合同款项给中标（成交）供应商，预付款比例原则上不低于合同金额的30%；对于资信状况良好、履约能力较强的中标（成交）供应商，可适当提高预付款比例，但最高不超过合同金额的70%，建议工程项目预付款有特殊规定的除外。 2、进一步加强政府采购支持中小企业发展的力度。（1）严格按照批准的预算开展政府采购，按时足额支付中小企业款项。若满足合同约定支付条件，采购人（或购买主体）自收到发票后3-5个工作日将资金支付到合同约定的供应商（或承接主体）账户。采购人（或购买主体）不得以机构变动、人员更替、政策调整等理由延迟付款，不得将采购文件和合同中未规定的义务作为向供应商（或承接主体）付款的条件。（2）对于有预留安排的合同，采购人（或购买主体）将合同预付款比例提高到30%以上；对于资信状况良好、履约能力较强的中标（成交）供应商，可适当提高预付款比例，但最高不超过合同金额的70%，建议工程项目预付款有特殊规定的除外。 3、采购人（或购买主体）和供应商（或承接主体）对资金支付产生争议的，应当按照法律规定和合同约定及时解决，保证资金支付效率。 4、采购人（或购买主体）逾期支付资金应承担违约责任。采购人（或购买主体）若存在逾期支付资金情形的，供应商（或承接主体）有权向相关财政部门报告，由财政部门启动政府采购合同资金支付预警监控机制，发现逾期支付资金问题的，视情况进行通报、约谈，依法依规追究责任。</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采购人根据采购项目的特殊要求， 所规定的供应商提供其符合特殊要 求的证明材料或者情况说明</w:t>
            </w:r>
          </w:p>
        </w:tc>
        <w:tc>
          <w:tcPr>
            <w:tcW w:type="dxa" w:w="3322"/>
          </w:tcPr>
          <w:p>
            <w:pPr>
              <w:pStyle w:val="null3"/>
              <w:jc w:val="left"/>
            </w:pPr>
            <w:r>
              <w:rPr>
                <w:rFonts w:ascii="仿宋_GB2312" w:hAnsi="仿宋_GB2312" w:cs="仿宋_GB2312" w:eastAsia="仿宋_GB2312"/>
              </w:rPr>
              <w:t>（1）参加政府采购活动前3年内没有环保类重大违法记录的书面声明； （2）供应商应当从采购人或者采购代理机构合法获得采购项目的谈判文件； （3）本项目不接受联合体谈判； （4）成交供应商成交后不得将项目分包或转让给其他主体实施。 （5）响应本项目的供应商，应持有所合法有效的《水生野生动物人工繁育许可证》。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在政府采购活动中查询及使用信用记录</w:t>
            </w:r>
          </w:p>
        </w:tc>
        <w:tc>
          <w:tcPr>
            <w:tcW w:type="dxa" w:w="3322"/>
          </w:tcPr>
          <w:p>
            <w:pPr>
              <w:pStyle w:val="null3"/>
              <w:jc w:val="left"/>
            </w:pPr>
            <w:r>
              <w:rPr>
                <w:rFonts w:ascii="仿宋_GB2312" w:hAnsi="仿宋_GB2312" w:cs="仿宋_GB2312" w:eastAsia="仿宋_GB2312"/>
              </w:rPr>
              <w:t>（1）查询渠道及截止时点：采购人、采购代理机构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 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供应商承诺函 其他材料 中小企业声明函 残疾人福利性单位声明函 供应商应提交的相关证明材料 自觉抵制政府采购领域商业贿赂行为承诺书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开标（报价）一览表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11.00%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HNYY2025-T001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东河镇种鳄采购（沧龙公司）</w:t>
      </w:r>
    </w:p>
    <w:p>
      <w:pPr>
        <w:pStyle w:val="null3"/>
        <w:jc w:val="left"/>
      </w:pPr>
      <w:r>
        <w:rPr>
          <w:rFonts w:ascii="仿宋_GB2312" w:hAnsi="仿宋_GB2312" w:cs="仿宋_GB2312" w:eastAsia="仿宋_GB2312"/>
        </w:rPr>
        <w:t>采购包：</w:t>
      </w:r>
      <w:r>
        <w:rPr>
          <w:rFonts w:ascii="仿宋_GB2312" w:hAnsi="仿宋_GB2312" w:cs="仿宋_GB2312" w:eastAsia="仿宋_GB2312"/>
        </w:rPr>
        <w:t>东河镇种鳄采购(沧龙公司)</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C23130100-农畜产品批发服务</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3800000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响应格式文件补充说明</w:t>
      </w:r>
    </w:p>
    <w:p>
      <w:pPr>
        <w:pStyle w:val="null3"/>
        <w:ind w:firstLine="480"/>
        <w:jc w:val="both"/>
      </w:pPr>
      <w:r>
        <w:rPr>
          <w:rFonts w:ascii="仿宋_GB2312" w:hAnsi="仿宋_GB2312" w:cs="仿宋_GB2312" w:eastAsia="仿宋_GB2312"/>
        </w:rPr>
        <w:t>重要提示：</w:t>
      </w:r>
    </w:p>
    <w:p>
      <w:pPr>
        <w:pStyle w:val="null3"/>
        <w:ind w:firstLine="480"/>
        <w:jc w:val="both"/>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