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东方市东河镇玉龙岭矿泉水资源勘查项目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THS2025-C002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东方市自然资源和规划局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海南泰合盛政府采购招标代理有限公司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东方市自然资源和规划局</w:t>
      </w:r>
      <w:r>
        <w:rPr>
          <w:rFonts w:ascii="仿宋_GB2312" w:hAnsi="仿宋_GB2312" w:cs="仿宋_GB2312" w:eastAsia="仿宋_GB2312"/>
        </w:rPr>
        <w:t xml:space="preserve"> 的委托， </w:t>
      </w:r>
      <w:r>
        <w:rPr>
          <w:rFonts w:ascii="仿宋_GB2312" w:hAnsi="仿宋_GB2312" w:cs="仿宋_GB2312" w:eastAsia="仿宋_GB2312"/>
        </w:rPr>
        <w:t>海南泰合盛政府采购招标代理有限公司</w:t>
      </w:r>
      <w:r>
        <w:rPr>
          <w:rFonts w:ascii="仿宋_GB2312" w:hAnsi="仿宋_GB2312" w:cs="仿宋_GB2312" w:eastAsia="仿宋_GB2312"/>
        </w:rPr>
        <w:t xml:space="preserve"> 对 </w:t>
      </w:r>
      <w:r>
        <w:rPr>
          <w:rFonts w:ascii="仿宋_GB2312" w:hAnsi="仿宋_GB2312" w:cs="仿宋_GB2312" w:eastAsia="仿宋_GB2312"/>
        </w:rPr>
        <w:t>东方市东河镇玉龙岭矿泉水资源勘查项目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THS2025-C002</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东方市东河镇玉龙岭矿泉水资源勘查项目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2,311,000.00元</w:t>
      </w:r>
      <w:r>
        <w:rPr>
          <w:rFonts w:ascii="仿宋_GB2312" w:hAnsi="仿宋_GB2312" w:cs="仿宋_GB2312" w:eastAsia="仿宋_GB2312"/>
        </w:rPr>
        <w:t>贰佰叁拾壹万壹仟元整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2025年5月～2026年9月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人根据采购项目的特殊要求，所规定的供应商提供其符合特殊要求的证明材料或者情况说明：（1）参加政府采购活动前3年内没有环保类重大违法记录的书面声明；（2）供应商应当从采购人或者采购代理机构合法获得采购项目的磋商文件；（3）本项目不接受联合体磋商；（4）成交供应商成交后不得将项目分包或转让给其他主体实施；（5）本项目整体面向中小企业，供应商应当为采购标的对应的中小企业划分标准所属行业中的中小企业。</w:t>
      </w:r>
    </w:p>
    <w:p>
      <w:pPr>
        <w:pStyle w:val="null3"/>
        <w:jc w:val="left"/>
      </w:pPr>
      <w:r>
        <w:rPr>
          <w:rFonts w:ascii="仿宋_GB2312" w:hAnsi="仿宋_GB2312" w:cs="仿宋_GB2312" w:eastAsia="仿宋_GB2312"/>
        </w:rPr>
        <w:t>2、在政府采购活动中查询及使用信用记录：（1）查询渠道及截止时点：采购人、采购代理机构通过“信用中国”网站（www.creditchina.gov.cn）、中国政府采购网（www.ccgp.gov.cn）等渠道查询相关供应商的信用记录，以采购文件要求（确定）的提交投标（响应）文件截止时间为查询截止时点；（2）信用信息查询记录和证据留存的具体方式：采取必要方式（书证、电子数据等）做好信用信息查询记录和证据留存，信用信息查询记录及相关证据与其他采购文件一并保存。（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东方市自然资源和规划局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东方市八所镇二环南路4号东方市自然资源和规划局</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13698929098</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海南泰合盛政府采购招标代理有限公司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海南省海口市龙华区海垦街道滨涯路11号海侨花园2幢1单元901房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刘经理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13907592794</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采购包1：2,311,000.00元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120日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代理服务费收费标准：参照国家计委关于印发《招标代理服务收费管理暂行办法》的通知 (计价格 (2002) 1980 号)收费标准计算并下浮10.5%计收</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成交后成交供应商须另行提供响应文件 3 份。（与上传系统响应文件一致，并加盖骑缝章）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联系人：刘经理</w:t>
      </w:r>
    </w:p>
    <w:p>
      <w:pPr>
        <w:pStyle w:val="null3"/>
        <w:jc w:val="left"/>
      </w:pPr>
      <w:r>
        <w:rPr>
          <w:rFonts w:ascii="仿宋_GB2312" w:hAnsi="仿宋_GB2312" w:cs="仿宋_GB2312" w:eastAsia="仿宋_GB2312"/>
        </w:rPr>
        <w:t>联系电话：13907592794</w:t>
      </w:r>
    </w:p>
    <w:p>
      <w:pPr>
        <w:pStyle w:val="null3"/>
        <w:jc w:val="left"/>
      </w:pPr>
      <w:r>
        <w:rPr>
          <w:rFonts w:ascii="仿宋_GB2312" w:hAnsi="仿宋_GB2312" w:cs="仿宋_GB2312" w:eastAsia="仿宋_GB2312"/>
        </w:rPr>
        <w:t>地址：海南省海口市龙华区海垦街道滨涯路11号海侨花园2幢1单元901房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19"/>
          <w:color w:val="000000"/>
        </w:rPr>
        <w:t xml:space="preserve">  本项目的采购需求，是指采购人为实现项目目标，拟采购的标的及其需要满足的技术、商务要求。技术要求是指对采购标</w:t>
      </w:r>
      <w:r>
        <w:rPr>
          <w:rFonts w:ascii="仿宋_GB2312" w:hAnsi="仿宋_GB2312" w:cs="仿宋_GB2312" w:eastAsia="仿宋_GB2312"/>
          <w:sz w:val="19"/>
          <w:color w:val="000000"/>
        </w:rPr>
        <w:t>的的功能和质量要求，包括性能、材料、结构、外观、安全，或者服务内容和标准等。商务要求是指取得采购标的的时间、地</w:t>
      </w:r>
      <w:r>
        <w:rPr>
          <w:rFonts w:ascii="仿宋_GB2312" w:hAnsi="仿宋_GB2312" w:cs="仿宋_GB2312" w:eastAsia="仿宋_GB2312"/>
          <w:sz w:val="19"/>
          <w:color w:val="000000"/>
        </w:rPr>
        <w:t>点、财务和服务要求，包括交付（实施）的时间（期限）和地点（范围），付款条件（进度和方式），包装和运输，售后服务</w:t>
      </w:r>
      <w:r>
        <w:rPr>
          <w:rFonts w:ascii="仿宋_GB2312" w:hAnsi="仿宋_GB2312" w:cs="仿宋_GB2312" w:eastAsia="仿宋_GB2312"/>
          <w:sz w:val="19"/>
          <w:color w:val="000000"/>
        </w:rPr>
        <w:t>，保险等。</w:t>
      </w:r>
    </w:p>
    <w:p>
      <w:pPr>
        <w:pStyle w:val="null3"/>
        <w:jc w:val="left"/>
      </w:pPr>
      <w:r>
        <w:rPr>
          <w:rFonts w:ascii="仿宋_GB2312" w:hAnsi="仿宋_GB2312" w:cs="仿宋_GB2312" w:eastAsia="仿宋_GB2312"/>
          <w:sz w:val="19"/>
          <w:color w:val="000000"/>
        </w:rPr>
        <w:t xml:space="preserve">  采购人遵循预算、资产和财务等相关管理制度规定，结合采购项目特点和实际需要并依据部门预算（工程项目概预算）</w:t>
      </w:r>
      <w:r>
        <w:rPr>
          <w:rFonts w:ascii="仿宋_GB2312" w:hAnsi="仿宋_GB2312" w:cs="仿宋_GB2312" w:eastAsia="仿宋_GB2312"/>
          <w:sz w:val="19"/>
          <w:color w:val="000000"/>
        </w:rPr>
        <w:t>确定采购需求，采购需求可以直接引用相关国家标准、行业标准、地方标准等标准、规范，也可以根据项目目标提出更高的技</w:t>
      </w:r>
      <w:r>
        <w:rPr>
          <w:rFonts w:ascii="仿宋_GB2312" w:hAnsi="仿宋_GB2312" w:cs="仿宋_GB2312" w:eastAsia="仿宋_GB2312"/>
          <w:sz w:val="19"/>
          <w:color w:val="000000"/>
        </w:rPr>
        <w:t>术要求。</w:t>
      </w:r>
    </w:p>
    <w:p>
      <w:pPr>
        <w:pStyle w:val="null3"/>
        <w:jc w:val="left"/>
      </w:pPr>
      <w:r>
        <w:rPr>
          <w:rFonts w:ascii="仿宋_GB2312" w:hAnsi="仿宋_GB2312" w:cs="仿宋_GB2312" w:eastAsia="仿宋_GB2312"/>
          <w:sz w:val="19"/>
          <w:color w:val="000000"/>
        </w:rPr>
        <w:t xml:space="preserve"> （一）项目背景：</w:t>
      </w:r>
    </w:p>
    <w:p>
      <w:pPr>
        <w:pStyle w:val="null3"/>
        <w:jc w:val="left"/>
      </w:pPr>
      <w:r>
        <w:rPr>
          <w:rFonts w:ascii="仿宋_GB2312" w:hAnsi="仿宋_GB2312" w:cs="仿宋_GB2312" w:eastAsia="仿宋_GB2312"/>
          <w:sz w:val="19"/>
          <w:color w:val="000000"/>
        </w:rPr>
        <w:t>东方市自然资源和规划局开展东河镇玉龙村饮用天然矿泉水资源地质勘查工作为资源认定、科学规划、合理开发利用饮用</w:t>
      </w:r>
      <w:r>
        <w:rPr>
          <w:rFonts w:ascii="仿宋_GB2312" w:hAnsi="仿宋_GB2312" w:cs="仿宋_GB2312" w:eastAsia="仿宋_GB2312"/>
          <w:sz w:val="19"/>
          <w:color w:val="000000"/>
        </w:rPr>
        <w:t>天然矿泉水资源，以减少资源开发中的风险，取得最大的经济、社会和环境效益提供依据。</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2,311,000.00</w:t>
      </w:r>
    </w:p>
    <w:p>
      <w:pPr>
        <w:pStyle w:val="null3"/>
        <w:jc w:val="left"/>
      </w:pPr>
      <w:r>
        <w:rPr>
          <w:rFonts w:ascii="仿宋_GB2312" w:hAnsi="仿宋_GB2312" w:cs="仿宋_GB2312" w:eastAsia="仿宋_GB2312"/>
        </w:rPr>
        <w:t>采购包最高限价（元）: 2,311,000.00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C19060000-地质勘测服务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2,311,000.00</w:t>
            </w:r>
          </w:p>
        </w:tc>
        <w:tc>
          <w:tcPr>
            <w:tcW w:type="dxa" w:w="831"/>
          </w:tcPr>
          <w:p>
            <w:pPr>
              <w:pStyle w:val="null3"/>
              <w:jc w:val="left"/>
            </w:pPr>
            <w:r>
              <w:rPr>
                <w:rFonts w:ascii="仿宋_GB2312" w:hAnsi="仿宋_GB2312" w:cs="仿宋_GB2312" w:eastAsia="仿宋_GB2312"/>
              </w:rPr>
              <w:t>处</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东方市东河镇玉龙岭矿泉水资源勘查</w:t>
            </w:r>
          </w:p>
        </w:tc>
        <w:tc>
          <w:tcPr>
            <w:tcW w:type="dxa" w:w="554"/>
          </w:tcPr>
          <w:p>
            <w:pPr>
              <w:pStyle w:val="null3"/>
              <w:jc w:val="left"/>
            </w:pPr>
            <w:r>
              <w:rPr>
                <w:rFonts w:ascii="仿宋_GB2312" w:hAnsi="仿宋_GB2312" w:cs="仿宋_GB2312" w:eastAsia="仿宋_GB2312"/>
              </w:rPr>
              <w:t>处</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2,311,000.00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标的名称：C19060000-地质勘测服务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9"/>
                <w:color w:val="000000"/>
              </w:rPr>
              <w:t>项目目标：天然矿泉水水源地勘查是对矿泉水水源地进行综合地质勘查工作，主要任务</w:t>
            </w:r>
            <w:r>
              <w:rPr>
                <w:rFonts w:ascii="仿宋_GB2312" w:hAnsi="仿宋_GB2312" w:cs="仿宋_GB2312" w:eastAsia="仿宋_GB2312"/>
                <w:sz w:val="19"/>
                <w:color w:val="000000"/>
              </w:rPr>
              <w:t>是查明饮用天然矿泉水资源的赋存条件和分布规律，圈定可供开发利用的地区和水源地</w:t>
            </w:r>
            <w:r>
              <w:rPr>
                <w:rFonts w:ascii="仿宋_GB2312" w:hAnsi="仿宋_GB2312" w:cs="仿宋_GB2312" w:eastAsia="仿宋_GB2312"/>
                <w:sz w:val="19"/>
                <w:color w:val="000000"/>
              </w:rPr>
              <w:t>，评价资源量，确定合理开发利用量，并对其开采技术经济条件和资源、环境保护做出</w:t>
            </w:r>
            <w:r>
              <w:rPr>
                <w:rFonts w:ascii="仿宋_GB2312" w:hAnsi="仿宋_GB2312" w:cs="仿宋_GB2312" w:eastAsia="仿宋_GB2312"/>
                <w:sz w:val="19"/>
                <w:color w:val="000000"/>
              </w:rPr>
              <w:t>评价，提出合理开发利用方案建议。</w:t>
            </w:r>
          </w:p>
        </w:tc>
      </w:tr>
      <w:tr>
        <w:tc>
          <w:tcPr>
            <w:tcW w:type="dxa" w:w="2769"/>
          </w:tcPr>
          <w:p>
            <w:pPr>
              <w:pStyle w:val="null3"/>
              <w:jc w:val="left"/>
            </w:pPr>
            <w:r>
              <w:rPr>
                <w:rFonts w:ascii="仿宋_GB2312" w:hAnsi="仿宋_GB2312" w:cs="仿宋_GB2312" w:eastAsia="仿宋_GB2312"/>
              </w:rPr>
              <w:t>2</w:t>
            </w:r>
          </w:p>
        </w:tc>
        <w:tc>
          <w:tcPr>
            <w:tcW w:type="dxa" w:w="2769"/>
          </w:tcPr>
          <w:p/>
        </w:tc>
        <w:tc>
          <w:tcPr>
            <w:tcW w:type="dxa" w:w="2769"/>
          </w:tcPr>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）项目</w:t>
            </w:r>
            <w:r>
              <w:rPr>
                <w:rFonts w:ascii="仿宋_GB2312" w:hAnsi="仿宋_GB2312" w:cs="仿宋_GB2312" w:eastAsia="仿宋_GB2312"/>
                <w:sz w:val="24"/>
                <w:b/>
              </w:rPr>
              <w:t>任务</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、在充分利用现有区域地质、水文地质、环境地质等基础地质成果资料的基础上，开展</w:t>
            </w:r>
            <w:r>
              <w:rPr>
                <w:rFonts w:ascii="仿宋_GB2312" w:hAnsi="仿宋_GB2312" w:cs="仿宋_GB2312" w:eastAsia="仿宋_GB2312"/>
                <w:sz w:val="24"/>
              </w:rPr>
              <w:t>11.62km</w:t>
            </w:r>
            <w:r>
              <w:rPr>
                <w:rFonts w:ascii="仿宋_GB2312" w:hAnsi="仿宋_GB2312" w:cs="仿宋_GB2312" w:eastAsia="仿宋_GB2312"/>
                <w:sz w:val="24"/>
                <w:vertAlign w:val="superscript"/>
              </w:rPr>
              <w:t>2</w:t>
            </w:r>
            <w:r>
              <w:rPr>
                <w:rFonts w:ascii="仿宋_GB2312" w:hAnsi="仿宋_GB2312" w:cs="仿宋_GB2312" w:eastAsia="仿宋_GB2312"/>
                <w:sz w:val="24"/>
              </w:rPr>
              <w:t>的</w:t>
            </w:r>
            <w:r>
              <w:rPr>
                <w:rFonts w:ascii="仿宋_GB2312" w:hAnsi="仿宋_GB2312" w:cs="仿宋_GB2312" w:eastAsia="仿宋_GB2312"/>
                <w:sz w:val="24"/>
              </w:rPr>
              <w:t>1:50000</w:t>
            </w:r>
            <w:r>
              <w:rPr>
                <w:rFonts w:ascii="仿宋_GB2312" w:hAnsi="仿宋_GB2312" w:cs="仿宋_GB2312" w:eastAsia="仿宋_GB2312"/>
                <w:sz w:val="24"/>
              </w:rPr>
              <w:t>区域水文地质调查及</w:t>
            </w:r>
            <w:r>
              <w:rPr>
                <w:rFonts w:ascii="仿宋_GB2312" w:hAnsi="仿宋_GB2312" w:cs="仿宋_GB2312" w:eastAsia="仿宋_GB2312"/>
                <w:sz w:val="24"/>
              </w:rPr>
              <w:t>2km</w:t>
            </w:r>
            <w:r>
              <w:rPr>
                <w:rFonts w:ascii="仿宋_GB2312" w:hAnsi="仿宋_GB2312" w:cs="仿宋_GB2312" w:eastAsia="仿宋_GB2312"/>
                <w:sz w:val="24"/>
                <w:vertAlign w:val="superscript"/>
              </w:rPr>
              <w:t>2</w:t>
            </w:r>
            <w:r>
              <w:rPr>
                <w:rFonts w:ascii="仿宋_GB2312" w:hAnsi="仿宋_GB2312" w:cs="仿宋_GB2312" w:eastAsia="仿宋_GB2312"/>
                <w:sz w:val="24"/>
              </w:rPr>
              <w:t>的</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专项水文地质测量、专项工程地质测量、专项环境地质测量，基本查明勘查区的地层及岩性特征、地质构造、水文地质条件等，研究矿泉水水源地形成的地质背景与构造条件等。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、结合基础地质测量和水文地质调查成果布置物探工作，主要查明区内地层、岩性、隐伏断裂的空间展布以及圈定地下水富水带异常范围等，并部署水文地质钻探孔。</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在基础地质测量、水文地质调查、物探等工作的基础上开展水文地质钻探、抽水试验、样品测试与评价、地下水动态监测等工作，取得有代表性的水文地质、工程地质计算参数，基本查明天然矿泉水资源的赋存条件和分布规律</w:t>
            </w:r>
            <w:r>
              <w:rPr>
                <w:rFonts w:ascii="仿宋_GB2312" w:hAnsi="仿宋_GB2312" w:cs="仿宋_GB2312" w:eastAsia="仿宋_GB2312"/>
                <w:sz w:val="24"/>
              </w:rPr>
              <w:t>,</w:t>
            </w:r>
            <w:r>
              <w:rPr>
                <w:rFonts w:ascii="仿宋_GB2312" w:hAnsi="仿宋_GB2312" w:cs="仿宋_GB2312" w:eastAsia="仿宋_GB2312"/>
                <w:sz w:val="24"/>
              </w:rPr>
              <w:t>圈定可供开发利用的地区和水源地</w:t>
            </w:r>
            <w:r>
              <w:rPr>
                <w:rFonts w:ascii="仿宋_GB2312" w:hAnsi="仿宋_GB2312" w:cs="仿宋_GB2312" w:eastAsia="仿宋_GB2312"/>
                <w:sz w:val="24"/>
              </w:rPr>
              <w:t>,</w:t>
            </w:r>
            <w:r>
              <w:rPr>
                <w:rFonts w:ascii="仿宋_GB2312" w:hAnsi="仿宋_GB2312" w:cs="仿宋_GB2312" w:eastAsia="仿宋_GB2312"/>
                <w:sz w:val="24"/>
              </w:rPr>
              <w:t>确定合理开发利用量</w:t>
            </w:r>
            <w:r>
              <w:rPr>
                <w:rFonts w:ascii="仿宋_GB2312" w:hAnsi="仿宋_GB2312" w:cs="仿宋_GB2312" w:eastAsia="仿宋_GB2312"/>
                <w:sz w:val="24"/>
              </w:rPr>
              <w:t>,</w:t>
            </w:r>
            <w:r>
              <w:rPr>
                <w:rFonts w:ascii="仿宋_GB2312" w:hAnsi="仿宋_GB2312" w:cs="仿宋_GB2312" w:eastAsia="仿宋_GB2312"/>
                <w:sz w:val="24"/>
              </w:rPr>
              <w:t>并对其开采技术条件和环境保护做出评价，为合理开发利用与保护提供科学依据。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技术路线</w:t>
            </w:r>
          </w:p>
          <w:p>
            <w:pPr>
              <w:pStyle w:val="null3"/>
              <w:ind w:firstLine="480"/>
              <w:jc w:val="both"/>
            </w:pPr>
            <w:r>
              <w:rPr>
                <w:rFonts w:ascii="仿宋_GB2312" w:hAnsi="仿宋_GB2312" w:cs="仿宋_GB2312" w:eastAsia="仿宋_GB2312"/>
                <w:sz w:val="24"/>
              </w:rPr>
              <w:t>本次饮用天然矿泉水勘查工作，运用多学科联合攻关，在充分收集和系统分析已有资料基础上，结合勘查区的地质背景，开展</w:t>
            </w:r>
            <w:r>
              <w:rPr>
                <w:rFonts w:ascii="仿宋_GB2312" w:hAnsi="仿宋_GB2312" w:cs="仿宋_GB2312" w:eastAsia="仿宋_GB2312"/>
                <w:sz w:val="24"/>
              </w:rPr>
              <w:t>1:50000</w:t>
            </w:r>
            <w:r>
              <w:rPr>
                <w:rFonts w:ascii="仿宋_GB2312" w:hAnsi="仿宋_GB2312" w:cs="仿宋_GB2312" w:eastAsia="仿宋_GB2312"/>
                <w:sz w:val="24"/>
              </w:rPr>
              <w:t>区域水文地质调查及</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5000</w:t>
            </w:r>
            <w:r>
              <w:rPr>
                <w:rFonts w:ascii="仿宋_GB2312" w:hAnsi="仿宋_GB2312" w:cs="仿宋_GB2312" w:eastAsia="仿宋_GB2312"/>
                <w:sz w:val="24"/>
              </w:rPr>
              <w:t>专项水文地质测量、专项工程地质测量、专项环境地质测量，并有针对性地进行地球物理勘探、水文地质钻探、抽水试验、水样分析测试、地下水动态监测等手段方法，基本查明勘查区范围内天然矿泉水资源的赋存条件和分布规律，圈定可供开发利用的地区和水源地。</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、充分利用前人的调查、综合研究的成果，在检查验证的基础上，分析前人资料存在的不足，本着哪方面不足，补哪方面的原则，开展切实可行的调查技术路线。</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、资料开发、地面调查、地球物理勘探、水文地质钻探、分析测试、动态监测等工作方法手段相结合的技术路线。</w:t>
            </w:r>
          </w:p>
          <w:p>
            <w:pPr>
              <w:pStyle w:val="null3"/>
              <w:ind w:firstLine="480"/>
              <w:jc w:val="both"/>
            </w:pPr>
            <w:r>
              <w:rPr>
                <w:rFonts w:ascii="仿宋_GB2312" w:hAnsi="仿宋_GB2312" w:cs="仿宋_GB2312" w:eastAsia="仿宋_GB2312"/>
                <w:sz w:val="24"/>
              </w:rPr>
              <w:t>主要工作流程：资料收集、野外踏勘</w:t>
            </w:r>
            <w:r>
              <w:rPr>
                <w:rFonts w:ascii="仿宋_GB2312" w:hAnsi="仿宋_GB2312" w:cs="仿宋_GB2312" w:eastAsia="仿宋_GB2312"/>
                <w:sz w:val="24"/>
              </w:rPr>
              <w:t>→</w:t>
            </w:r>
            <w:r>
              <w:rPr>
                <w:rFonts w:ascii="仿宋_GB2312" w:hAnsi="仿宋_GB2312" w:cs="仿宋_GB2312" w:eastAsia="仿宋_GB2312"/>
                <w:sz w:val="24"/>
              </w:rPr>
              <w:t>设计编写</w:t>
            </w:r>
            <w:r>
              <w:rPr>
                <w:rFonts w:ascii="仿宋_GB2312" w:hAnsi="仿宋_GB2312" w:cs="仿宋_GB2312" w:eastAsia="仿宋_GB2312"/>
                <w:sz w:val="24"/>
              </w:rPr>
              <w:t>→</w:t>
            </w:r>
            <w:r>
              <w:rPr>
                <w:rFonts w:ascii="仿宋_GB2312" w:hAnsi="仿宋_GB2312" w:cs="仿宋_GB2312" w:eastAsia="仿宋_GB2312"/>
                <w:sz w:val="24"/>
              </w:rPr>
              <w:t>资料开发</w:t>
            </w:r>
            <w:r>
              <w:rPr>
                <w:rFonts w:ascii="仿宋_GB2312" w:hAnsi="仿宋_GB2312" w:cs="仿宋_GB2312" w:eastAsia="仿宋_GB2312"/>
                <w:sz w:val="24"/>
              </w:rPr>
              <w:t>→</w:t>
            </w:r>
            <w:r>
              <w:rPr>
                <w:rFonts w:ascii="仿宋_GB2312" w:hAnsi="仿宋_GB2312" w:cs="仿宋_GB2312" w:eastAsia="仿宋_GB2312"/>
                <w:sz w:val="24"/>
              </w:rPr>
              <w:t>野外地面调查</w:t>
            </w:r>
            <w:r>
              <w:rPr>
                <w:rFonts w:ascii="仿宋_GB2312" w:hAnsi="仿宋_GB2312" w:cs="仿宋_GB2312" w:eastAsia="仿宋_GB2312"/>
                <w:sz w:val="24"/>
              </w:rPr>
              <w:t>→</w:t>
            </w:r>
            <w:r>
              <w:rPr>
                <w:rFonts w:ascii="仿宋_GB2312" w:hAnsi="仿宋_GB2312" w:cs="仿宋_GB2312" w:eastAsia="仿宋_GB2312"/>
                <w:sz w:val="24"/>
              </w:rPr>
              <w:t>地形测量</w:t>
            </w:r>
            <w:r>
              <w:rPr>
                <w:rFonts w:ascii="仿宋_GB2312" w:hAnsi="仿宋_GB2312" w:cs="仿宋_GB2312" w:eastAsia="仿宋_GB2312"/>
                <w:sz w:val="24"/>
              </w:rPr>
              <w:t>→</w:t>
            </w:r>
            <w:r>
              <w:rPr>
                <w:rFonts w:ascii="仿宋_GB2312" w:hAnsi="仿宋_GB2312" w:cs="仿宋_GB2312" w:eastAsia="仿宋_GB2312"/>
                <w:sz w:val="24"/>
              </w:rPr>
              <w:t>地球物理勘探</w:t>
            </w:r>
            <w:r>
              <w:rPr>
                <w:rFonts w:ascii="仿宋_GB2312" w:hAnsi="仿宋_GB2312" w:cs="仿宋_GB2312" w:eastAsia="仿宋_GB2312"/>
                <w:sz w:val="24"/>
              </w:rPr>
              <w:t>→</w:t>
            </w:r>
            <w:r>
              <w:rPr>
                <w:rFonts w:ascii="仿宋_GB2312" w:hAnsi="仿宋_GB2312" w:cs="仿宋_GB2312" w:eastAsia="仿宋_GB2312"/>
                <w:sz w:val="24"/>
              </w:rPr>
              <w:t>水文地质钻探</w:t>
            </w:r>
            <w:r>
              <w:rPr>
                <w:rFonts w:ascii="仿宋_GB2312" w:hAnsi="仿宋_GB2312" w:cs="仿宋_GB2312" w:eastAsia="仿宋_GB2312"/>
                <w:sz w:val="24"/>
              </w:rPr>
              <w:t>→</w:t>
            </w:r>
            <w:r>
              <w:rPr>
                <w:rFonts w:ascii="仿宋_GB2312" w:hAnsi="仿宋_GB2312" w:cs="仿宋_GB2312" w:eastAsia="仿宋_GB2312"/>
                <w:sz w:val="24"/>
              </w:rPr>
              <w:t>抽水试验</w:t>
            </w:r>
            <w:r>
              <w:rPr>
                <w:rFonts w:ascii="仿宋_GB2312" w:hAnsi="仿宋_GB2312" w:cs="仿宋_GB2312" w:eastAsia="仿宋_GB2312"/>
                <w:sz w:val="24"/>
              </w:rPr>
              <w:t>→</w:t>
            </w:r>
            <w:r>
              <w:rPr>
                <w:rFonts w:ascii="仿宋_GB2312" w:hAnsi="仿宋_GB2312" w:cs="仿宋_GB2312" w:eastAsia="仿宋_GB2312"/>
                <w:sz w:val="24"/>
              </w:rPr>
              <w:t>取样测试</w:t>
            </w:r>
            <w:r>
              <w:rPr>
                <w:rFonts w:ascii="仿宋_GB2312" w:hAnsi="仿宋_GB2312" w:cs="仿宋_GB2312" w:eastAsia="仿宋_GB2312"/>
                <w:sz w:val="24"/>
              </w:rPr>
              <w:t>→</w:t>
            </w:r>
            <w:r>
              <w:rPr>
                <w:rFonts w:ascii="仿宋_GB2312" w:hAnsi="仿宋_GB2312" w:cs="仿宋_GB2312" w:eastAsia="仿宋_GB2312"/>
                <w:sz w:val="24"/>
              </w:rPr>
              <w:t>地下水动态监测</w:t>
            </w:r>
            <w:r>
              <w:rPr>
                <w:rFonts w:ascii="仿宋_GB2312" w:hAnsi="仿宋_GB2312" w:cs="仿宋_GB2312" w:eastAsia="仿宋_GB2312"/>
                <w:sz w:val="24"/>
              </w:rPr>
              <w:t>→</w:t>
            </w:r>
            <w:r>
              <w:rPr>
                <w:rFonts w:ascii="仿宋_GB2312" w:hAnsi="仿宋_GB2312" w:cs="仿宋_GB2312" w:eastAsia="仿宋_GB2312"/>
                <w:sz w:val="24"/>
              </w:rPr>
              <w:t>资料综合研究、评价、成果报告及图件编制</w:t>
            </w:r>
            <w:r>
              <w:rPr>
                <w:rFonts w:ascii="仿宋_GB2312" w:hAnsi="仿宋_GB2312" w:cs="仿宋_GB2312" w:eastAsia="仿宋_GB2312"/>
                <w:sz w:val="24"/>
              </w:rPr>
              <w:t>→</w:t>
            </w:r>
            <w:r>
              <w:rPr>
                <w:rFonts w:ascii="仿宋_GB2312" w:hAnsi="仿宋_GB2312" w:cs="仿宋_GB2312" w:eastAsia="仿宋_GB2312"/>
                <w:sz w:val="24"/>
              </w:rPr>
              <w:t>成果资料提交。</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主要实物工作量</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千地形测量</w:t>
            </w:r>
            <w:r>
              <w:rPr>
                <w:rFonts w:ascii="仿宋_GB2312" w:hAnsi="仿宋_GB2312" w:cs="仿宋_GB2312" w:eastAsia="仿宋_GB2312"/>
                <w:sz w:val="24"/>
              </w:rPr>
              <w:t>2km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万区域水文地质调查</w:t>
            </w:r>
            <w:r>
              <w:rPr>
                <w:rFonts w:ascii="仿宋_GB2312" w:hAnsi="仿宋_GB2312" w:cs="仿宋_GB2312" w:eastAsia="仿宋_GB2312"/>
                <w:sz w:val="24"/>
              </w:rPr>
              <w:t>11.62km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千专项水文地质、工程地质、环境地质测量</w:t>
            </w:r>
            <w:r>
              <w:rPr>
                <w:rFonts w:ascii="仿宋_GB2312" w:hAnsi="仿宋_GB2312" w:cs="仿宋_GB2312" w:eastAsia="仿宋_GB2312"/>
                <w:sz w:val="24"/>
              </w:rPr>
              <w:t>2km</w:t>
            </w:r>
            <w:r>
              <w:rPr>
                <w:rFonts w:ascii="仿宋_GB2312" w:hAnsi="仿宋_GB2312" w:cs="仿宋_GB2312" w:eastAsia="仿宋_GB2312"/>
                <w:sz w:val="24"/>
                <w:vertAlign w:val="superscript"/>
              </w:rPr>
              <w:t>2</w:t>
            </w:r>
            <w:r>
              <w:rPr>
                <w:rFonts w:ascii="仿宋_GB2312" w:hAnsi="仿宋_GB2312" w:cs="仿宋_GB2312" w:eastAsia="仿宋_GB2312"/>
                <w:sz w:val="24"/>
              </w:rPr>
              <w:t>；高密度电阻率法测量</w:t>
            </w:r>
            <w:r>
              <w:rPr>
                <w:rFonts w:ascii="仿宋_GB2312" w:hAnsi="仿宋_GB2312" w:cs="仿宋_GB2312" w:eastAsia="仿宋_GB2312"/>
                <w:sz w:val="24"/>
              </w:rPr>
              <w:t>900</w:t>
            </w:r>
            <w:r>
              <w:rPr>
                <w:rFonts w:ascii="仿宋_GB2312" w:hAnsi="仿宋_GB2312" w:cs="仿宋_GB2312" w:eastAsia="仿宋_GB2312"/>
                <w:sz w:val="24"/>
              </w:rPr>
              <w:t>点（点距</w:t>
            </w:r>
            <w:r>
              <w:rPr>
                <w:rFonts w:ascii="仿宋_GB2312" w:hAnsi="仿宋_GB2312" w:cs="仿宋_GB2312" w:eastAsia="仿宋_GB2312"/>
                <w:sz w:val="24"/>
              </w:rPr>
              <w:t>10m</w:t>
            </w:r>
            <w:r>
              <w:rPr>
                <w:rFonts w:ascii="仿宋_GB2312" w:hAnsi="仿宋_GB2312" w:cs="仿宋_GB2312" w:eastAsia="仿宋_GB2312"/>
                <w:sz w:val="24"/>
              </w:rPr>
              <w:t>），天然场音频大地电磁法（</w:t>
            </w:r>
            <w:r>
              <w:rPr>
                <w:rFonts w:ascii="仿宋_GB2312" w:hAnsi="仿宋_GB2312" w:cs="仿宋_GB2312" w:eastAsia="仿宋_GB2312"/>
                <w:sz w:val="24"/>
              </w:rPr>
              <w:t>CSAMT/AMT</w:t>
            </w:r>
            <w:r>
              <w:rPr>
                <w:rFonts w:ascii="仿宋_GB2312" w:hAnsi="仿宋_GB2312" w:cs="仿宋_GB2312" w:eastAsia="仿宋_GB2312"/>
                <w:sz w:val="24"/>
              </w:rPr>
              <w:t>测量）</w:t>
            </w:r>
            <w:r>
              <w:rPr>
                <w:rFonts w:ascii="仿宋_GB2312" w:hAnsi="仿宋_GB2312" w:cs="仿宋_GB2312" w:eastAsia="仿宋_GB2312"/>
                <w:sz w:val="24"/>
              </w:rPr>
              <w:t>150</w:t>
            </w:r>
            <w:r>
              <w:rPr>
                <w:rFonts w:ascii="仿宋_GB2312" w:hAnsi="仿宋_GB2312" w:cs="仿宋_GB2312" w:eastAsia="仿宋_GB2312"/>
                <w:sz w:val="24"/>
              </w:rPr>
              <w:t>点（点距</w:t>
            </w:r>
            <w:r>
              <w:rPr>
                <w:rFonts w:ascii="仿宋_GB2312" w:hAnsi="仿宋_GB2312" w:cs="仿宋_GB2312" w:eastAsia="仿宋_GB2312"/>
                <w:sz w:val="24"/>
              </w:rPr>
              <w:t>20m</w:t>
            </w:r>
            <w:r>
              <w:rPr>
                <w:rFonts w:ascii="仿宋_GB2312" w:hAnsi="仿宋_GB2312" w:cs="仿宋_GB2312" w:eastAsia="仿宋_GB2312"/>
                <w:sz w:val="24"/>
              </w:rPr>
              <w:t>）；水文地质钻探</w:t>
            </w:r>
            <w:r>
              <w:rPr>
                <w:rFonts w:ascii="仿宋_GB2312" w:hAnsi="仿宋_GB2312" w:cs="仿宋_GB2312" w:eastAsia="仿宋_GB2312"/>
                <w:sz w:val="24"/>
              </w:rPr>
              <w:t>800m</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口）；抽水试验</w:t>
            </w:r>
            <w:r>
              <w:rPr>
                <w:rFonts w:ascii="仿宋_GB2312" w:hAnsi="仿宋_GB2312" w:cs="仿宋_GB2312" w:eastAsia="仿宋_GB2312"/>
                <w:sz w:val="24"/>
              </w:rPr>
              <w:t>115</w:t>
            </w:r>
            <w:r>
              <w:rPr>
                <w:rFonts w:ascii="仿宋_GB2312" w:hAnsi="仿宋_GB2312" w:cs="仿宋_GB2312" w:eastAsia="仿宋_GB2312"/>
                <w:sz w:val="24"/>
              </w:rPr>
              <w:t>台班；</w:t>
            </w:r>
            <w:r>
              <w:rPr>
                <w:rFonts w:ascii="仿宋_GB2312" w:hAnsi="仿宋_GB2312" w:cs="仿宋_GB2312" w:eastAsia="仿宋_GB2312"/>
                <w:sz w:val="24"/>
              </w:rPr>
              <w:t>矿泉水分析</w:t>
            </w:r>
            <w:r>
              <w:rPr>
                <w:rFonts w:ascii="仿宋_GB2312" w:hAnsi="仿宋_GB2312" w:cs="仿宋_GB2312" w:eastAsia="仿宋_GB2312"/>
                <w:sz w:val="24"/>
              </w:rPr>
              <w:t>28</w:t>
            </w:r>
            <w:r>
              <w:rPr>
                <w:rFonts w:ascii="仿宋_GB2312" w:hAnsi="仿宋_GB2312" w:cs="仿宋_GB2312" w:eastAsia="仿宋_GB2312"/>
                <w:sz w:val="24"/>
              </w:rPr>
              <w:t>样；水文地质编录</w:t>
            </w:r>
            <w:r>
              <w:rPr>
                <w:rFonts w:ascii="仿宋_GB2312" w:hAnsi="仿宋_GB2312" w:cs="仿宋_GB2312" w:eastAsia="仿宋_GB2312"/>
                <w:sz w:val="24"/>
              </w:rPr>
              <w:t>800m</w:t>
            </w:r>
            <w:r>
              <w:rPr>
                <w:rFonts w:ascii="仿宋_GB2312" w:hAnsi="仿宋_GB2312" w:cs="仿宋_GB2312" w:eastAsia="仿宋_GB2312"/>
                <w:sz w:val="24"/>
              </w:rPr>
              <w:t>，地下水水位、水温动态监测</w:t>
            </w:r>
            <w:r>
              <w:rPr>
                <w:rFonts w:ascii="仿宋_GB2312" w:hAnsi="仿宋_GB2312" w:cs="仿宋_GB2312" w:eastAsia="仿宋_GB2312"/>
                <w:sz w:val="24"/>
              </w:rPr>
              <w:t>144</w:t>
            </w:r>
            <w:r>
              <w:rPr>
                <w:rFonts w:ascii="仿宋_GB2312" w:hAnsi="仿宋_GB2312" w:cs="仿宋_GB2312" w:eastAsia="仿宋_GB2312"/>
                <w:sz w:val="24"/>
              </w:rPr>
              <w:t>点次，工程点测量</w:t>
            </w:r>
            <w:r>
              <w:rPr>
                <w:rFonts w:ascii="仿宋_GB2312" w:hAnsi="仿宋_GB2312" w:cs="仿宋_GB2312" w:eastAsia="仿宋_GB2312"/>
                <w:sz w:val="24"/>
              </w:rPr>
              <w:t>4</w:t>
            </w:r>
            <w:r>
              <w:rPr>
                <w:rFonts w:ascii="仿宋_GB2312" w:hAnsi="仿宋_GB2312" w:cs="仿宋_GB2312" w:eastAsia="仿宋_GB2312"/>
                <w:sz w:val="24"/>
              </w:rPr>
              <w:t>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四</w:t>
            </w:r>
            <w:r>
              <w:rPr>
                <w:rFonts w:ascii="仿宋_GB2312" w:hAnsi="仿宋_GB2312" w:cs="仿宋_GB2312" w:eastAsia="仿宋_GB2312"/>
                <w:sz w:val="24"/>
                <w:b/>
              </w:rPr>
              <w:t>）成果</w:t>
            </w:r>
            <w:r>
              <w:rPr>
                <w:rFonts w:ascii="仿宋_GB2312" w:hAnsi="仿宋_GB2312" w:cs="仿宋_GB2312" w:eastAsia="仿宋_GB2312"/>
                <w:sz w:val="24"/>
                <w:b/>
              </w:rPr>
              <w:t>要求</w:t>
            </w:r>
          </w:p>
          <w:p>
            <w:pPr>
              <w:pStyle w:val="null3"/>
              <w:ind w:firstLine="482"/>
              <w:jc w:val="both"/>
            </w:pPr>
            <w:r>
              <w:rPr>
                <w:rFonts w:ascii="仿宋_GB2312" w:hAnsi="仿宋_GB2312" w:cs="仿宋_GB2312" w:eastAsia="仿宋_GB2312"/>
                <w:sz w:val="24"/>
                <w:b/>
              </w:rPr>
              <w:t>1</w:t>
            </w:r>
            <w:r>
              <w:rPr>
                <w:rFonts w:ascii="仿宋_GB2312" w:hAnsi="仿宋_GB2312" w:cs="仿宋_GB2312" w:eastAsia="仿宋_GB2312"/>
                <w:sz w:val="24"/>
                <w:b/>
              </w:rPr>
              <w:t>、</w:t>
            </w:r>
            <w:r>
              <w:rPr>
                <w:rFonts w:ascii="仿宋_GB2312" w:hAnsi="仿宋_GB2312" w:cs="仿宋_GB2312" w:eastAsia="仿宋_GB2312"/>
                <w:sz w:val="24"/>
                <w:b/>
              </w:rPr>
              <w:t>成果报告</w:t>
            </w:r>
          </w:p>
          <w:p>
            <w:pPr>
              <w:pStyle w:val="null3"/>
              <w:ind w:firstLine="480"/>
              <w:jc w:val="both"/>
            </w:pPr>
            <w:r>
              <w:rPr>
                <w:rFonts w:ascii="仿宋_GB2312" w:hAnsi="仿宋_GB2312" w:cs="仿宋_GB2312" w:eastAsia="仿宋_GB2312"/>
                <w:sz w:val="24"/>
              </w:rPr>
              <w:t>提交</w:t>
            </w:r>
            <w:r>
              <w:rPr>
                <w:rFonts w:ascii="仿宋_GB2312" w:hAnsi="仿宋_GB2312" w:cs="仿宋_GB2312" w:eastAsia="仿宋_GB2312"/>
                <w:sz w:val="24"/>
              </w:rPr>
              <w:t>《海南省东方市东河镇玉龙村饮用天然矿泉水资源地质勘查报告》</w:t>
            </w:r>
            <w:r>
              <w:rPr>
                <w:rFonts w:ascii="仿宋_GB2312" w:hAnsi="仿宋_GB2312" w:cs="仿宋_GB2312" w:eastAsia="仿宋_GB2312"/>
                <w:sz w:val="24"/>
              </w:rPr>
              <w:t>。报告</w:t>
            </w:r>
            <w:r>
              <w:rPr>
                <w:rFonts w:ascii="仿宋_GB2312" w:hAnsi="仿宋_GB2312" w:cs="仿宋_GB2312" w:eastAsia="仿宋_GB2312"/>
                <w:sz w:val="24"/>
              </w:rPr>
              <w:t>应符合以下条件：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报告编写应充分利用已有资料，全面反映地面调查、测绘、地球物理勘查、水文地质钻探及抽水试验、水样测试分析评价、地下水动态监测所取得的成果。</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应对依据的原始资料进行整理、检查、分析，确认无误后方可使用。</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成果报告的文字、术语、代号、符号、数字、计量单位、标点，应符合国家有关标准的规定。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地球物理勘查解译报告、水文地质钻探及抽水试验成果、水样测试成果、照片集等可作为附件。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成果报告应资料完整、数据真实准确、篇章内容齐全、文字简练规范、图表齐全清晰、文图对应统一、结论明确有据、建议合理可行、便于使用和适宜长期保存，并应因地制宜，重点突出，无错误和矛盾，主要图件符合编图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成果报告编制内容应主要包括完成的工作量及质量评述；自然地理条件；区域地质、水文地质条件；矿泉水水源地地质、水文地质条件；矿泉水水源动态特征及水质评价；矿泉水水源允许开采量评价；矿泉水水源地保护区的建立与划分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报告章节及其主要内容的设置参考《天然矿泉水资源地质勘查规范》</w:t>
            </w:r>
            <w:r>
              <w:rPr>
                <w:rFonts w:ascii="仿宋_GB2312" w:hAnsi="仿宋_GB2312" w:cs="仿宋_GB2312" w:eastAsia="仿宋_GB2312"/>
                <w:sz w:val="24"/>
              </w:rPr>
              <w:t>(GB/T13727-2016)</w:t>
            </w:r>
            <w:r>
              <w:rPr>
                <w:rFonts w:ascii="仿宋_GB2312" w:hAnsi="仿宋_GB2312" w:cs="仿宋_GB2312" w:eastAsia="仿宋_GB2312"/>
                <w:sz w:val="24"/>
              </w:rPr>
              <w:t>执行。</w:t>
            </w:r>
          </w:p>
          <w:p>
            <w:pPr>
              <w:pStyle w:val="null3"/>
              <w:ind w:firstLine="482"/>
              <w:jc w:val="both"/>
            </w:pPr>
            <w:r>
              <w:rPr>
                <w:rFonts w:ascii="仿宋_GB2312" w:hAnsi="仿宋_GB2312" w:cs="仿宋_GB2312" w:eastAsia="仿宋_GB2312"/>
                <w:sz w:val="24"/>
                <w:b/>
              </w:rPr>
              <w:t>2</w:t>
            </w:r>
            <w:r>
              <w:rPr>
                <w:rFonts w:ascii="仿宋_GB2312" w:hAnsi="仿宋_GB2312" w:cs="仿宋_GB2312" w:eastAsia="仿宋_GB2312"/>
                <w:sz w:val="24"/>
                <w:b/>
              </w:rPr>
              <w:t>、</w:t>
            </w:r>
            <w:r>
              <w:rPr>
                <w:rFonts w:ascii="仿宋_GB2312" w:hAnsi="仿宋_GB2312" w:cs="仿宋_GB2312" w:eastAsia="仿宋_GB2312"/>
                <w:sz w:val="24"/>
                <w:b/>
              </w:rPr>
              <w:t>附图</w:t>
            </w:r>
          </w:p>
          <w:p>
            <w:pPr>
              <w:pStyle w:val="null3"/>
              <w:ind w:firstLine="480"/>
              <w:jc w:val="both"/>
            </w:pPr>
            <w:r>
              <w:rPr>
                <w:rFonts w:ascii="仿宋_GB2312" w:hAnsi="仿宋_GB2312" w:cs="仿宋_GB2312" w:eastAsia="仿宋_GB2312"/>
                <w:sz w:val="24"/>
              </w:rPr>
              <w:t>附图主要包括：实际材料图、矿泉水水源地区域地质图、矿泉水水源地综合水文地质图、矿泉水水源地保护条件图、矿泉水水源地综合水文地质剖面图、矿泉水水源地各水文勘探孔综合柱状图及地下水动态曲线图等。</w:t>
            </w:r>
          </w:p>
          <w:p>
            <w:pPr>
              <w:pStyle w:val="null3"/>
              <w:ind w:firstLine="482"/>
              <w:jc w:val="both"/>
            </w:pPr>
            <w:r>
              <w:rPr>
                <w:rFonts w:ascii="仿宋_GB2312" w:hAnsi="仿宋_GB2312" w:cs="仿宋_GB2312" w:eastAsia="仿宋_GB2312"/>
                <w:sz w:val="24"/>
                <w:b/>
              </w:rPr>
              <w:t>3</w:t>
            </w:r>
            <w:r>
              <w:rPr>
                <w:rFonts w:ascii="仿宋_GB2312" w:hAnsi="仿宋_GB2312" w:cs="仿宋_GB2312" w:eastAsia="仿宋_GB2312"/>
                <w:sz w:val="24"/>
                <w:b/>
              </w:rPr>
              <w:t>、</w:t>
            </w:r>
            <w:r>
              <w:rPr>
                <w:rFonts w:ascii="仿宋_GB2312" w:hAnsi="仿宋_GB2312" w:cs="仿宋_GB2312" w:eastAsia="仿宋_GB2312"/>
                <w:sz w:val="24"/>
                <w:b/>
              </w:rPr>
              <w:t>附件</w:t>
            </w:r>
          </w:p>
          <w:p>
            <w:pPr>
              <w:pStyle w:val="null3"/>
              <w:ind w:firstLine="480"/>
              <w:jc w:val="both"/>
            </w:pPr>
            <w:r>
              <w:rPr>
                <w:rFonts w:ascii="仿宋_GB2312" w:hAnsi="仿宋_GB2312" w:cs="仿宋_GB2312" w:eastAsia="仿宋_GB2312"/>
                <w:sz w:val="24"/>
              </w:rPr>
              <w:t>附件内容主要包括：抽水试验成果资料、各期水质检测报告等。</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（一）国家对供应商用于响应本项目的产品、服务有强制性规定或要求的，供应商用于响应本项目</w:t>
            </w:r>
            <w:r>
              <w:rPr>
                <w:rFonts w:ascii="仿宋_GB2312" w:hAnsi="仿宋_GB2312" w:cs="仿宋_GB2312" w:eastAsia="仿宋_GB2312"/>
                <w:sz w:val="19"/>
                <w:color w:val="000000"/>
              </w:rPr>
              <w:t>的产品、服务应符合相关规定或要求，并提供相关合法、真实、有效的证明材料。</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、不符合国家强制性标准的产品、服务，供应商不得用于响应本项目。</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、国家规定相关产品、服务必须经过认证的，供应商用于响应本项目的产品、服务，应当经过认证并</w:t>
            </w:r>
            <w:r>
              <w:rPr>
                <w:rFonts w:ascii="仿宋_GB2312" w:hAnsi="仿宋_GB2312" w:cs="仿宋_GB2312" w:eastAsia="仿宋_GB2312"/>
                <w:sz w:val="19"/>
                <w:color w:val="000000"/>
              </w:rPr>
              <w:t>标注认证标志。</w:t>
            </w:r>
          </w:p>
          <w:p>
            <w:pPr>
              <w:pStyle w:val="null3"/>
              <w:jc w:val="left"/>
            </w:pPr>
            <w:r>
              <w:rPr>
                <w:rFonts w:ascii="仿宋_GB2312" w:hAnsi="仿宋_GB2312" w:cs="仿宋_GB2312" w:eastAsia="仿宋_GB2312"/>
                <w:sz w:val="19"/>
                <w:color w:val="000000"/>
              </w:rPr>
              <w:t>（二）</w:t>
            </w:r>
            <w:r>
              <w:rPr>
                <w:rFonts w:ascii="仿宋_GB2312" w:hAnsi="仿宋_GB2312" w:cs="仿宋_GB2312" w:eastAsia="仿宋_GB2312"/>
                <w:sz w:val="19"/>
                <w:color w:val="000000"/>
              </w:rPr>
              <w:t>合同履行时间：</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5</w:t>
            </w:r>
            <w:r>
              <w:rPr>
                <w:rFonts w:ascii="仿宋_GB2312" w:hAnsi="仿宋_GB2312" w:cs="仿宋_GB2312" w:eastAsia="仿宋_GB2312"/>
                <w:sz w:val="19"/>
                <w:color w:val="000000"/>
              </w:rPr>
              <w:t>月～</w:t>
            </w:r>
            <w:r>
              <w:rPr>
                <w:rFonts w:ascii="仿宋_GB2312" w:hAnsi="仿宋_GB2312" w:cs="仿宋_GB2312" w:eastAsia="仿宋_GB2312"/>
                <w:sz w:val="19"/>
                <w:color w:val="000000"/>
              </w:rPr>
              <w:t>2026</w:t>
            </w:r>
            <w:r>
              <w:rPr>
                <w:rFonts w:ascii="仿宋_GB2312" w:hAnsi="仿宋_GB2312" w:cs="仿宋_GB2312" w:eastAsia="仿宋_GB2312"/>
                <w:sz w:val="19"/>
                <w:color w:val="000000"/>
              </w:rPr>
              <w:t>年</w:t>
            </w:r>
            <w:r>
              <w:rPr>
                <w:rFonts w:ascii="仿宋_GB2312" w:hAnsi="仿宋_GB2312" w:cs="仿宋_GB2312" w:eastAsia="仿宋_GB2312"/>
                <w:sz w:val="19"/>
                <w:color w:val="000000"/>
              </w:rPr>
              <w:t>9</w:t>
            </w:r>
            <w:r>
              <w:rPr>
                <w:rFonts w:ascii="仿宋_GB2312" w:hAnsi="仿宋_GB2312" w:cs="仿宋_GB2312" w:eastAsia="仿宋_GB2312"/>
                <w:sz w:val="19"/>
                <w:color w:val="000000"/>
              </w:rPr>
              <w:t>月</w:t>
            </w:r>
          </w:p>
          <w:p>
            <w:pPr>
              <w:pStyle w:val="null3"/>
              <w:jc w:val="left"/>
            </w:pPr>
            <w:r>
              <w:rPr>
                <w:rFonts w:ascii="仿宋_GB2312" w:hAnsi="仿宋_GB2312" w:cs="仿宋_GB2312" w:eastAsia="仿宋_GB2312"/>
                <w:sz w:val="19"/>
                <w:color w:val="000000"/>
              </w:rPr>
              <w:t>（三）付款方式：</w:t>
            </w:r>
          </w:p>
          <w:p>
            <w:pPr>
              <w:pStyle w:val="null3"/>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、进一步加强政府采购支持中小企业发展的力度。严格按照批准的预算开展政府采购，按时足额支付</w:t>
            </w:r>
            <w:r>
              <w:rPr>
                <w:rFonts w:ascii="仿宋_GB2312" w:hAnsi="仿宋_GB2312" w:cs="仿宋_GB2312" w:eastAsia="仿宋_GB2312"/>
                <w:sz w:val="19"/>
                <w:color w:val="000000"/>
              </w:rPr>
              <w:t>中小企业款项。若满足合同约定支付条件，采购人自收到发票后</w:t>
            </w:r>
            <w:r>
              <w:rPr>
                <w:rFonts w:ascii="仿宋_GB2312" w:hAnsi="仿宋_GB2312" w:cs="仿宋_GB2312" w:eastAsia="仿宋_GB2312"/>
                <w:sz w:val="19"/>
                <w:color w:val="000000"/>
              </w:rPr>
              <w:t>3-5</w:t>
            </w:r>
            <w:r>
              <w:rPr>
                <w:rFonts w:ascii="仿宋_GB2312" w:hAnsi="仿宋_GB2312" w:cs="仿宋_GB2312" w:eastAsia="仿宋_GB2312"/>
                <w:sz w:val="19"/>
                <w:color w:val="000000"/>
              </w:rPr>
              <w:t>个工作日将资金支付到合同约定的供</w:t>
            </w:r>
            <w:r>
              <w:rPr>
                <w:rFonts w:ascii="仿宋_GB2312" w:hAnsi="仿宋_GB2312" w:cs="仿宋_GB2312" w:eastAsia="仿宋_GB2312"/>
                <w:sz w:val="19"/>
                <w:color w:val="000000"/>
              </w:rPr>
              <w:t>应商（或承接主体）账户。采购人不得以机构变动、人员更替、政策调整等理由延迟付款，不得将采购文</w:t>
            </w:r>
            <w:r>
              <w:rPr>
                <w:rFonts w:ascii="仿宋_GB2312" w:hAnsi="仿宋_GB2312" w:cs="仿宋_GB2312" w:eastAsia="仿宋_GB2312"/>
                <w:sz w:val="19"/>
                <w:color w:val="000000"/>
              </w:rPr>
              <w:t>件和合同中未规定的义务作为向供应商（或承接主体）付款的条件。</w:t>
            </w:r>
          </w:p>
          <w:p>
            <w:pPr>
              <w:pStyle w:val="null3"/>
              <w:jc w:val="left"/>
            </w:pPr>
            <w:r>
              <w:rPr>
                <w:rFonts w:ascii="仿宋_GB2312" w:hAnsi="仿宋_GB2312" w:cs="仿宋_GB2312" w:eastAsia="仿宋_GB2312"/>
                <w:sz w:val="19"/>
                <w:color w:val="000000"/>
              </w:rPr>
              <w:t>2</w:t>
            </w:r>
            <w:r>
              <w:rPr>
                <w:rFonts w:ascii="仿宋_GB2312" w:hAnsi="仿宋_GB2312" w:cs="仿宋_GB2312" w:eastAsia="仿宋_GB2312"/>
                <w:sz w:val="19"/>
                <w:color w:val="000000"/>
              </w:rPr>
              <w:t>、对于有预付安排的合同，采购人将合同预付款比例提高到</w:t>
            </w:r>
            <w:r>
              <w:rPr>
                <w:rFonts w:ascii="仿宋_GB2312" w:hAnsi="仿宋_GB2312" w:cs="仿宋_GB2312" w:eastAsia="仿宋_GB2312"/>
                <w:sz w:val="19"/>
                <w:color w:val="000000"/>
              </w:rPr>
              <w:t>30%</w:t>
            </w:r>
            <w:r>
              <w:rPr>
                <w:rFonts w:ascii="仿宋_GB2312" w:hAnsi="仿宋_GB2312" w:cs="仿宋_GB2312" w:eastAsia="仿宋_GB2312"/>
                <w:sz w:val="19"/>
                <w:color w:val="000000"/>
              </w:rPr>
              <w:t>以上。</w:t>
            </w:r>
          </w:p>
          <w:p>
            <w:pPr>
              <w:pStyle w:val="null3"/>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、除了上述第</w:t>
            </w:r>
            <w:r>
              <w:rPr>
                <w:rFonts w:ascii="仿宋_GB2312" w:hAnsi="仿宋_GB2312" w:cs="仿宋_GB2312" w:eastAsia="仿宋_GB2312"/>
                <w:sz w:val="19"/>
                <w:color w:val="000000"/>
              </w:rPr>
              <w:t>1</w:t>
            </w:r>
            <w:r>
              <w:rPr>
                <w:rFonts w:ascii="仿宋_GB2312" w:hAnsi="仿宋_GB2312" w:cs="仿宋_GB2312" w:eastAsia="仿宋_GB2312"/>
                <w:sz w:val="19"/>
                <w:color w:val="000000"/>
              </w:rPr>
              <w:t>条列明的进一步加强政府采购支持中小企业发展的力度外，对于满足合同约定支付条</w:t>
            </w:r>
            <w:r>
              <w:rPr>
                <w:rFonts w:ascii="仿宋_GB2312" w:hAnsi="仿宋_GB2312" w:cs="仿宋_GB2312" w:eastAsia="仿宋_GB2312"/>
                <w:sz w:val="19"/>
                <w:color w:val="000000"/>
              </w:rPr>
              <w:t>件的，采购人原则上应当自收到发票后</w:t>
            </w:r>
            <w:r>
              <w:rPr>
                <w:rFonts w:ascii="仿宋_GB2312" w:hAnsi="仿宋_GB2312" w:cs="仿宋_GB2312" w:eastAsia="仿宋_GB2312"/>
                <w:sz w:val="19"/>
                <w:color w:val="000000"/>
              </w:rPr>
              <w:t>10</w:t>
            </w:r>
            <w:r>
              <w:rPr>
                <w:rFonts w:ascii="仿宋_GB2312" w:hAnsi="仿宋_GB2312" w:cs="仿宋_GB2312" w:eastAsia="仿宋_GB2312"/>
                <w:sz w:val="19"/>
                <w:color w:val="000000"/>
              </w:rPr>
              <w:t>个工作日内将资金支付到合同约定的供应商（或承接主体）账户</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、采购人应完善内部规程，自收到发票后</w:t>
            </w:r>
            <w:r>
              <w:rPr>
                <w:rFonts w:ascii="仿宋_GB2312" w:hAnsi="仿宋_GB2312" w:cs="仿宋_GB2312" w:eastAsia="仿宋_GB2312"/>
                <w:sz w:val="19"/>
                <w:color w:val="000000"/>
              </w:rPr>
              <w:t>1</w:t>
            </w:r>
            <w:r>
              <w:rPr>
                <w:rFonts w:ascii="仿宋_GB2312" w:hAnsi="仿宋_GB2312" w:cs="仿宋_GB2312" w:eastAsia="仿宋_GB2312"/>
                <w:sz w:val="19"/>
                <w:color w:val="000000"/>
              </w:rPr>
              <w:t>个工作日内完成支付事宜。</w:t>
            </w:r>
          </w:p>
          <w:p>
            <w:pPr>
              <w:pStyle w:val="null3"/>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、采购人和供应商（或承接主体）对资金支付产生争议的，应当按照法律规定和合同约定及时解决，</w:t>
            </w:r>
            <w:r>
              <w:rPr>
                <w:rFonts w:ascii="仿宋_GB2312" w:hAnsi="仿宋_GB2312" w:cs="仿宋_GB2312" w:eastAsia="仿宋_GB2312"/>
                <w:sz w:val="19"/>
                <w:color w:val="000000"/>
              </w:rPr>
              <w:t>保证资金支付效率。</w:t>
            </w:r>
          </w:p>
          <w:p>
            <w:pPr>
              <w:pStyle w:val="null3"/>
              <w:jc w:val="left"/>
            </w:pPr>
            <w:r>
              <w:rPr>
                <w:rFonts w:ascii="仿宋_GB2312" w:hAnsi="仿宋_GB2312" w:cs="仿宋_GB2312" w:eastAsia="仿宋_GB2312"/>
                <w:sz w:val="19"/>
                <w:color w:val="000000"/>
              </w:rPr>
              <w:t>6</w:t>
            </w:r>
            <w:r>
              <w:rPr>
                <w:rFonts w:ascii="仿宋_GB2312" w:hAnsi="仿宋_GB2312" w:cs="仿宋_GB2312" w:eastAsia="仿宋_GB2312"/>
                <w:sz w:val="19"/>
                <w:color w:val="000000"/>
              </w:rPr>
              <w:t>、采购人逾期支付资金应承担违约责任。采购人若存在逾期支付资金情形的，供应商（或承接主体）</w:t>
            </w:r>
            <w:r>
              <w:rPr>
                <w:rFonts w:ascii="仿宋_GB2312" w:hAnsi="仿宋_GB2312" w:cs="仿宋_GB2312" w:eastAsia="仿宋_GB2312"/>
                <w:sz w:val="19"/>
                <w:color w:val="000000"/>
              </w:rPr>
              <w:t>有权向相关财政部门报告，由财政部门启动政府采购合同资金支付预警监控机制，发现逾期支付资金问题</w:t>
            </w:r>
            <w:r>
              <w:rPr>
                <w:rFonts w:ascii="仿宋_GB2312" w:hAnsi="仿宋_GB2312" w:cs="仿宋_GB2312" w:eastAsia="仿宋_GB2312"/>
                <w:sz w:val="19"/>
                <w:color w:val="000000"/>
              </w:rPr>
              <w:t>的，视情况进行通报、约谈，依法依规追究责任。</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1"/>
        </w:rPr>
        <w:t>服务及验收标准</w:t>
      </w:r>
      <w:r>
        <w:rPr>
          <w:rFonts w:ascii="仿宋_GB2312" w:hAnsi="仿宋_GB2312" w:cs="仿宋_GB2312" w:eastAsia="仿宋_GB2312"/>
          <w:sz w:val="21"/>
        </w:rPr>
        <w:t>（履约验收及管理）：</w:t>
      </w:r>
    </w:p>
    <w:p>
      <w:pPr>
        <w:pStyle w:val="null3"/>
        <w:ind w:firstLine="420"/>
        <w:jc w:val="both"/>
      </w:pPr>
      <w:r>
        <w:rPr>
          <w:rFonts w:ascii="仿宋_GB2312" w:hAnsi="仿宋_GB2312" w:cs="仿宋_GB2312" w:eastAsia="仿宋_GB2312"/>
          <w:sz w:val="21"/>
        </w:rPr>
        <w:t>（一）磋商文件、响应文件、采购合同、封样样品（若有）等是履约验收工作的基本依据。</w:t>
      </w:r>
    </w:p>
    <w:p>
      <w:pPr>
        <w:pStyle w:val="null3"/>
        <w:ind w:firstLine="420"/>
        <w:jc w:val="both"/>
      </w:pPr>
      <w:r>
        <w:rPr>
          <w:rFonts w:ascii="仿宋_GB2312" w:hAnsi="仿宋_GB2312" w:cs="仿宋_GB2312" w:eastAsia="仿宋_GB2312"/>
          <w:sz w:val="21"/>
        </w:rPr>
        <w:t>（二）政府采购履约验收应当遵循全面完整、客观真实、公开透明的原则，坚持应验必验、验收必严。</w:t>
      </w:r>
    </w:p>
    <w:p>
      <w:pPr>
        <w:pStyle w:val="null3"/>
        <w:ind w:firstLine="420"/>
        <w:jc w:val="both"/>
      </w:pPr>
      <w:r>
        <w:rPr>
          <w:rFonts w:ascii="仿宋_GB2312" w:hAnsi="仿宋_GB2312" w:cs="仿宋_GB2312" w:eastAsia="仿宋_GB2312"/>
          <w:sz w:val="21"/>
        </w:rPr>
        <w:t>（三）履约验收主体及职责：</w:t>
      </w:r>
    </w:p>
    <w:p>
      <w:pPr>
        <w:pStyle w:val="null3"/>
        <w:ind w:firstLine="420"/>
        <w:jc w:val="both"/>
      </w:pPr>
      <w:r>
        <w:rPr>
          <w:rFonts w:ascii="仿宋_GB2312" w:hAnsi="仿宋_GB2312" w:cs="仿宋_GB2312" w:eastAsia="仿宋_GB2312"/>
          <w:sz w:val="21"/>
        </w:rPr>
        <w:t>1、采购人是政府采购履约验收工作的责任主体，应当自行组织履约验收。</w:t>
      </w:r>
    </w:p>
    <w:p>
      <w:pPr>
        <w:pStyle w:val="null3"/>
        <w:ind w:firstLine="420"/>
        <w:jc w:val="both"/>
      </w:pPr>
      <w:r>
        <w:rPr>
          <w:rFonts w:ascii="仿宋_GB2312" w:hAnsi="仿宋_GB2312" w:cs="仿宋_GB2312" w:eastAsia="仿宋_GB2312"/>
          <w:sz w:val="21"/>
        </w:rPr>
        <w:t>2、采购人应当在政府采购合同中约定履约验收方案。履约验收方案要明确履约验收的主体、时间、方式、程序、内容和验收标准等事项。采购人应当开展履约风险审查。</w:t>
      </w:r>
    </w:p>
    <w:p>
      <w:pPr>
        <w:pStyle w:val="null3"/>
        <w:ind w:firstLine="420"/>
        <w:jc w:val="both"/>
      </w:pPr>
      <w:r>
        <w:rPr>
          <w:rFonts w:ascii="仿宋_GB2312" w:hAnsi="仿宋_GB2312" w:cs="仿宋_GB2312" w:eastAsia="仿宋_GB2312"/>
          <w:sz w:val="21"/>
        </w:rPr>
        <w:t>3、采购代理机构应当根据委托代理协议约定，协助采购人做好履约验收工作，协调解决验收中出现的问题，及时向采购人反映履约异常情形及供应商违约失信行为等。</w:t>
      </w:r>
    </w:p>
    <w:p>
      <w:pPr>
        <w:pStyle w:val="null3"/>
        <w:ind w:firstLine="480"/>
        <w:jc w:val="both"/>
      </w:pPr>
      <w:r>
        <w:rPr>
          <w:rFonts w:ascii="仿宋_GB2312" w:hAnsi="仿宋_GB2312" w:cs="仿宋_GB2312" w:eastAsia="仿宋_GB2312"/>
          <w:sz w:val="21"/>
        </w:rPr>
        <w:t>4、供应商应当严格按照履约验收基本依据的约定，积极配合采购人做好验收工作，提供与验收相关的生产、技术、服务、数量、质量、安全等资料，根据实际需要做好技术说明、测试演示或场景应用情况分析等工作。对履约情况争议问题，有义务提供相应证据证明材料。</w:t>
      </w:r>
    </w:p>
    <w:p>
      <w:pPr>
        <w:pStyle w:val="null3"/>
        <w:ind w:firstLine="420"/>
        <w:jc w:val="both"/>
      </w:pPr>
      <w:r>
        <w:rPr>
          <w:rFonts w:ascii="仿宋_GB2312" w:hAnsi="仿宋_GB2312" w:cs="仿宋_GB2312" w:eastAsia="仿宋_GB2312"/>
          <w:sz w:val="21"/>
        </w:rPr>
        <w:t>（四）履约验收程序：</w:t>
      </w:r>
    </w:p>
    <w:p>
      <w:pPr>
        <w:pStyle w:val="null3"/>
        <w:ind w:firstLine="420"/>
        <w:jc w:val="both"/>
      </w:pPr>
      <w:r>
        <w:rPr>
          <w:rFonts w:ascii="仿宋_GB2312" w:hAnsi="仿宋_GB2312" w:cs="仿宋_GB2312" w:eastAsia="仿宋_GB2312"/>
          <w:sz w:val="24"/>
        </w:rPr>
        <w:t xml:space="preserve"> </w:t>
      </w:r>
      <w:r>
        <w:rPr>
          <w:rFonts w:ascii="仿宋_GB2312" w:hAnsi="仿宋_GB2312" w:cs="仿宋_GB2312" w:eastAsia="仿宋_GB2312"/>
          <w:sz w:val="21"/>
        </w:rPr>
        <w:t>1、采购合同约定的履约验收条件达到时，供应商应当组织内部自验，自验合格后及时向采购人书面提出履约验收申请，自验情况作为履约验收相关证明材料。</w:t>
      </w:r>
    </w:p>
    <w:p>
      <w:pPr>
        <w:pStyle w:val="null3"/>
        <w:ind w:firstLine="420"/>
        <w:jc w:val="both"/>
      </w:pPr>
      <w:r>
        <w:rPr>
          <w:rFonts w:ascii="仿宋_GB2312" w:hAnsi="仿宋_GB2312" w:cs="仿宋_GB2312" w:eastAsia="仿宋_GB2312"/>
          <w:sz w:val="21"/>
        </w:rPr>
        <w:t>2、采购人应当自收到验收申请之日起7个工作日内启动项目验收，并向供应商发送验收通知。技术复杂、专业性强以及重大民生、金额较大的政府采购项目，验收准备时间可适当延长。</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、采购人应当成立履约验收小组，负责采购项目履约验收具体工作，出具验收意见，并对验收意见负责。</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、履约验收小组应当由</w:t>
      </w:r>
      <w:r>
        <w:rPr>
          <w:rFonts w:ascii="仿宋_GB2312" w:hAnsi="仿宋_GB2312" w:cs="仿宋_GB2312" w:eastAsia="仿宋_GB2312"/>
          <w:sz w:val="21"/>
        </w:rPr>
        <w:t>3人以上单数组成，并确定一名负责人。参与本采购项目评审的采购人代表不能作为负责人。履约验收小组成员应当是熟悉采购需求和技术要求的人员。对于采购人和使用人分离的采购项目，应当邀请实际使用人参与验收。技术复杂、专业性较强的采购项目，可以邀请相关领域专业技术人员作为履约验收小组成员参与验收。</w:t>
      </w:r>
    </w:p>
    <w:p>
      <w:pPr>
        <w:pStyle w:val="null3"/>
        <w:ind w:firstLine="420"/>
        <w:jc w:val="both"/>
      </w:pPr>
      <w:r>
        <w:rPr>
          <w:rFonts w:ascii="仿宋_GB2312" w:hAnsi="仿宋_GB2312" w:cs="仿宋_GB2312" w:eastAsia="仿宋_GB2312"/>
          <w:sz w:val="21"/>
        </w:rPr>
        <w:t>前期参与本采购项目相关采购活动的采购代理机构工作人员、评审专家以及政府采购回避制度规定的与供应商有利害关系的人员，不得作为履约验收小组成员参与履约验收。</w:t>
      </w:r>
    </w:p>
    <w:p>
      <w:pPr>
        <w:pStyle w:val="null3"/>
        <w:ind w:firstLine="420"/>
        <w:jc w:val="both"/>
      </w:pPr>
      <w:r>
        <w:rPr>
          <w:rFonts w:ascii="仿宋_GB2312" w:hAnsi="仿宋_GB2312" w:cs="仿宋_GB2312" w:eastAsia="仿宋_GB2312"/>
          <w:sz w:val="21"/>
        </w:rPr>
        <w:t>财政部门政府采购监管人员不得作为履约验收小组成员参与履约验收。</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根据采购项目特点和实际需要，采购人、采购代理机构可以邀请参与本采购项目的其他供应商或者专业机构及专家参与验收，相关意见作为履约验收的参考资料，并按照验收档案进行管理。</w:t>
      </w:r>
    </w:p>
    <w:p>
      <w:pPr>
        <w:pStyle w:val="null3"/>
        <w:ind w:firstLine="420"/>
        <w:jc w:val="both"/>
      </w:pPr>
      <w:r>
        <w:rPr>
          <w:rFonts w:ascii="仿宋_GB2312" w:hAnsi="仿宋_GB2312" w:cs="仿宋_GB2312" w:eastAsia="仿宋_GB2312"/>
          <w:sz w:val="21"/>
        </w:rPr>
        <w:t>大型或者复杂的项目，应当邀请国家认可的质量检测机构参加验收。</w:t>
      </w:r>
    </w:p>
    <w:p>
      <w:pPr>
        <w:pStyle w:val="null3"/>
        <w:ind w:firstLine="420"/>
        <w:jc w:val="both"/>
      </w:pPr>
      <w:r>
        <w:rPr>
          <w:rFonts w:ascii="仿宋_GB2312" w:hAnsi="仿宋_GB2312" w:cs="仿宋_GB2312" w:eastAsia="仿宋_GB2312"/>
          <w:sz w:val="21"/>
        </w:rPr>
        <w:t>政府向社会公众提供的公共服务项目，验收时应当邀请服务对象参与并出具意见，验收结果应当向社会公告。</w:t>
      </w:r>
    </w:p>
    <w:p>
      <w:pPr>
        <w:pStyle w:val="null3"/>
        <w:ind w:firstLine="420"/>
        <w:jc w:val="both"/>
      </w:pPr>
      <w:r>
        <w:rPr>
          <w:rFonts w:ascii="仿宋_GB2312" w:hAnsi="仿宋_GB2312" w:cs="仿宋_GB2312" w:eastAsia="仿宋_GB2312"/>
          <w:sz w:val="21"/>
        </w:rPr>
        <w:t>6、履约验</w:t>
      </w:r>
      <w:r>
        <w:rPr>
          <w:rFonts w:ascii="仿宋_GB2312" w:hAnsi="仿宋_GB2312" w:cs="仿宋_GB2312" w:eastAsia="仿宋_GB2312"/>
          <w:sz w:val="21"/>
        </w:rPr>
        <w:t>收方式可以根据采购项目特点、市场实际和履约风险控制等情况，采用一次性验收、分节点验收和分期验收等方式。</w:t>
      </w:r>
    </w:p>
    <w:p>
      <w:pPr>
        <w:pStyle w:val="null3"/>
        <w:ind w:firstLine="420"/>
        <w:jc w:val="both"/>
      </w:pPr>
      <w:r>
        <w:rPr>
          <w:rFonts w:ascii="仿宋_GB2312" w:hAnsi="仿宋_GB2312" w:cs="仿宋_GB2312" w:eastAsia="仿宋_GB2312"/>
          <w:sz w:val="21"/>
        </w:rPr>
        <w:t>7、履约验收小组应当认真履行项目验收职责，按照履约验收方案实施验收，确保验收意见客观真实反映合同履行情况。</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确认验收方案。履约验收小组应根据采购文件和采购合同等履约验收基本依据进行确认。履约验收小组发现履约验收方案存在歧义、重大缺陷导致验收工作无法进行，或者验收过程违反有关法律法规规定的，应当及时与采购人沟通并作书面记录。</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实施验收。履约验收小组应当根据履约验收方案，对供应商提供的货物、工程或者服务按照履约验收基本依据对每一项技术、服务、安全标准的履约情况进行确认。分节点、分期验收的，应当根据采购合同和项目特点进行分节点、分期验收。</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出具验收意见。履约验收结束后，履约验收小组以书面形式作出结论性意见，列明各项标准的验收情况及项目总体评价，形成验收意见报告，由履约验收小组和供应商共同签署。分节点、分期验收的，应当出具分节点、分期验收意见。</w:t>
      </w:r>
    </w:p>
    <w:p>
      <w:pPr>
        <w:pStyle w:val="null3"/>
        <w:ind w:firstLine="420"/>
        <w:jc w:val="both"/>
      </w:pPr>
      <w:r>
        <w:rPr>
          <w:rFonts w:ascii="仿宋_GB2312" w:hAnsi="仿宋_GB2312" w:cs="仿宋_GB2312" w:eastAsia="仿宋_GB2312"/>
          <w:sz w:val="21"/>
        </w:rPr>
        <w:t>8、履约验收小组成员应当独立发表验收意见。履约验收小组成员对需要共同认定的事项存在争议的，应当按照少数服从多数的原则作出结论。对验收意见报告载明的结论有异议的履约验收小组成员，应当在验收意见报告上签署不同意见并说明理由，否则视为同意验收意见报告。</w:t>
      </w:r>
    </w:p>
    <w:p>
      <w:pPr>
        <w:pStyle w:val="null3"/>
        <w:ind w:firstLine="420"/>
        <w:jc w:val="both"/>
      </w:pPr>
      <w:r>
        <w:rPr>
          <w:rFonts w:ascii="仿宋_GB2312" w:hAnsi="仿宋_GB2312" w:cs="仿宋_GB2312" w:eastAsia="仿宋_GB2312"/>
          <w:sz w:val="21"/>
        </w:rPr>
        <w:t>9、供应商对验收意见报告载明的结论有异议的，应当在签署验收意见报告前向履约验收小组说明情况，履约验收小组应当对有异议的验收事项进行复核。复核后供应商仍不认可验收意见报告结论的，按照采购合同约定的方式解决。</w:t>
      </w:r>
    </w:p>
    <w:p>
      <w:pPr>
        <w:pStyle w:val="null3"/>
        <w:ind w:firstLine="420"/>
        <w:jc w:val="both"/>
      </w:pPr>
      <w:r>
        <w:rPr>
          <w:rFonts w:ascii="仿宋_GB2312" w:hAnsi="仿宋_GB2312" w:cs="仿宋_GB2312" w:eastAsia="仿宋_GB2312"/>
          <w:sz w:val="21"/>
        </w:rPr>
        <w:t>10、采购人应当对履约验收小组报送的验收意见报告进行确认。确认验收合格的，采购人应当在验收意见报告签字并加盖公章；验收意见与采购合同不一致的，采购人应当根据验收意见中载明的具体偏差内容和处置建议，研究确定验收意见并加盖公章；验收意见中存在履约验收小组成员其他异议意见的，采购人应当对异议事项进行复核，妥善处置。</w:t>
      </w:r>
    </w:p>
    <w:p>
      <w:pPr>
        <w:pStyle w:val="null3"/>
        <w:ind w:firstLine="420"/>
        <w:jc w:val="both"/>
      </w:pPr>
      <w:r>
        <w:rPr>
          <w:rFonts w:ascii="仿宋_GB2312" w:hAnsi="仿宋_GB2312" w:cs="仿宋_GB2312" w:eastAsia="仿宋_GB2312"/>
          <w:sz w:val="21"/>
        </w:rPr>
        <w:t>11、验收结果与采购合同约定的内容不完全符合，但经履约验收小组确认，供应商所提供的货物、工程和服务比合同约定内容提高了使用功能、标准或者属于技术更新换代产品的，在不影响、不降低整个采购项目的运行质量和功能以及合同金额不提高的前提下，可以验收通过。</w:t>
      </w:r>
    </w:p>
    <w:p>
      <w:pPr>
        <w:pStyle w:val="null3"/>
        <w:ind w:firstLine="420"/>
        <w:jc w:val="both"/>
      </w:pPr>
      <w:r>
        <w:rPr>
          <w:rFonts w:ascii="仿宋_GB2312" w:hAnsi="仿宋_GB2312" w:cs="仿宋_GB2312" w:eastAsia="仿宋_GB2312"/>
          <w:sz w:val="21"/>
        </w:rPr>
        <w:t>12、功能简单且属于标准定制的货物采购项目和需求单一且属于通用的服务采购项目，可以适当简化验收流程，由采购人指定熟悉采购需求的人员，直接对合同约定的技术、服务、标准等内容进行验收，提出验收意见，并由采购人确认。</w:t>
      </w:r>
    </w:p>
    <w:p>
      <w:pPr>
        <w:pStyle w:val="null3"/>
        <w:ind w:firstLine="420"/>
        <w:jc w:val="both"/>
      </w:pPr>
      <w:r>
        <w:rPr>
          <w:rFonts w:ascii="仿宋_GB2312" w:hAnsi="仿宋_GB2312" w:cs="仿宋_GB2312" w:eastAsia="仿宋_GB2312"/>
          <w:sz w:val="21"/>
        </w:rPr>
        <w:t>13、除涉密情形外，采购人应当在履约验收结束后3个工作日内将履约验收结果信息向社会公开。</w:t>
      </w:r>
    </w:p>
    <w:p>
      <w:pPr>
        <w:pStyle w:val="null3"/>
        <w:ind w:firstLine="420"/>
        <w:jc w:val="both"/>
      </w:pPr>
      <w:r>
        <w:rPr>
          <w:rFonts w:ascii="仿宋_GB2312" w:hAnsi="仿宋_GB2312" w:cs="仿宋_GB2312" w:eastAsia="仿宋_GB2312"/>
          <w:sz w:val="21"/>
        </w:rPr>
        <w:t>14、履约验收合格应作为政府采购项目资金支付的必要条件。验收合格的，采购人应当根据采购合同约定及时向供应商支付采购资金、退还履约保证金，不得将采购文件和合同中未规定的义务作为向供应商付款的条件。涉及分期验收付款的项目，应具备符合合同约定的分期验收报告。</w:t>
      </w:r>
    </w:p>
    <w:p>
      <w:pPr>
        <w:pStyle w:val="null3"/>
        <w:ind w:firstLine="420"/>
        <w:jc w:val="both"/>
      </w:pPr>
      <w:r>
        <w:rPr>
          <w:rFonts w:ascii="仿宋_GB2312" w:hAnsi="仿宋_GB2312" w:cs="仿宋_GB2312" w:eastAsia="仿宋_GB2312"/>
          <w:sz w:val="21"/>
        </w:rPr>
        <w:t>验收不合格的，采购人应当终止资金支付，并按照政府采购合同约定进行处理。</w:t>
      </w:r>
    </w:p>
    <w:p>
      <w:pPr>
        <w:pStyle w:val="null3"/>
        <w:ind w:firstLine="420"/>
        <w:jc w:val="both"/>
      </w:pPr>
      <w:r>
        <w:rPr>
          <w:rFonts w:ascii="仿宋_GB2312" w:hAnsi="仿宋_GB2312" w:cs="仿宋_GB2312" w:eastAsia="仿宋_GB2312"/>
          <w:sz w:val="21"/>
        </w:rPr>
        <w:t>15、对项目验收发生的检测（检验）费、劳务报酬等费用支出，采购合同有约定的按照约定执行；无约定的，由采购人承担。委托采购代理机构组织项目验收的，委托费用应当在委托协议中明确。</w:t>
      </w:r>
    </w:p>
    <w:p>
      <w:pPr>
        <w:pStyle w:val="null3"/>
        <w:ind w:firstLine="420"/>
        <w:jc w:val="both"/>
      </w:pPr>
      <w:r>
        <w:rPr>
          <w:rFonts w:ascii="仿宋_GB2312" w:hAnsi="仿宋_GB2312" w:cs="仿宋_GB2312" w:eastAsia="仿宋_GB2312"/>
          <w:sz w:val="21"/>
        </w:rPr>
        <w:t>采购人单位工作人员不得获取劳务报酬。</w:t>
      </w:r>
    </w:p>
    <w:p>
      <w:pPr>
        <w:pStyle w:val="null3"/>
        <w:ind w:firstLine="420"/>
        <w:jc w:val="both"/>
      </w:pPr>
      <w:r>
        <w:rPr>
          <w:rFonts w:ascii="仿宋_GB2312" w:hAnsi="仿宋_GB2312" w:cs="仿宋_GB2312" w:eastAsia="仿宋_GB2312"/>
          <w:sz w:val="21"/>
        </w:rPr>
        <w:t>16、项目验收完成后，采购人应当将验收档案归入采购项目档案妥善保管，不得伪造、变造、隐匿或者违规销毁，验收档案保存期与采购项目档案保存期一致。</w:t>
      </w:r>
    </w:p>
    <w:p>
      <w:pPr>
        <w:pStyle w:val="null3"/>
        <w:ind w:firstLine="420"/>
        <w:jc w:val="both"/>
      </w:pPr>
      <w:r>
        <w:rPr>
          <w:rFonts w:ascii="仿宋_GB2312" w:hAnsi="仿宋_GB2312" w:cs="仿宋_GB2312" w:eastAsia="仿宋_GB2312"/>
          <w:sz w:val="21"/>
        </w:rPr>
        <w:t>17、履约验收过程有关合同履行问题、违约责任认定和争议解决处理按照《中华人民共和国民法典》等有关法律法规规定和合同约定执行。</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政府采购应当有助于实现国家的经济和社会发展政策目标、实现项目绩效目标，采购人通过确定供应商资格条件、设定评审规则等措施，落实支持创新、绿色发展、中小企业发展等政府采购政策功能。</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投标（报价）供应商应提交的相关资格证明材料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投标（报价）供应商应提交的相关资格证明材料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采购人根据采购项目的特殊要求，所规定的供应商提供其符合特殊要求的证明材料或者情况说明</w:t>
            </w:r>
          </w:p>
        </w:tc>
        <w:tc>
          <w:tcPr>
            <w:tcW w:type="dxa" w:w="3322"/>
          </w:tcPr>
          <w:p>
            <w:pPr>
              <w:pStyle w:val="null3"/>
              <w:jc w:val="left"/>
            </w:pPr>
            <w:r>
              <w:rPr>
                <w:rFonts w:ascii="仿宋_GB2312" w:hAnsi="仿宋_GB2312" w:cs="仿宋_GB2312" w:eastAsia="仿宋_GB2312"/>
              </w:rPr>
              <w:t>（1）参加政府采购活动前3年内没有环保类重大违法记录的书面声明；（2）供应商应当从采购人或者采购代理机构合法获得采购项目的磋商文件；（3）本项目不接受联合体磋商；（4）成交供应商成交后不得将项目分包或转让给其他主体实施；（5）本项目整体面向中小企业，供应商应当为采购标的对应的中小企业划分标准所属行业中的中小企业。</w:t>
            </w:r>
          </w:p>
        </w:tc>
        <w:tc>
          <w:tcPr>
            <w:tcW w:type="dxa" w:w="1661"/>
          </w:tcPr>
          <w:p>
            <w:pPr>
              <w:pStyle w:val="null3"/>
              <w:jc w:val="left"/>
            </w:pPr>
            <w:r>
              <w:rPr>
                <w:rFonts w:ascii="仿宋_GB2312" w:hAnsi="仿宋_GB2312" w:cs="仿宋_GB2312" w:eastAsia="仿宋_GB2312"/>
              </w:rPr>
              <w:t>投标（报价）供应商应提交的相关资格证明材料 中小企业声明函 残疾人福利性单位声明函 监狱企业的证明文件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在政府采购活动中查询及使用信用记录</w:t>
            </w:r>
          </w:p>
        </w:tc>
        <w:tc>
          <w:tcPr>
            <w:tcW w:type="dxa" w:w="3322"/>
          </w:tcPr>
          <w:p>
            <w:pPr>
              <w:pStyle w:val="null3"/>
              <w:jc w:val="left"/>
            </w:pPr>
            <w:r>
              <w:rPr>
                <w:rFonts w:ascii="仿宋_GB2312" w:hAnsi="仿宋_GB2312" w:cs="仿宋_GB2312" w:eastAsia="仿宋_GB2312"/>
              </w:rPr>
              <w:t>（1）查询渠道及截止时点：采购人、采购代理机构通过“信用中国”网站（www.creditchina.gov.cn）、中国政府采购网（www.ccgp.gov.cn）等渠道查询相关供应商的信用记录，以采购文件要求（确定）的提交投标（响应）文件截止时间为查询截止时点；（2）信用信息查询记录和证据留存的具体方式：采取必要方式（书证、电子数据等）做好信用信息查询记录和证据留存，信用信息查询记录及相关证据与其他采购文件一并保存。（3）信用信息的使用规则：对列入失信被执行人、重大税收违法失信主体（案件当事人名单）、政府采购严重违法失信行为记录名单及其他不符合《中华人民共和国政府采购法》第二十二条规定条件的供应商，应当拒绝其参与政府采购活动；两个以上的自然人、法人或者其他组织组成的一个联合体，以一个供应商的身份共同参加政府采购活动的，应当对所有联合体成员进行信用记录查询，联合体成员存在不良信用记录的，视同联合体存在不良信用记录；采购人及采购代理机构应当妥善保管相关供应商信用信息，不得用于政府采购以外事项。</w:t>
            </w:r>
          </w:p>
        </w:tc>
        <w:tc>
          <w:tcPr>
            <w:tcW w:type="dxa" w:w="1661"/>
          </w:tcPr>
          <w:p>
            <w:pPr>
              <w:pStyle w:val="null3"/>
              <w:jc w:val="left"/>
            </w:pPr>
            <w:r>
              <w:rPr>
                <w:rFonts w:ascii="仿宋_GB2312" w:hAnsi="仿宋_GB2312" w:cs="仿宋_GB2312" w:eastAsia="仿宋_GB2312"/>
              </w:rPr>
              <w:t>投标（报价）供应商应提交的相关资格证明材料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封面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技术响应与偏离表 商务响应表 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满足项目的服务内容和标准</w:t>
            </w:r>
          </w:p>
        </w:tc>
        <w:tc>
          <w:tcPr>
            <w:tcW w:type="dxa" w:w="2492"/>
          </w:tcPr>
          <w:p>
            <w:pPr>
              <w:pStyle w:val="null3"/>
              <w:jc w:val="left"/>
            </w:pPr>
            <w:r>
              <w:rPr>
                <w:rFonts w:ascii="仿宋_GB2312" w:hAnsi="仿宋_GB2312" w:cs="仿宋_GB2312" w:eastAsia="仿宋_GB2312"/>
              </w:rPr>
              <w:t>1、“★”代表最关键指标、参数，不满足“★”号条款要求的为无效响应；无标注符号的代表一般指标、参数。技术响应与偏离表中“报价响应”应如实填写，并与“竞争性磋商文件技术要求”一一对应，如简单填写“响应或者完全响应”将视为实质性不满足，视为响应无效。 2、分值 9分，细分为：无标注符号的一般指标、参数，满分为 9分。响应文件一般技术指标、参数与竞争性磋商文件规定的共计 15项相应指标、参数相比较，不满足要求的，每有一项扣 0.6 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技术响应与偏离表</w:t>
            </w:r>
          </w:p>
        </w:tc>
      </w:tr>
      <w:tr>
        <w:tc>
          <w:tcPr>
            <w:tcW w:type="dxa" w:w="831"/>
            <w:vMerge/>
          </w:tcPr>
          <w:p/>
        </w:tc>
        <w:tc>
          <w:tcPr>
            <w:tcW w:type="dxa" w:w="1661"/>
          </w:tcPr>
          <w:p>
            <w:pPr>
              <w:pStyle w:val="null3"/>
              <w:jc w:val="left"/>
            </w:pPr>
            <w:r>
              <w:rPr>
                <w:rFonts w:ascii="仿宋_GB2312" w:hAnsi="仿宋_GB2312" w:cs="仿宋_GB2312" w:eastAsia="仿宋_GB2312"/>
              </w:rPr>
              <w:t>总体实施方案</w:t>
            </w:r>
          </w:p>
        </w:tc>
        <w:tc>
          <w:tcPr>
            <w:tcW w:type="dxa" w:w="2492"/>
          </w:tcPr>
          <w:p>
            <w:pPr>
              <w:pStyle w:val="null3"/>
              <w:jc w:val="left"/>
            </w:pPr>
            <w:r>
              <w:rPr>
                <w:rFonts w:ascii="仿宋_GB2312" w:hAnsi="仿宋_GB2312" w:cs="仿宋_GB2312" w:eastAsia="仿宋_GB2312"/>
              </w:rPr>
              <w:t>根据供应商提供的本项目总体实施方案进行评价：①供应商提供与本项目有关的方案的，得 10分；②方案在满足①的基础上，针对商务条件和采购需求制定符合本项目的实施方案，且方案包括对项目的理解、组织架构、人员安排、管理和协调方法等，详细完整、合理可行的，得 15 分；③未提供方案或方案描述与本项目无关的，得0分。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服务质量保障措施方案</w:t>
            </w:r>
          </w:p>
        </w:tc>
        <w:tc>
          <w:tcPr>
            <w:tcW w:type="dxa" w:w="2492"/>
          </w:tcPr>
          <w:p>
            <w:pPr>
              <w:pStyle w:val="null3"/>
              <w:jc w:val="left"/>
            </w:pPr>
            <w:r>
              <w:rPr>
                <w:rFonts w:ascii="仿宋_GB2312" w:hAnsi="仿宋_GB2312" w:cs="仿宋_GB2312" w:eastAsia="仿宋_GB2312"/>
              </w:rPr>
              <w:t>评价服务质量保障措施方案：制定相应的方案，对服务过程中的关键节点具有具体质量控制措施，有相应的人力、物力投入安排，能够确保服务质量或方案不存在瑕疵的，得15分；服务质量保障措施较为简单，对服务过程中的关键节点有提出基本的质量控制措施或方案存在1处瑕疵的，得12分；方案存在2处瑕疵的，得8分；未提供或不符合项目需求或方案存在3处（含）以上瑕疵的，得0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服务风险性措施方案</w:t>
            </w:r>
          </w:p>
        </w:tc>
        <w:tc>
          <w:tcPr>
            <w:tcW w:type="dxa" w:w="2492"/>
          </w:tcPr>
          <w:p>
            <w:pPr>
              <w:pStyle w:val="null3"/>
              <w:jc w:val="left"/>
            </w:pPr>
            <w:r>
              <w:rPr>
                <w:rFonts w:ascii="仿宋_GB2312" w:hAnsi="仿宋_GB2312" w:cs="仿宋_GB2312" w:eastAsia="仿宋_GB2312"/>
              </w:rPr>
              <w:t>评价服务风险性措施方案：对服务过程中节点可能出现的风险有事先预估评判，并制定相应的服务风险防控措施，有相应的人力、物力投入安排，能够避免风险或者出现风险能及时有效处理或方案不存在瑕疵的，得15分；有提出服务过程中可能出现风险，但制定的服务风险防控措施较为简单或方案存在1处瑕疵的，得12分；方案存在2处瑕疵的，得8分；未提供措施或不符合项目需求或方案存在3处（含）以上瑕疵的，得0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服务人员</w:t>
            </w:r>
          </w:p>
        </w:tc>
        <w:tc>
          <w:tcPr>
            <w:tcW w:type="dxa" w:w="2492"/>
          </w:tcPr>
          <w:p>
            <w:pPr>
              <w:pStyle w:val="null3"/>
              <w:jc w:val="left"/>
            </w:pPr>
            <w:r>
              <w:rPr>
                <w:rFonts w:ascii="仿宋_GB2312" w:hAnsi="仿宋_GB2312" w:cs="仿宋_GB2312" w:eastAsia="仿宋_GB2312"/>
              </w:rPr>
              <w:t>1、对拟派出项目组的项目负责人进行评价：①项目负责人具有从业资格或 初级以上 职称的得 2 分，否则不得分（注：职称或职业资格应未在政府明令取消，且与项目服务需求相匹配，提供证件复印件加盖供应商公章）②项目负责人具有与本项目类似工作经历的得 2 分。 （提供项目负责人所在工作单位出具的证明材料，不提供或未能在证明材料中体现项目负责人姓名等个人基本信息的得0分）。 2、对拟派出项目组的主要服务人员进行评价：①主要服务人员所学专业范围与本项目相关、或通过 岗位 培训或 资格 认证的得 2分，否则不得分（注：培训或认证应与项目服务需求相匹配）②主要服务人员具有与本项目类似工作经历的得 2分。（提供主要服务人员所在工作单位出具的证明材料，不提供或未能在证明材料中体现主要负责人姓名等个人基本信息的得0分）。 3、对拟派出项目组的非主要人员进行评价：非主要服务人员所学专业范围与本项目相关、或通过 岗位 培训或 资格 认证的、或有与本项目类似工作经历的得 2 分，提供证明材料，不提供得0分。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与实现项目目标相关的因素</w:t>
            </w:r>
          </w:p>
        </w:tc>
        <w:tc>
          <w:tcPr>
            <w:tcW w:type="dxa" w:w="2492"/>
          </w:tcPr>
          <w:p>
            <w:pPr>
              <w:pStyle w:val="null3"/>
              <w:jc w:val="left"/>
            </w:pPr>
            <w:r>
              <w:rPr>
                <w:rFonts w:ascii="仿宋_GB2312" w:hAnsi="仿宋_GB2312" w:cs="仿宋_GB2312" w:eastAsia="仿宋_GB2312"/>
              </w:rPr>
              <w:t>根据供应商针对本项目成立的工作项目组情况进行评价：①成立工作项目组并制定工作流程，可组织保障项目完成的，得 6 分；②方案在满足①的基础上，针对项目成立专业、分工明确的项目组且明确责任人，有能力保障项目稳定有序完成的，得 8 分；③未提供方案或方案描述与本项目无关的，得0分。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对项目售后服务方案进行评价：内容包括但不限于：验收合格后运维期售后服务体系、服务措施、服务标准、服务内容与范围等方面，服务承诺详细完整满足项目要求或方案不存在瑕疵的，得 15 分；具有售后服务承诺和服务体系或方案存在1处瑕疵的，得 12分；售后服务体系不完备或方案存在2处瑕疵的，得 8 分；没有售后服务体系或不满足项目要求或方案存在3处（含）以上瑕疵的，得 0 分。（注：瑕疵，指内容不完整或缺少关键点；非专门针对本项目或不适用本项目，套用其他项目内容；对同一问题前后表述矛盾；存在逻辑漏洞、科学原理或常识性的错误；不利于本项目目标的实现、现有技术条件下不可能出现的情形等任意一种情形 。）</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业绩经验</w:t>
            </w:r>
          </w:p>
        </w:tc>
        <w:tc>
          <w:tcPr>
            <w:tcW w:type="dxa" w:w="2492"/>
          </w:tcPr>
          <w:p>
            <w:pPr>
              <w:pStyle w:val="null3"/>
              <w:jc w:val="left"/>
            </w:pPr>
            <w:r>
              <w:rPr>
                <w:rFonts w:ascii="仿宋_GB2312" w:hAnsi="仿宋_GB2312" w:cs="仿宋_GB2312" w:eastAsia="仿宋_GB2312"/>
              </w:rPr>
              <w:t>根据供应商2020年1月1日以来承担过的类似业绩进行评价：每提供1个业绩得1.5分，满分3分。不提供业绩者得0分。（注：（1）类似业绩是指非特定行政区域或者特定行业、非特定金额的与本项目类似的业绩。（2）提供相关证明材料，复印件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其他材料</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THS2025-C002</w:t>
      </w:r>
    </w:p>
    <w:p>
      <w:pPr>
        <w:pStyle w:val="null3"/>
        <w:jc w:val="left"/>
      </w:pPr>
      <w:r>
        <w:rPr>
          <w:rFonts w:ascii="仿宋_GB2312" w:hAnsi="仿宋_GB2312" w:cs="仿宋_GB2312" w:eastAsia="仿宋_GB2312"/>
        </w:rPr>
        <w:t>项目名称：</w:t>
      </w:r>
      <w:r>
        <w:rPr>
          <w:rFonts w:ascii="仿宋_GB2312" w:hAnsi="仿宋_GB2312" w:cs="仿宋_GB2312" w:eastAsia="仿宋_GB2312"/>
        </w:rPr>
        <w:t>东方市东河镇玉龙岭矿泉水资源勘查项目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东方市东河镇玉龙岭矿泉水资源勘查</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东方市东河镇玉龙岭矿泉水资源勘查</w:t>
            </w:r>
          </w:p>
        </w:tc>
        <w:tc>
          <w:tcPr>
            <w:tcW w:type="dxa" w:w="1038"/>
          </w:tcPr>
          <w:p>
            <w:pPr>
              <w:pStyle w:val="null3"/>
              <w:jc w:val="left"/>
            </w:pPr>
            <w:r>
              <w:rPr>
                <w:rFonts w:ascii="仿宋_GB2312" w:hAnsi="仿宋_GB2312" w:cs="仿宋_GB2312" w:eastAsia="仿宋_GB2312"/>
              </w:rPr>
              <w:t xml:space="preserve"> 1.00处</w:t>
            </w:r>
          </w:p>
        </w:tc>
        <w:tc>
          <w:tcPr>
            <w:tcW w:type="dxa" w:w="1038"/>
          </w:tcPr>
          <w:p>
            <w:pPr>
              <w:pStyle w:val="null3"/>
              <w:jc w:val="left"/>
            </w:pPr>
            <w:r>
              <w:rPr>
                <w:rFonts w:ascii="仿宋_GB2312" w:hAnsi="仿宋_GB2312" w:cs="仿宋_GB2312" w:eastAsia="仿宋_GB2312"/>
              </w:rPr>
              <w:t xml:space="preserve"> 2311000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详见附件：技术响应与偏离表</w:t>
      </w:r>
    </w:p>
    <w:p>
      <w:pPr>
        <w:pStyle w:val="null3"/>
        <w:ind w:firstLine="960"/>
        <w:jc w:val="left"/>
      </w:pPr>
      <w:r>
        <w:rPr>
          <w:rFonts w:ascii="仿宋_GB2312" w:hAnsi="仿宋_GB2312" w:cs="仿宋_GB2312" w:eastAsia="仿宋_GB2312"/>
        </w:rPr>
        <w:t>详见附件：投标（报价）供应商应提交的相关资格证明材料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