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东方市农村生活污水治理委托运维项目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HNJS2025-G001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海南建盛投资项目管理有限公司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东方市水务局</w:t>
      </w:r>
      <w:r>
        <w:rPr>
          <w:rFonts w:ascii="仿宋_GB2312" w:hAnsi="仿宋_GB2312" w:cs="仿宋_GB2312" w:eastAsia="仿宋_GB2312"/>
        </w:rPr>
        <w:t xml:space="preserve"> 委托， </w:t>
      </w:r>
      <w:r>
        <w:rPr>
          <w:rFonts w:ascii="仿宋_GB2312" w:hAnsi="仿宋_GB2312" w:cs="仿宋_GB2312" w:eastAsia="仿宋_GB2312"/>
        </w:rPr>
        <w:t>海南建盛投资项目管理有限公司</w:t>
      </w:r>
      <w:r>
        <w:rPr>
          <w:rFonts w:ascii="仿宋_GB2312" w:hAnsi="仿宋_GB2312" w:cs="仿宋_GB2312" w:eastAsia="仿宋_GB2312"/>
        </w:rPr>
        <w:t xml:space="preserve"> 对 </w:t>
      </w:r>
      <w:r>
        <w:rPr>
          <w:rFonts w:ascii="仿宋_GB2312" w:hAnsi="仿宋_GB2312" w:cs="仿宋_GB2312" w:eastAsia="仿宋_GB2312"/>
        </w:rPr>
        <w:t>东方市农村生活污水治理委托运维项目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HNJS2025-G001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东方市农村生活污水治理委托运维项目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9,446,400.00元</w:t>
      </w:r>
      <w:r>
        <w:rPr>
          <w:rFonts w:ascii="仿宋_GB2312" w:hAnsi="仿宋_GB2312" w:cs="仿宋_GB2312" w:eastAsia="仿宋_GB2312"/>
        </w:rPr>
        <w:t>玖佰肆拾肆万陆仟肆佰元整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合同签订生效之日起两年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 （2）供应商应当合法获得投标项目的招标文件； （3）本项目接受联合体投标。（①、两个以上供应商可以组成一个联合体，以一个投标人的身份参加投标。联合 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②参加联合体的供应商均应当具备政府采购法第二十二条规定的条件，并应当向采购人提交联合协议，载明联合体各方承担的工作和义务。联合体中有同类资质的供应商按照联合体分工 承担相同工作的，应当按照资质等级较低的供应商确定资质等级。按照联合体分工承担不同工作的供应商，应当具备承担对应工作内容的特定资格条件。 ③联合体各方应当共同与采购人签订采购合同，就采购合同约定的事项对采购人承担连带责任。） （4）中标供应商中标后不得将中标项目分包或转让给其他主体实施。</w:t>
      </w:r>
    </w:p>
    <w:p>
      <w:pPr>
        <w:pStyle w:val="null3"/>
        <w:jc w:val="left"/>
      </w:pPr>
      <w:r>
        <w:rPr>
          <w:rFonts w:ascii="仿宋_GB2312" w:hAnsi="仿宋_GB2312" w:cs="仿宋_GB2312" w:eastAsia="仿宋_GB2312"/>
        </w:rPr>
        <w:t>2、在政府采购活动中查询及使用信用记录：（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技术支持电话：0898-66220881/0898-66220882。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东方市八所镇东海路11号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18889815416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海南建盛投资项目管理有限公司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海南省海口市龙华区金宇街道龙昆南路52号润德商业广场（A、B区）铂领公馆21层2105房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13379946478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采购包1：9,446,400.00元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供应商应当提交履约保证金，供应商应当以支票、汇票、本票或者银行转账、担保机构出具的保函等非现金形式提交，履约保证金的数额不超过政府采购合同金额的5％；该履约保函在项目运行期结束后予以退还；若中标供应商未按约定进行项目运行维护，政府方有权终止协议并提取全部履约保证金作为损失补偿。</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120日历天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代理服务费收费标准：参照《招标代理服务收费管理暂行办法》(发改价格(2002)1980号)及《海南省物价局关于降低部分招标代理服务收费标准的通知》(琼价费管[2011]225号)规定的相关取费标准。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1、政府采购评审中出现下列情形之一的，评审委员会应当启动异常低价投标审查程 序：(一)投标报价低于全部通过符合性审查供应商投标报价平均值50%的，即投标报 价&lt;全部通过符合性审查供应商响应报价平均值×50%；(二)投标报价低于通过符合 性审查且报价次低供应商投标报价50%的，即投标报价&lt;通过符合性审查且报价次低 供应商投标报价×50%；(三)投标报价低于采购项目最高限价45%的，即投标报价&lt; 采购项目最高限价×45%；(四)其他评审委员会认为供应商报价过低，有可能影响产 品质量或者不能诚信履约的情形。 2、评审委员会启动异常低价投标审查后，应当要 求相关供应商在评审现场合理的时间内提供书面说明及必要的证明材料，对投标价格 作出解释。书面说明、证明材料主要是项目具体成本测算等与报价合理性相关的说明 、材料。 3、评审委员会应当结合同类产品在主要电商平台的价格、该行业当地薪资 水平等情况，依据专业经验对报价合理性进行判断。如果投标供应商不提供书面说明 、证明材料，或者提供的书面说明、证明材料不能证明其报价合理性的，应当将其作 为无效投标处理。审查相关情况应当在评审报告中记录。 4、出现采购文件规定的异 常低价情形，评审委员会未根据采购文件规定作出处理的，财政部门将按照《中华人 民共和国政府采购法实施条例》第七十五条追究评审专家的法律责任。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联系人：林经理</w:t>
      </w:r>
    </w:p>
    <w:p>
      <w:pPr>
        <w:pStyle w:val="null3"/>
        <w:jc w:val="left"/>
      </w:pPr>
      <w:r>
        <w:rPr>
          <w:rFonts w:ascii="仿宋_GB2312" w:hAnsi="仿宋_GB2312" w:cs="仿宋_GB2312" w:eastAsia="仿宋_GB2312"/>
        </w:rPr>
        <w:t>联系电话：13379946478</w:t>
      </w:r>
    </w:p>
    <w:p>
      <w:pPr>
        <w:pStyle w:val="null3"/>
        <w:jc w:val="left"/>
      </w:pPr>
      <w:r>
        <w:rPr>
          <w:rFonts w:ascii="仿宋_GB2312" w:hAnsi="仿宋_GB2312" w:cs="仿宋_GB2312" w:eastAsia="仿宋_GB2312"/>
        </w:rPr>
        <w:t>地址：海南省海口市龙华区金宇街道龙昆南路52号润德商业广场（A、B区）铂领公馆21层2105房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 xml:space="preserve">  本项目的采购需求，是指采购人为实现项目目标，拟采购的标的及其需要满足的技术、商务要求。技术要求是指对采购标</w:t>
      </w:r>
      <w:r>
        <w:rPr>
          <w:rFonts w:ascii="仿宋_GB2312" w:hAnsi="仿宋_GB2312" w:cs="仿宋_GB2312" w:eastAsia="仿宋_GB2312"/>
          <w:sz w:val="19"/>
          <w:color w:val="000000"/>
        </w:rPr>
        <w:t>的的功能和质量要求，包括性能、材料、结构、外观、安全，或者服务内容和标准等。商务要求是指取得采购标的的时间、地</w:t>
      </w:r>
      <w:r>
        <w:rPr>
          <w:rFonts w:ascii="仿宋_GB2312" w:hAnsi="仿宋_GB2312" w:cs="仿宋_GB2312" w:eastAsia="仿宋_GB2312"/>
          <w:sz w:val="19"/>
          <w:color w:val="000000"/>
        </w:rPr>
        <w:t>点、财务和服务要求，包括交付（实施）的时间（期限）和地点（范围），付款条件（进度和方式），包装和运输，售后服</w:t>
      </w:r>
      <w:r>
        <w:rPr>
          <w:rFonts w:ascii="仿宋_GB2312" w:hAnsi="仿宋_GB2312" w:cs="仿宋_GB2312" w:eastAsia="仿宋_GB2312"/>
          <w:sz w:val="19"/>
          <w:color w:val="000000"/>
        </w:rPr>
        <w:t>务，保险等。</w:t>
      </w:r>
    </w:p>
    <w:p>
      <w:pPr>
        <w:pStyle w:val="null3"/>
        <w:jc w:val="left"/>
      </w:pPr>
      <w:r>
        <w:rPr>
          <w:rFonts w:ascii="仿宋_GB2312" w:hAnsi="仿宋_GB2312" w:cs="仿宋_GB2312" w:eastAsia="仿宋_GB2312"/>
          <w:sz w:val="19"/>
          <w:color w:val="000000"/>
        </w:rPr>
        <w:t xml:space="preserve">  采购人遵循预算、资产和财务等相关管理制度规定，结合采购项目特点和实际需要并依据部门预算（工程项目概预算）确</w:t>
      </w:r>
      <w:r>
        <w:rPr>
          <w:rFonts w:ascii="仿宋_GB2312" w:hAnsi="仿宋_GB2312" w:cs="仿宋_GB2312" w:eastAsia="仿宋_GB2312"/>
          <w:sz w:val="19"/>
          <w:color w:val="000000"/>
        </w:rPr>
        <w:t>定采购需求，采购需求可以直接引用相关国家标准、行业标准、地方标准等标准、规范，也可以根据项目目标提出更高的技术</w:t>
      </w:r>
      <w:r>
        <w:rPr>
          <w:rFonts w:ascii="仿宋_GB2312" w:hAnsi="仿宋_GB2312" w:cs="仿宋_GB2312" w:eastAsia="仿宋_GB2312"/>
          <w:sz w:val="19"/>
          <w:color w:val="000000"/>
        </w:rPr>
        <w:t>要求。</w:t>
      </w:r>
    </w:p>
    <w:p>
      <w:pPr>
        <w:pStyle w:val="null3"/>
        <w:jc w:val="left"/>
      </w:pPr>
      <w:r>
        <w:rPr>
          <w:rFonts w:ascii="仿宋_GB2312" w:hAnsi="仿宋_GB2312" w:cs="仿宋_GB2312" w:eastAsia="仿宋_GB2312"/>
          <w:sz w:val="19"/>
          <w:color w:val="000000"/>
        </w:rPr>
        <w:t>本项目年运维费用</w:t>
      </w:r>
      <w:r>
        <w:rPr>
          <w:rFonts w:ascii="仿宋_GB2312" w:hAnsi="仿宋_GB2312" w:cs="仿宋_GB2312" w:eastAsia="仿宋_GB2312"/>
          <w:sz w:val="19"/>
          <w:color w:val="000000"/>
        </w:rPr>
        <w:t>9446400.00</w:t>
      </w:r>
      <w:r>
        <w:rPr>
          <w:rFonts w:ascii="仿宋_GB2312" w:hAnsi="仿宋_GB2312" w:cs="仿宋_GB2312" w:eastAsia="仿宋_GB2312"/>
          <w:sz w:val="19"/>
          <w:color w:val="000000"/>
        </w:rPr>
        <w:t>元，提供的运行维护服务工作主要包含东方市全部农村生活污水处理设施在政府采购服</w:t>
      </w:r>
      <w:r>
        <w:rPr>
          <w:rFonts w:ascii="仿宋_GB2312" w:hAnsi="仿宋_GB2312" w:cs="仿宋_GB2312" w:eastAsia="仿宋_GB2312"/>
          <w:sz w:val="19"/>
          <w:color w:val="000000"/>
        </w:rPr>
        <w:t>务合同期内的运行、维护及用户服务，提供八所镇等</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个乡镇、</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个经济区的农村生活污水处理服务</w:t>
      </w:r>
      <w:r>
        <w:rPr>
          <w:rFonts w:ascii="仿宋_GB2312" w:hAnsi="仿宋_GB2312" w:cs="仿宋_GB2312" w:eastAsia="仿宋_GB2312"/>
          <w:sz w:val="19"/>
          <w:color w:val="000000"/>
        </w:rPr>
        <w:t>(</w:t>
      </w:r>
      <w:r>
        <w:rPr>
          <w:rFonts w:ascii="仿宋_GB2312" w:hAnsi="仿宋_GB2312" w:cs="仿宋_GB2312" w:eastAsia="仿宋_GB2312"/>
          <w:sz w:val="19"/>
          <w:color w:val="000000"/>
        </w:rPr>
        <w:t>东方市水务局实施的乡</w:t>
      </w:r>
      <w:r>
        <w:rPr>
          <w:rFonts w:ascii="仿宋_GB2312" w:hAnsi="仿宋_GB2312" w:cs="仿宋_GB2312" w:eastAsia="仿宋_GB2312"/>
          <w:sz w:val="19"/>
          <w:color w:val="000000"/>
        </w:rPr>
        <w:t>镇污水项目除外</w:t>
      </w:r>
      <w:r>
        <w:rPr>
          <w:rFonts w:ascii="仿宋_GB2312" w:hAnsi="仿宋_GB2312" w:cs="仿宋_GB2312" w:eastAsia="仿宋_GB2312"/>
          <w:sz w:val="19"/>
          <w:color w:val="000000"/>
        </w:rPr>
        <w:t>)</w:t>
      </w:r>
      <w:r>
        <w:rPr>
          <w:rFonts w:ascii="仿宋_GB2312" w:hAnsi="仿宋_GB2312" w:cs="仿宋_GB2312" w:eastAsia="仿宋_GB2312"/>
          <w:sz w:val="19"/>
          <w:color w:val="000000"/>
        </w:rPr>
        <w:t>，设计日处理规模为</w:t>
      </w:r>
      <w:r>
        <w:rPr>
          <w:rFonts w:ascii="仿宋_GB2312" w:hAnsi="仿宋_GB2312" w:cs="仿宋_GB2312" w:eastAsia="仿宋_GB2312"/>
          <w:sz w:val="19"/>
          <w:color w:val="000000"/>
        </w:rPr>
        <w:t>13930</w:t>
      </w:r>
      <w:r>
        <w:rPr>
          <w:rFonts w:ascii="仿宋_GB2312" w:hAnsi="仿宋_GB2312" w:cs="仿宋_GB2312" w:eastAsia="仿宋_GB2312"/>
          <w:sz w:val="19"/>
          <w:color w:val="000000"/>
        </w:rPr>
        <w:t>立方米</w:t>
      </w:r>
      <w:r>
        <w:rPr>
          <w:rFonts w:ascii="仿宋_GB2312" w:hAnsi="仿宋_GB2312" w:cs="仿宋_GB2312" w:eastAsia="仿宋_GB2312"/>
          <w:sz w:val="19"/>
          <w:color w:val="000000"/>
        </w:rPr>
        <w:t>/</w:t>
      </w:r>
      <w:r>
        <w:rPr>
          <w:rFonts w:ascii="仿宋_GB2312" w:hAnsi="仿宋_GB2312" w:cs="仿宋_GB2312" w:eastAsia="仿宋_GB2312"/>
          <w:sz w:val="19"/>
          <w:color w:val="000000"/>
        </w:rPr>
        <w:t>天，服务人口</w:t>
      </w:r>
      <w:r>
        <w:rPr>
          <w:rFonts w:ascii="仿宋_GB2312" w:hAnsi="仿宋_GB2312" w:cs="仿宋_GB2312" w:eastAsia="仿宋_GB2312"/>
          <w:sz w:val="19"/>
          <w:color w:val="000000"/>
        </w:rPr>
        <w:t>25</w:t>
      </w:r>
      <w:r>
        <w:rPr>
          <w:rFonts w:ascii="仿宋_GB2312" w:hAnsi="仿宋_GB2312" w:cs="仿宋_GB2312" w:eastAsia="仿宋_GB2312"/>
          <w:sz w:val="19"/>
          <w:color w:val="000000"/>
        </w:rPr>
        <w:t>万人。（详见附件</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8"/>
          <w:color w:val="000000"/>
        </w:rPr>
        <w:t>附件</w:t>
      </w:r>
      <w:r>
        <w:rPr>
          <w:rFonts w:ascii="仿宋_GB2312" w:hAnsi="仿宋_GB2312" w:cs="仿宋_GB2312" w:eastAsia="仿宋_GB2312"/>
          <w:sz w:val="28"/>
          <w:color w:val="000000"/>
        </w:rPr>
        <w:t>1：</w:t>
      </w:r>
    </w:p>
    <w:p>
      <w:pPr>
        <w:pStyle w:val="null3"/>
        <w:ind w:firstLine="560"/>
        <w:jc w:val="center"/>
      </w:pPr>
      <w:r>
        <w:rPr>
          <w:rFonts w:ascii="仿宋_GB2312" w:hAnsi="仿宋_GB2312" w:cs="仿宋_GB2312" w:eastAsia="仿宋_GB2312"/>
          <w:sz w:val="28"/>
          <w:color w:val="000000"/>
        </w:rPr>
        <w:t>东方市农村生活污水处理设施运行维护管理详情</w:t>
      </w:r>
    </w:p>
    <w:tbl>
      <w:tblPr>
        <w:tblW w:w="0" w:type="auto"/>
        <w:tblBorders>
          <w:top w:val="none" w:color="000000" w:sz="4"/>
          <w:left w:val="none" w:color="000000" w:sz="4"/>
          <w:bottom w:val="none" w:color="000000" w:sz="4"/>
          <w:right w:val="none" w:color="000000" w:sz="4"/>
          <w:insideH w:val="none"/>
          <w:insideV w:val="none"/>
        </w:tblBorders>
      </w:tblPr>
      <w:tblGrid>
        <w:gridCol w:w="565"/>
        <w:gridCol w:w="822"/>
        <w:gridCol w:w="1722"/>
        <w:gridCol w:w="1028"/>
        <w:gridCol w:w="2430"/>
        <w:gridCol w:w="1697"/>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乡镇</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村庄</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设计规模（</w:t>
            </w:r>
            <w:r>
              <w:rPr>
                <w:rFonts w:ascii="仿宋_GB2312" w:hAnsi="仿宋_GB2312" w:cs="仿宋_GB2312" w:eastAsia="仿宋_GB2312"/>
                <w:sz w:val="22"/>
                <w:color w:val="000000"/>
              </w:rPr>
              <w:t>m³/d）</w:t>
            </w:r>
          </w:p>
        </w:tc>
        <w:tc>
          <w:tcPr>
            <w:tcW w:type="dxa" w:w="2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处理设施类型</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干支管长度</w:t>
            </w:r>
            <w:r>
              <w:rPr>
                <w:rFonts w:ascii="仿宋_GB2312" w:hAnsi="仿宋_GB2312" w:cs="仿宋_GB2312" w:eastAsia="仿宋_GB2312"/>
                <w:sz w:val="22"/>
                <w:color w:val="000000"/>
              </w:rPr>
              <w:t>km（DN200及以上）</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东河镇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0.220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土新、土蛮村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佳西村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玉龙印村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群益村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俄贤村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0.011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0.231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广坝村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6.024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佳头村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豆芽村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旧村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5.155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金炳村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无动力池体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6.834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南浪村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大俄村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江边乡</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永洞村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新明村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0.379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国界村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俄查村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那文、马眉村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0.405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土眉苗村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0.301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江边苗村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赤好村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0.725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冲俄村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天安乡</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光良村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槟榔头村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0.661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抱由村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封巴村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芭蕉村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益公村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王沟村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抱识村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赤好村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响水村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公爱上村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公爱下村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陈龙村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陀类村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长田新村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长田老村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光益老村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良任村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4.089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陀牙村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5.313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雅龙村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地埋式动力设备池体</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光益新村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0.713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大田镇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戈枕村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罗旺村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6.963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牙炮村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0.795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二甲村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南尧村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0.157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7.252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短草村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乐妹村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冲报村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0.600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居便村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万达村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0.149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那都村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玉道村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红泉居侨三队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报白村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0.257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俄龙村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0.685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新宁坡村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0.381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月大村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0.832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老马村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0.772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芦古村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0.638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感城镇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宝东村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39.836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宝西村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凤亭村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加富村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9.312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不磨村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生旺村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6.155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尧文村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11.095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扶室村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北沟农场</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槟榔村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温布村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烈村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长工村</w:t>
            </w: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只有管网</w:t>
            </w:r>
          </w:p>
        </w:tc>
        <w:tc>
          <w:tcPr>
            <w:tcW w:type="dxa" w:w="16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北沟村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陀头村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4.634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振兴村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4.535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入学村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板桥镇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后壁村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0.230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0.859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加力村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抱利村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5.826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10.424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田中新村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元兴村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3.865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好瑞村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9.131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公爱农场二队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0.431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6.242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四更镇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上荣村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下荣村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1.994</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四而村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来南村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日新村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2.583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大土地村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3.598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旦园村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旦场村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付马村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英显村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四必村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7.166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7.591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旦场田村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小土地</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0.767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赤坎村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5.262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5.443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居多村</w:t>
            </w:r>
          </w:p>
        </w:tc>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新龙镇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道达村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那斗村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部道村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0.923</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下通天村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0.327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上通天村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0.690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八所镇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上红兴村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港门村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该村无设施，管网纳入东方污水处理厂</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0.447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罗带村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19.920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下红兴村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青山村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无动力池体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三家镇</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乐安村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0.960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岭村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0.545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红草村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生物接触氧化法</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玉雄村</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348</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曝气池体</w:t>
            </w:r>
            <w:r>
              <w:rPr>
                <w:rFonts w:ascii="仿宋_GB2312" w:hAnsi="仿宋_GB2312" w:cs="仿宋_GB2312" w:eastAsia="仿宋_GB2312"/>
                <w:sz w:val="22"/>
                <w:color w:val="000000"/>
              </w:rPr>
              <w:t>+人工湿地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3.050</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华侨经济区</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0.351</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七队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0.458</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822"/>
            <w:vMerge/>
            <w:tcBorders>
              <w:top w:val="none" w:color="000000" w:sz="4"/>
              <w:left w:val="single" w:color="000000" w:sz="4"/>
              <w:bottom w:val="single" w:color="000000" w:sz="4"/>
              <w:right w:val="single" w:color="000000" w:sz="4"/>
            </w:tcBorders>
          </w:tcP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A2/O地埋式一体化设备+人工湿地</w:t>
            </w:r>
          </w:p>
        </w:tc>
        <w:tc>
          <w:tcPr>
            <w:tcW w:type="dxa" w:w="16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0.579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822"/>
            <w:vMerge/>
            <w:tcBorders>
              <w:top w:val="none" w:color="000000" w:sz="4"/>
              <w:left w:val="single" w:color="000000" w:sz="4"/>
              <w:bottom w:val="single" w:color="000000" w:sz="4"/>
              <w:right w:val="single" w:color="000000" w:sz="4"/>
            </w:tcBorders>
          </w:tcPr>
          <w:p/>
        </w:tc>
        <w:tc>
          <w:tcPr>
            <w:tcW w:type="dxa" w:w="1722"/>
            <w:vMerge/>
            <w:tcBorders>
              <w:top w:val="none" w:color="000000" w:sz="4"/>
              <w:left w:val="single" w:color="000000" w:sz="4"/>
              <w:bottom w:val="single" w:color="000000" w:sz="4"/>
              <w:right w:val="single" w:color="000000" w:sz="4"/>
            </w:tcBorders>
          </w:tcP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vMerge/>
            <w:tcBorders>
              <w:top w:val="none" w:color="000000" w:sz="4"/>
              <w:left w:val="single" w:color="000000" w:sz="4"/>
              <w:bottom w:val="single" w:color="000000" w:sz="4"/>
              <w:right w:val="single" w:color="000000" w:sz="4"/>
            </w:tcBorders>
          </w:tcP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九队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A2/O地埋式一体化设备+人工湿地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十一队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A2/O地埋式一体化设备+人工湿地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1.072</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十二队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0.186</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十三队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0.307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十四队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0.267</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822"/>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长坡队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A/O地埋式一体化设备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2.157</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9,446,400.00</w:t>
      </w:r>
    </w:p>
    <w:p>
      <w:pPr>
        <w:pStyle w:val="null3"/>
        <w:jc w:val="left"/>
      </w:pPr>
      <w:r>
        <w:rPr>
          <w:rFonts w:ascii="仿宋_GB2312" w:hAnsi="仿宋_GB2312" w:cs="仿宋_GB2312" w:eastAsia="仿宋_GB2312"/>
        </w:rPr>
        <w:t>采购包最高限价（元）: 9,446,400.00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C13020000-市政公用设施管理服务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9,446,400.00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C13020000-市政公用设施管理服务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9,446,400.00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标的名称：C13020000-市政公用设施管理服务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保证提供达标、稳定、连续的污水处理服务；自行承担合同范围内的责任和风险，做好国有</w:t>
            </w:r>
            <w:r>
              <w:rPr>
                <w:rFonts w:ascii="仿宋_GB2312" w:hAnsi="仿宋_GB2312" w:cs="仿宋_GB2312" w:eastAsia="仿宋_GB2312"/>
                <w:sz w:val="19"/>
                <w:color w:val="000000"/>
              </w:rPr>
              <w:t>资产管理，防止国有资产流失。负责污水处理设施设备的运行和维护；按照法律法规、标准、规</w:t>
            </w:r>
            <w:r>
              <w:rPr>
                <w:rFonts w:ascii="仿宋_GB2312" w:hAnsi="仿宋_GB2312" w:cs="仿宋_GB2312" w:eastAsia="仿宋_GB2312"/>
                <w:sz w:val="19"/>
                <w:color w:val="000000"/>
              </w:rPr>
              <w:t>范及协议的约定，保护环境，避免或尽量减少对周边环境的干扰；接受政府方有关部门对工程运</w:t>
            </w:r>
            <w:r>
              <w:rPr>
                <w:rFonts w:ascii="仿宋_GB2312" w:hAnsi="仿宋_GB2312" w:cs="仿宋_GB2312" w:eastAsia="仿宋_GB2312"/>
                <w:sz w:val="19"/>
                <w:color w:val="000000"/>
              </w:rPr>
              <w:t>行管理的监督管理，接受行业主管部门的检查与考核；定期向政府方报送项目运行、维护相关的</w:t>
            </w:r>
            <w:r>
              <w:rPr>
                <w:rFonts w:ascii="仿宋_GB2312" w:hAnsi="仿宋_GB2312" w:cs="仿宋_GB2312" w:eastAsia="仿宋_GB2312"/>
                <w:sz w:val="19"/>
                <w:color w:val="000000"/>
              </w:rPr>
              <w:t>报表、报告及其他资料。</w:t>
            </w:r>
          </w:p>
          <w:p>
            <w:pPr>
              <w:pStyle w:val="null3"/>
              <w:jc w:val="left"/>
            </w:pPr>
            <w:r>
              <w:rPr>
                <w:rFonts w:ascii="仿宋_GB2312" w:hAnsi="仿宋_GB2312" w:cs="仿宋_GB2312" w:eastAsia="仿宋_GB2312"/>
                <w:sz w:val="19"/>
                <w:color w:val="000000"/>
              </w:rPr>
              <w:t>一、运行维护管理目标</w:t>
            </w:r>
          </w:p>
          <w:p>
            <w:pPr>
              <w:pStyle w:val="null3"/>
              <w:jc w:val="left"/>
            </w:pPr>
            <w:r>
              <w:rPr>
                <w:rFonts w:ascii="仿宋_GB2312" w:hAnsi="仿宋_GB2312" w:cs="仿宋_GB2312" w:eastAsia="仿宋_GB2312"/>
                <w:sz w:val="19"/>
                <w:color w:val="000000"/>
              </w:rPr>
              <w:t>东方市农村生活污水处理设施委托运行维护管理项目，坚持</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以 用为本、建管并重 </w:t>
            </w:r>
            <w:r>
              <w:rPr>
                <w:rFonts w:ascii="仿宋_GB2312" w:hAnsi="仿宋_GB2312" w:cs="仿宋_GB2312" w:eastAsia="仿宋_GB2312"/>
                <w:sz w:val="19"/>
                <w:color w:val="000000"/>
              </w:rPr>
              <w:t>”</w:t>
            </w:r>
            <w:r>
              <w:rPr>
                <w:rFonts w:ascii="仿宋_GB2312" w:hAnsi="仿宋_GB2312" w:cs="仿宋_GB2312" w:eastAsia="仿宋_GB2312"/>
                <w:sz w:val="19"/>
                <w:color w:val="000000"/>
              </w:rPr>
              <w:t>，确保</w:t>
            </w:r>
            <w:r>
              <w:rPr>
                <w:rFonts w:ascii="仿宋_GB2312" w:hAnsi="仿宋_GB2312" w:cs="仿宋_GB2312" w:eastAsia="仿宋_GB2312"/>
                <w:sz w:val="19"/>
                <w:color w:val="000000"/>
              </w:rPr>
              <w:t>设施正常运行，提高使用寿命，保证出水 稳定达标，降低运行成本，实现</w:t>
            </w:r>
            <w:r>
              <w:rPr>
                <w:rFonts w:ascii="仿宋_GB2312" w:hAnsi="仿宋_GB2312" w:cs="仿宋_GB2312" w:eastAsia="仿宋_GB2312"/>
                <w:sz w:val="19"/>
                <w:color w:val="000000"/>
              </w:rPr>
              <w:t>"</w:t>
            </w:r>
            <w:r>
              <w:rPr>
                <w:rFonts w:ascii="仿宋_GB2312" w:hAnsi="仿宋_GB2312" w:cs="仿宋_GB2312" w:eastAsia="仿宋_GB2312"/>
                <w:sz w:val="19"/>
                <w:color w:val="000000"/>
              </w:rPr>
              <w:t>建好管用、群众满意</w:t>
            </w:r>
            <w:r>
              <w:rPr>
                <w:rFonts w:ascii="仿宋_GB2312" w:hAnsi="仿宋_GB2312" w:cs="仿宋_GB2312" w:eastAsia="仿宋_GB2312"/>
                <w:sz w:val="19"/>
                <w:color w:val="000000"/>
              </w:rPr>
              <w:t>"</w:t>
            </w:r>
            <w:r>
              <w:rPr>
                <w:rFonts w:ascii="仿宋_GB2312" w:hAnsi="仿宋_GB2312" w:cs="仿宋_GB2312" w:eastAsia="仿宋_GB2312"/>
                <w:sz w:val="19"/>
                <w:color w:val="000000"/>
              </w:rPr>
              <w:t>目的，切实提升农民群众获得感幸福感。</w:t>
            </w:r>
          </w:p>
          <w:p>
            <w:pPr>
              <w:pStyle w:val="null3"/>
              <w:jc w:val="left"/>
            </w:pPr>
            <w:r>
              <w:rPr>
                <w:rFonts w:ascii="仿宋_GB2312" w:hAnsi="仿宋_GB2312" w:cs="仿宋_GB2312" w:eastAsia="仿宋_GB2312"/>
                <w:sz w:val="19"/>
                <w:color w:val="000000"/>
              </w:rPr>
              <w:t>二、运行维护管理范围和内容</w:t>
            </w:r>
          </w:p>
          <w:p>
            <w:pPr>
              <w:pStyle w:val="null3"/>
              <w:jc w:val="left"/>
            </w:pPr>
            <w:r>
              <w:rPr>
                <w:rFonts w:ascii="仿宋_GB2312" w:hAnsi="仿宋_GB2312" w:cs="仿宋_GB2312" w:eastAsia="仿宋_GB2312"/>
                <w:sz w:val="19"/>
                <w:color w:val="000000"/>
              </w:rPr>
              <w:t>农村污水治理设施运维内容为收集管网、配套设施、污水站处理装置等；包括终端维护、</w:t>
            </w:r>
            <w:r>
              <w:rPr>
                <w:rFonts w:ascii="仿宋_GB2312" w:hAnsi="仿宋_GB2312" w:cs="仿宋_GB2312" w:eastAsia="仿宋_GB2312"/>
                <w:sz w:val="19"/>
                <w:color w:val="000000"/>
              </w:rPr>
              <w:t>设备检修和日常运维三部分组成。运行维护管理单位应建立完善相应的安全和质量保证体系；配</w:t>
            </w:r>
            <w:r>
              <w:rPr>
                <w:rFonts w:ascii="仿宋_GB2312" w:hAnsi="仿宋_GB2312" w:cs="仿宋_GB2312" w:eastAsia="仿宋_GB2312"/>
                <w:sz w:val="19"/>
                <w:color w:val="000000"/>
              </w:rPr>
              <w:t>备相应专业知识的运维人员，并经过专业培训后上岗；做好运维资料的建档和管理；及时总结运</w:t>
            </w:r>
            <w:r>
              <w:rPr>
                <w:rFonts w:ascii="仿宋_GB2312" w:hAnsi="仿宋_GB2312" w:cs="仿宋_GB2312" w:eastAsia="仿宋_GB2312"/>
                <w:sz w:val="19"/>
                <w:color w:val="000000"/>
              </w:rPr>
              <w:t>维经验，加强交流，不断提高运维管理水平；设立服务机构并根据项目运维需求配置相应的通讯</w:t>
            </w:r>
            <w:r>
              <w:rPr>
                <w:rFonts w:ascii="仿宋_GB2312" w:hAnsi="仿宋_GB2312" w:cs="仿宋_GB2312" w:eastAsia="仿宋_GB2312"/>
                <w:sz w:val="19"/>
                <w:color w:val="000000"/>
              </w:rPr>
              <w:t>、交通、维护、检修、抢修、应急等设备及工具。</w:t>
            </w:r>
          </w:p>
          <w:p>
            <w:pPr>
              <w:pStyle w:val="null3"/>
              <w:jc w:val="left"/>
            </w:pPr>
            <w:r>
              <w:rPr>
                <w:rFonts w:ascii="仿宋_GB2312" w:hAnsi="仿宋_GB2312" w:cs="仿宋_GB2312" w:eastAsia="仿宋_GB2312"/>
                <w:sz w:val="19"/>
                <w:color w:val="000000"/>
              </w:rPr>
              <w:t>三、安全管理</w:t>
            </w:r>
          </w:p>
          <w:p>
            <w:pPr>
              <w:pStyle w:val="null3"/>
              <w:jc w:val="left"/>
            </w:pPr>
            <w:r>
              <w:rPr>
                <w:rFonts w:ascii="仿宋_GB2312" w:hAnsi="仿宋_GB2312" w:cs="仿宋_GB2312" w:eastAsia="仿宋_GB2312"/>
                <w:sz w:val="19"/>
                <w:color w:val="000000"/>
              </w:rPr>
              <w:t>（一）运行管理人员和维护检修人员应严格执行本岗位安全操作规 程，特别要严防燃爆、</w:t>
            </w:r>
            <w:r>
              <w:rPr>
                <w:rFonts w:ascii="仿宋_GB2312" w:hAnsi="仿宋_GB2312" w:cs="仿宋_GB2312" w:eastAsia="仿宋_GB2312"/>
                <w:sz w:val="19"/>
                <w:color w:val="000000"/>
              </w:rPr>
              <w:t>触电、中毒、滑跌、溺水、机器伤亡等事故的发生，并熟悉相应的急救方法。</w:t>
            </w:r>
          </w:p>
          <w:p>
            <w:pPr>
              <w:pStyle w:val="null3"/>
              <w:jc w:val="left"/>
            </w:pPr>
            <w:r>
              <w:rPr>
                <w:rFonts w:ascii="仿宋_GB2312" w:hAnsi="仿宋_GB2312" w:cs="仿宋_GB2312" w:eastAsia="仿宋_GB2312"/>
                <w:sz w:val="19"/>
                <w:color w:val="000000"/>
              </w:rPr>
              <w:t>（二）对可能产生有害或可燃气体的污水处理设施，下池检查或维 修作业时必须有</w:t>
            </w:r>
            <w:r>
              <w:rPr>
                <w:rFonts w:ascii="仿宋_GB2312" w:hAnsi="仿宋_GB2312" w:cs="仿宋_GB2312" w:eastAsia="仿宋_GB2312"/>
                <w:sz w:val="19"/>
                <w:color w:val="000000"/>
              </w:rPr>
              <w:t>2</w:t>
            </w:r>
            <w:r>
              <w:rPr>
                <w:rFonts w:ascii="仿宋_GB2312" w:hAnsi="仿宋_GB2312" w:cs="仿宋_GB2312" w:eastAsia="仿宋_GB2312"/>
                <w:sz w:val="19"/>
                <w:color w:val="000000"/>
              </w:rPr>
              <w:t>人同时</w:t>
            </w:r>
            <w:r>
              <w:rPr>
                <w:rFonts w:ascii="仿宋_GB2312" w:hAnsi="仿宋_GB2312" w:cs="仿宋_GB2312" w:eastAsia="仿宋_GB2312"/>
                <w:sz w:val="19"/>
                <w:color w:val="000000"/>
              </w:rPr>
              <w:t>进行，作业前要先通风换气、检查合格方可下池作业，作业时必须佩戴防毒面具；化粪池开盖维</w:t>
            </w:r>
            <w:r>
              <w:rPr>
                <w:rFonts w:ascii="仿宋_GB2312" w:hAnsi="仿宋_GB2312" w:cs="仿宋_GB2312" w:eastAsia="仿宋_GB2312"/>
                <w:sz w:val="19"/>
                <w:color w:val="000000"/>
              </w:rPr>
              <w:t>修时应防毒、防爆、防坠。</w:t>
            </w:r>
          </w:p>
          <w:p>
            <w:pPr>
              <w:pStyle w:val="null3"/>
              <w:jc w:val="left"/>
            </w:pPr>
            <w:r>
              <w:rPr>
                <w:rFonts w:ascii="仿宋_GB2312" w:hAnsi="仿宋_GB2312" w:cs="仿宋_GB2312" w:eastAsia="仿宋_GB2312"/>
                <w:sz w:val="19"/>
                <w:color w:val="000000"/>
              </w:rPr>
              <w:t>（三）台风期间现场巡视或操作时，必须有</w:t>
            </w:r>
            <w:r>
              <w:rPr>
                <w:rFonts w:ascii="仿宋_GB2312" w:hAnsi="仿宋_GB2312" w:cs="仿宋_GB2312" w:eastAsia="仿宋_GB2312"/>
                <w:sz w:val="19"/>
                <w:color w:val="000000"/>
              </w:rPr>
              <w:t>2</w:t>
            </w:r>
            <w:r>
              <w:rPr>
                <w:rFonts w:ascii="仿宋_GB2312" w:hAnsi="仿宋_GB2312" w:cs="仿宋_GB2312" w:eastAsia="仿宋_GB2312"/>
                <w:sz w:val="19"/>
                <w:color w:val="000000"/>
              </w:rPr>
              <w:t>人同时进行，并采取防范措施。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）合同履行期限：合同签订生效之日起两年。</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）具体服务地点为采购人指定地点。</w:t>
            </w:r>
          </w:p>
          <w:p>
            <w:pPr>
              <w:pStyle w:val="null3"/>
              <w:jc w:val="left"/>
            </w:pPr>
            <w:r>
              <w:rPr>
                <w:rFonts w:ascii="仿宋_GB2312" w:hAnsi="仿宋_GB2312" w:cs="仿宋_GB2312" w:eastAsia="仿宋_GB2312"/>
                <w:sz w:val="19"/>
                <w:color w:val="000000"/>
              </w:rPr>
              <w:t>本项目的采购需求具有相对固定性、延续性且价格变化幅度小，在年度预算能保障的前提下</w:t>
            </w:r>
            <w:r>
              <w:rPr>
                <w:rFonts w:ascii="仿宋_GB2312" w:hAnsi="仿宋_GB2312" w:cs="仿宋_GB2312" w:eastAsia="仿宋_GB2312"/>
                <w:sz w:val="19"/>
                <w:color w:val="000000"/>
              </w:rPr>
              <w:t>“</w:t>
            </w:r>
            <w:r>
              <w:rPr>
                <w:rFonts w:ascii="仿宋_GB2312" w:hAnsi="仿宋_GB2312" w:cs="仿宋_GB2312" w:eastAsia="仿宋_GB2312"/>
                <w:sz w:val="19"/>
                <w:color w:val="000000"/>
              </w:rPr>
              <w:t>一采两年</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即本项目的采购周期为两年，采取</w:t>
            </w:r>
            <w:r>
              <w:rPr>
                <w:rFonts w:ascii="仿宋_GB2312" w:hAnsi="仿宋_GB2312" w:cs="仿宋_GB2312" w:eastAsia="仿宋_GB2312"/>
                <w:sz w:val="19"/>
                <w:color w:val="000000"/>
              </w:rPr>
              <w:t>“</w:t>
            </w:r>
            <w:r>
              <w:rPr>
                <w:rFonts w:ascii="仿宋_GB2312" w:hAnsi="仿宋_GB2312" w:cs="仿宋_GB2312" w:eastAsia="仿宋_GB2312"/>
                <w:sz w:val="19"/>
                <w:color w:val="000000"/>
              </w:rPr>
              <w:t>分期交付，分期考核，分期付款</w:t>
            </w:r>
            <w:r>
              <w:rPr>
                <w:rFonts w:ascii="仿宋_GB2312" w:hAnsi="仿宋_GB2312" w:cs="仿宋_GB2312" w:eastAsia="仿宋_GB2312"/>
                <w:sz w:val="19"/>
                <w:color w:val="000000"/>
              </w:rPr>
              <w:t>”</w:t>
            </w:r>
            <w:r>
              <w:rPr>
                <w:rFonts w:ascii="仿宋_GB2312" w:hAnsi="仿宋_GB2312" w:cs="仿宋_GB2312" w:eastAsia="仿宋_GB2312"/>
                <w:sz w:val="19"/>
                <w:color w:val="000000"/>
              </w:rPr>
              <w:t>的方式进行。 本项目的合同采取</w:t>
            </w:r>
            <w:r>
              <w:rPr>
                <w:rFonts w:ascii="仿宋_GB2312" w:hAnsi="仿宋_GB2312" w:cs="仿宋_GB2312" w:eastAsia="仿宋_GB2312"/>
                <w:sz w:val="19"/>
                <w:color w:val="000000"/>
              </w:rPr>
              <w:t>“</w:t>
            </w:r>
            <w:r>
              <w:rPr>
                <w:rFonts w:ascii="仿宋_GB2312" w:hAnsi="仿宋_GB2312" w:cs="仿宋_GB2312" w:eastAsia="仿宋_GB2312"/>
                <w:sz w:val="19"/>
                <w:color w:val="000000"/>
              </w:rPr>
              <w:t>一</w:t>
            </w:r>
            <w:r>
              <w:rPr>
                <w:rFonts w:ascii="仿宋_GB2312" w:hAnsi="仿宋_GB2312" w:cs="仿宋_GB2312" w:eastAsia="仿宋_GB2312"/>
                <w:sz w:val="19"/>
                <w:color w:val="000000"/>
              </w:rPr>
              <w:t>年一签</w:t>
            </w:r>
            <w:r>
              <w:rPr>
                <w:rFonts w:ascii="仿宋_GB2312" w:hAnsi="仿宋_GB2312" w:cs="仿宋_GB2312" w:eastAsia="仿宋_GB2312"/>
                <w:sz w:val="19"/>
                <w:color w:val="000000"/>
              </w:rPr>
              <w:t>”</w:t>
            </w:r>
            <w:r>
              <w:rPr>
                <w:rFonts w:ascii="仿宋_GB2312" w:hAnsi="仿宋_GB2312" w:cs="仿宋_GB2312" w:eastAsia="仿宋_GB2312"/>
                <w:sz w:val="19"/>
                <w:color w:val="000000"/>
              </w:rPr>
              <w:t>的方式签订，合同续签应同时具备以下条件：</w:t>
            </w:r>
            <w:r>
              <w:rPr>
                <w:rFonts w:ascii="仿宋_GB2312" w:hAnsi="仿宋_GB2312" w:cs="仿宋_GB2312" w:eastAsia="仿宋_GB2312"/>
                <w:sz w:val="19"/>
                <w:color w:val="000000"/>
              </w:rPr>
              <w:t>1</w:t>
            </w:r>
            <w:r>
              <w:rPr>
                <w:rFonts w:ascii="仿宋_GB2312" w:hAnsi="仿宋_GB2312" w:cs="仿宋_GB2312" w:eastAsia="仿宋_GB2312"/>
                <w:sz w:val="19"/>
                <w:color w:val="000000"/>
              </w:rPr>
              <w:t>、在年度预算能保障的前提条件下，采购预算逐年</w:t>
            </w:r>
            <w:r>
              <w:rPr>
                <w:rFonts w:ascii="仿宋_GB2312" w:hAnsi="仿宋_GB2312" w:cs="仿宋_GB2312" w:eastAsia="仿宋_GB2312"/>
                <w:sz w:val="19"/>
                <w:color w:val="000000"/>
              </w:rPr>
              <w:t>申报。</w:t>
            </w:r>
            <w:r>
              <w:rPr>
                <w:rFonts w:ascii="仿宋_GB2312" w:hAnsi="仿宋_GB2312" w:cs="仿宋_GB2312" w:eastAsia="仿宋_GB2312"/>
                <w:sz w:val="19"/>
                <w:color w:val="000000"/>
              </w:rPr>
              <w:t>2</w:t>
            </w:r>
            <w:r>
              <w:rPr>
                <w:rFonts w:ascii="仿宋_GB2312" w:hAnsi="仿宋_GB2312" w:cs="仿宋_GB2312" w:eastAsia="仿宋_GB2312"/>
                <w:sz w:val="19"/>
                <w:color w:val="000000"/>
              </w:rPr>
              <w:t>、履约验收结果（绩效评价）达到采购合同约定的标准或质量。</w:t>
            </w:r>
            <w:r>
              <w:rPr>
                <w:rFonts w:ascii="仿宋_GB2312" w:hAnsi="仿宋_GB2312" w:cs="仿宋_GB2312" w:eastAsia="仿宋_GB2312"/>
                <w:sz w:val="19"/>
                <w:color w:val="000000"/>
              </w:rPr>
              <w:t>3</w:t>
            </w:r>
            <w:r>
              <w:rPr>
                <w:rFonts w:ascii="仿宋_GB2312" w:hAnsi="仿宋_GB2312" w:cs="仿宋_GB2312" w:eastAsia="仿宋_GB2312"/>
                <w:sz w:val="19"/>
                <w:color w:val="000000"/>
              </w:rPr>
              <w:t>、合同履行过程中未出现以下风</w:t>
            </w:r>
            <w:r>
              <w:rPr>
                <w:rFonts w:ascii="仿宋_GB2312" w:hAnsi="仿宋_GB2312" w:cs="仿宋_GB2312" w:eastAsia="仿宋_GB2312"/>
                <w:sz w:val="19"/>
                <w:color w:val="000000"/>
              </w:rPr>
              <w:t>险：不可抗力的客观情况，国家政策调整，实施环境变化，重大技术变化，预算项目调整等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19"/>
                <w:color w:val="000000"/>
              </w:rPr>
              <w:t>国家对供应商用于响应本项目的产品、服务有强制性规定或要求的，供应商用于响应本项目的产品、服务</w:t>
            </w:r>
            <w:r>
              <w:rPr>
                <w:rFonts w:ascii="仿宋_GB2312" w:hAnsi="仿宋_GB2312" w:cs="仿宋_GB2312" w:eastAsia="仿宋_GB2312"/>
                <w:sz w:val="19"/>
                <w:color w:val="000000"/>
              </w:rPr>
              <w:t>应符合相关规定或要求，并提供相关合法、真实、有效的证明材料。</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）不符合国家强制性标准的产品、服务，供应商不得用于响应本项目。</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）国家规定相关产品、服务必须经过认证的，供应商用于响应本项目的产品、服务，应当经过认证并</w:t>
            </w:r>
            <w:r>
              <w:rPr>
                <w:rFonts w:ascii="仿宋_GB2312" w:hAnsi="仿宋_GB2312" w:cs="仿宋_GB2312" w:eastAsia="仿宋_GB2312"/>
                <w:sz w:val="19"/>
                <w:color w:val="000000"/>
              </w:rPr>
              <w:t>标注认证标志</w:t>
            </w:r>
            <w:r>
              <w:rPr>
                <w:rFonts w:ascii="仿宋_GB2312" w:hAnsi="仿宋_GB2312" w:cs="仿宋_GB2312" w:eastAsia="仿宋_GB2312"/>
                <w:sz w:val="19"/>
                <w:color w:val="000000"/>
              </w:rPr>
              <w:t>采购需求中若有列明响应的产品、服务所应符合的强制性标准、推荐性标准、团体标准或者企业标准</w:t>
            </w:r>
            <w:r>
              <w:rPr>
                <w:rFonts w:ascii="仿宋_GB2312" w:hAnsi="仿宋_GB2312" w:cs="仿宋_GB2312" w:eastAsia="仿宋_GB2312"/>
                <w:sz w:val="19"/>
                <w:color w:val="000000"/>
              </w:rPr>
              <w:t>的编号、名称，相关编号、名称若已废止或与产品生产、提供的服务实际执行的标准不匹配的，以现行有</w:t>
            </w:r>
            <w:r>
              <w:rPr>
                <w:rFonts w:ascii="仿宋_GB2312" w:hAnsi="仿宋_GB2312" w:cs="仿宋_GB2312" w:eastAsia="仿宋_GB2312"/>
                <w:sz w:val="19"/>
                <w:color w:val="000000"/>
              </w:rPr>
              <w:t>效或产品生产、服务提供企业公开的标准为准。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一、项目绩效考核办法及付费机制</w:t>
      </w:r>
    </w:p>
    <w:p>
      <w:pPr>
        <w:pStyle w:val="null3"/>
        <w:jc w:val="left"/>
      </w:pPr>
      <w:r>
        <w:rPr>
          <w:rFonts w:ascii="仿宋_GB2312" w:hAnsi="仿宋_GB2312" w:cs="仿宋_GB2312" w:eastAsia="仿宋_GB2312"/>
          <w:sz w:val="19"/>
          <w:color w:val="000000"/>
        </w:rPr>
        <w:t>（一）考核内容</w:t>
      </w:r>
    </w:p>
    <w:p>
      <w:pPr>
        <w:pStyle w:val="null3"/>
        <w:jc w:val="left"/>
      </w:pPr>
      <w:r>
        <w:rPr>
          <w:rFonts w:ascii="仿宋_GB2312" w:hAnsi="仿宋_GB2312" w:cs="仿宋_GB2312" w:eastAsia="仿宋_GB2312"/>
          <w:sz w:val="19"/>
          <w:color w:val="000000"/>
        </w:rPr>
        <w:t>采购人每季度开展一次对农村生活污水处理设施运行管理进行考核，每次随机抽查约</w:t>
      </w:r>
      <w:r>
        <w:rPr>
          <w:rFonts w:ascii="仿宋_GB2312" w:hAnsi="仿宋_GB2312" w:cs="仿宋_GB2312" w:eastAsia="仿宋_GB2312"/>
          <w:sz w:val="19"/>
          <w:color w:val="000000"/>
        </w:rPr>
        <w:t>20-30</w:t>
      </w:r>
      <w:r>
        <w:rPr>
          <w:rFonts w:ascii="仿宋_GB2312" w:hAnsi="仿宋_GB2312" w:cs="仿宋_GB2312" w:eastAsia="仿宋_GB2312"/>
          <w:sz w:val="19"/>
          <w:color w:val="000000"/>
        </w:rPr>
        <w:t>个设施，根据考核结果按季</w:t>
      </w:r>
      <w:r>
        <w:rPr>
          <w:rFonts w:ascii="仿宋_GB2312" w:hAnsi="仿宋_GB2312" w:cs="仿宋_GB2312" w:eastAsia="仿宋_GB2312"/>
          <w:sz w:val="19"/>
          <w:color w:val="000000"/>
        </w:rPr>
        <w:t>度支付运行维护管理费，并纳入年度考核。考核内容主要有规章制度健全、处理设施完好、厂站环境整洁、管护经费落实、智</w:t>
      </w:r>
      <w:r>
        <w:rPr>
          <w:rFonts w:ascii="仿宋_GB2312" w:hAnsi="仿宋_GB2312" w:cs="仿宋_GB2312" w:eastAsia="仿宋_GB2312"/>
          <w:sz w:val="19"/>
          <w:color w:val="000000"/>
        </w:rPr>
        <w:t>慧平台应用等，并将社会评价、用户满意度、探索收费制度等作为加分项。</w:t>
      </w:r>
    </w:p>
    <w:p>
      <w:pPr>
        <w:pStyle w:val="null3"/>
        <w:jc w:val="left"/>
      </w:pPr>
      <w:r>
        <w:rPr>
          <w:rFonts w:ascii="仿宋_GB2312" w:hAnsi="仿宋_GB2312" w:cs="仿宋_GB2312" w:eastAsia="仿宋_GB2312"/>
          <w:sz w:val="19"/>
          <w:color w:val="000000"/>
        </w:rPr>
        <w:t>（二）考核方式</w:t>
      </w:r>
    </w:p>
    <w:p>
      <w:pPr>
        <w:pStyle w:val="null3"/>
        <w:jc w:val="left"/>
      </w:pPr>
      <w:r>
        <w:rPr>
          <w:rFonts w:ascii="仿宋_GB2312" w:hAnsi="仿宋_GB2312" w:cs="仿宋_GB2312" w:eastAsia="仿宋_GB2312"/>
          <w:sz w:val="19"/>
          <w:color w:val="000000"/>
        </w:rPr>
        <w:t>定期考核每季度进行一次，一般安排在当季末月月初进行，每考 核季度结束</w:t>
      </w:r>
      <w:r>
        <w:rPr>
          <w:rFonts w:ascii="仿宋_GB2312" w:hAnsi="仿宋_GB2312" w:cs="仿宋_GB2312" w:eastAsia="仿宋_GB2312"/>
          <w:sz w:val="19"/>
          <w:color w:val="000000"/>
        </w:rPr>
        <w:t>10</w:t>
      </w:r>
      <w:r>
        <w:rPr>
          <w:rFonts w:ascii="仿宋_GB2312" w:hAnsi="仿宋_GB2312" w:cs="仿宋_GB2312" w:eastAsia="仿宋_GB2312"/>
          <w:sz w:val="19"/>
          <w:color w:val="000000"/>
        </w:rPr>
        <w:t>日内，应提出考核结果。考核前提前通知</w:t>
      </w:r>
      <w:r>
        <w:rPr>
          <w:rFonts w:ascii="仿宋_GB2312" w:hAnsi="仿宋_GB2312" w:cs="仿宋_GB2312" w:eastAsia="仿宋_GB2312"/>
          <w:sz w:val="19"/>
          <w:color w:val="000000"/>
        </w:rPr>
        <w:t>中标供应商，通过采查看现场为主，听取汇报、查阅资料为辅等方式进行考核。</w:t>
      </w:r>
      <w:r>
        <w:rPr>
          <w:rFonts w:ascii="仿宋_GB2312" w:hAnsi="仿宋_GB2312" w:cs="仿宋_GB2312" w:eastAsia="仿宋_GB2312"/>
          <w:sz w:val="19"/>
          <w:color w:val="000000"/>
        </w:rPr>
        <w:t>考核过程中发现缺陷，应拍照保留文件等形式记录，并向中标供应商下达限期整改通知书，由中标供应商进行整改。中</w:t>
      </w:r>
      <w:r>
        <w:rPr>
          <w:rFonts w:ascii="仿宋_GB2312" w:hAnsi="仿宋_GB2312" w:cs="仿宋_GB2312" w:eastAsia="仿宋_GB2312"/>
          <w:sz w:val="19"/>
          <w:color w:val="000000"/>
        </w:rPr>
        <w:t>标供应商应根 据整改通知书的要求进行整改工作，否则政府方可根据合同等相关约 定从每年支付的可行性缺口补助中扣除相</w:t>
      </w:r>
      <w:r>
        <w:rPr>
          <w:rFonts w:ascii="仿宋_GB2312" w:hAnsi="仿宋_GB2312" w:cs="仿宋_GB2312" w:eastAsia="仿宋_GB2312"/>
          <w:sz w:val="19"/>
          <w:color w:val="000000"/>
        </w:rPr>
        <w:t>应金额。未在限定日期整改的，下一期考核将加倍扣分。</w:t>
      </w:r>
    </w:p>
    <w:p>
      <w:pPr>
        <w:pStyle w:val="null3"/>
        <w:jc w:val="left"/>
      </w:pPr>
      <w:r>
        <w:rPr>
          <w:rFonts w:ascii="仿宋_GB2312" w:hAnsi="仿宋_GB2312" w:cs="仿宋_GB2312" w:eastAsia="仿宋_GB2312"/>
          <w:sz w:val="19"/>
          <w:color w:val="000000"/>
        </w:rPr>
        <w:t>（三）费用支付与绩效考核</w:t>
      </w:r>
    </w:p>
    <w:p>
      <w:pPr>
        <w:pStyle w:val="null3"/>
        <w:jc w:val="left"/>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付费机制</w:t>
      </w:r>
    </w:p>
    <w:p>
      <w:pPr>
        <w:pStyle w:val="null3"/>
        <w:jc w:val="left"/>
      </w:pPr>
      <w:r>
        <w:rPr>
          <w:rFonts w:ascii="仿宋_GB2312" w:hAnsi="仿宋_GB2312" w:cs="仿宋_GB2312" w:eastAsia="仿宋_GB2312"/>
          <w:sz w:val="19"/>
          <w:color w:val="000000"/>
        </w:rPr>
        <w:t>委托运行维护管理费按季度支付。支付给企业委托运行维护管理服务费，以实际接收的农村生活污水处理站的实际数</w:t>
      </w:r>
      <w:r>
        <w:rPr>
          <w:rFonts w:ascii="仿宋_GB2312" w:hAnsi="仿宋_GB2312" w:cs="仿宋_GB2312" w:eastAsia="仿宋_GB2312"/>
          <w:sz w:val="19"/>
          <w:color w:val="000000"/>
        </w:rPr>
        <w:t>量，按实际运行时间计算支付委托运行维护管理费用。并应在考核季度的次季度的第一个月末前完成支付。</w:t>
      </w:r>
    </w:p>
    <w:p>
      <w:pPr>
        <w:pStyle w:val="null3"/>
        <w:jc w:val="left"/>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付费标准</w:t>
      </w:r>
    </w:p>
    <w:p>
      <w:pPr>
        <w:pStyle w:val="null3"/>
        <w:jc w:val="left"/>
      </w:pPr>
      <w:r>
        <w:rPr>
          <w:rFonts w:ascii="仿宋_GB2312" w:hAnsi="仿宋_GB2312" w:cs="仿宋_GB2312" w:eastAsia="仿宋_GB2312"/>
          <w:sz w:val="19"/>
          <w:color w:val="000000"/>
        </w:rPr>
        <w:t>80≤</w:t>
      </w:r>
      <w:r>
        <w:rPr>
          <w:rFonts w:ascii="仿宋_GB2312" w:hAnsi="仿宋_GB2312" w:cs="仿宋_GB2312" w:eastAsia="仿宋_GB2312"/>
          <w:sz w:val="19"/>
          <w:color w:val="000000"/>
        </w:rPr>
        <w:t>季度考核得分，正常发放委托运行维护管理费用</w:t>
      </w:r>
    </w:p>
    <w:p>
      <w:pPr>
        <w:pStyle w:val="null3"/>
        <w:jc w:val="left"/>
      </w:pPr>
      <w:r>
        <w:rPr>
          <w:rFonts w:ascii="仿宋_GB2312" w:hAnsi="仿宋_GB2312" w:cs="仿宋_GB2312" w:eastAsia="仿宋_GB2312"/>
          <w:sz w:val="19"/>
          <w:color w:val="000000"/>
        </w:rPr>
        <w:t>70≤</w:t>
      </w:r>
      <w:r>
        <w:rPr>
          <w:rFonts w:ascii="仿宋_GB2312" w:hAnsi="仿宋_GB2312" w:cs="仿宋_GB2312" w:eastAsia="仿宋_GB2312"/>
          <w:sz w:val="19"/>
          <w:color w:val="000000"/>
        </w:rPr>
        <w:t>季度考核得分</w:t>
      </w:r>
      <w:r>
        <w:rPr>
          <w:rFonts w:ascii="仿宋_GB2312" w:hAnsi="仿宋_GB2312" w:cs="仿宋_GB2312" w:eastAsia="仿宋_GB2312"/>
          <w:sz w:val="19"/>
          <w:color w:val="000000"/>
        </w:rPr>
        <w:t>&lt;80</w:t>
      </w:r>
      <w:r>
        <w:rPr>
          <w:rFonts w:ascii="仿宋_GB2312" w:hAnsi="仿宋_GB2312" w:cs="仿宋_GB2312" w:eastAsia="仿宋_GB2312"/>
          <w:sz w:val="19"/>
          <w:color w:val="000000"/>
        </w:rPr>
        <w:t>，每扣</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分，减少支付运行维护管理费用 </w:t>
      </w:r>
      <w:r>
        <w:rPr>
          <w:rFonts w:ascii="仿宋_GB2312" w:hAnsi="仿宋_GB2312" w:cs="仿宋_GB2312" w:eastAsia="仿宋_GB2312"/>
          <w:sz w:val="19"/>
          <w:color w:val="000000"/>
        </w:rPr>
        <w:t>0.5%</w:t>
      </w:r>
      <w:r>
        <w:rPr>
          <w:rFonts w:ascii="仿宋_GB2312" w:hAnsi="仿宋_GB2312" w:cs="仿宋_GB2312" w:eastAsia="仿宋_GB2312"/>
          <w:sz w:val="19"/>
          <w:color w:val="000000"/>
        </w:rPr>
        <w:t>，例如，考核得分</w:t>
      </w:r>
      <w:r>
        <w:rPr>
          <w:rFonts w:ascii="仿宋_GB2312" w:hAnsi="仿宋_GB2312" w:cs="仿宋_GB2312" w:eastAsia="仿宋_GB2312"/>
          <w:sz w:val="19"/>
          <w:color w:val="000000"/>
        </w:rPr>
        <w:t>79</w:t>
      </w:r>
      <w:r>
        <w:rPr>
          <w:rFonts w:ascii="仿宋_GB2312" w:hAnsi="仿宋_GB2312" w:cs="仿宋_GB2312" w:eastAsia="仿宋_GB2312"/>
          <w:sz w:val="19"/>
          <w:color w:val="000000"/>
        </w:rPr>
        <w:t>，则支付运行维护管理费用</w:t>
      </w:r>
      <w:r>
        <w:rPr>
          <w:rFonts w:ascii="仿宋_GB2312" w:hAnsi="仿宋_GB2312" w:cs="仿宋_GB2312" w:eastAsia="仿宋_GB2312"/>
          <w:sz w:val="19"/>
          <w:color w:val="000000"/>
        </w:rPr>
        <w:t>99.5%</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季度考核得分</w:t>
      </w:r>
      <w:r>
        <w:rPr>
          <w:rFonts w:ascii="仿宋_GB2312" w:hAnsi="仿宋_GB2312" w:cs="仿宋_GB2312" w:eastAsia="仿宋_GB2312"/>
          <w:sz w:val="19"/>
          <w:color w:val="000000"/>
        </w:rPr>
        <w:t>&lt;70</w:t>
      </w:r>
      <w:r>
        <w:rPr>
          <w:rFonts w:ascii="仿宋_GB2312" w:hAnsi="仿宋_GB2312" w:cs="仿宋_GB2312" w:eastAsia="仿宋_GB2312"/>
          <w:sz w:val="19"/>
          <w:color w:val="000000"/>
        </w:rPr>
        <w:t>分，运行维护管理服务费按得分比例支付，例如，得分</w:t>
      </w:r>
      <w:r>
        <w:rPr>
          <w:rFonts w:ascii="仿宋_GB2312" w:hAnsi="仿宋_GB2312" w:cs="仿宋_GB2312" w:eastAsia="仿宋_GB2312"/>
          <w:sz w:val="19"/>
          <w:color w:val="000000"/>
        </w:rPr>
        <w:t>69</w:t>
      </w:r>
      <w:r>
        <w:rPr>
          <w:rFonts w:ascii="仿宋_GB2312" w:hAnsi="仿宋_GB2312" w:cs="仿宋_GB2312" w:eastAsia="仿宋_GB2312"/>
          <w:sz w:val="19"/>
          <w:color w:val="000000"/>
        </w:rPr>
        <w:t>分，实际支付</w:t>
      </w:r>
      <w:r>
        <w:rPr>
          <w:rFonts w:ascii="仿宋_GB2312" w:hAnsi="仿宋_GB2312" w:cs="仿宋_GB2312" w:eastAsia="仿宋_GB2312"/>
          <w:sz w:val="19"/>
          <w:color w:val="000000"/>
        </w:rPr>
        <w:t>=</w:t>
      </w:r>
      <w:r>
        <w:rPr>
          <w:rFonts w:ascii="仿宋_GB2312" w:hAnsi="仿宋_GB2312" w:cs="仿宋_GB2312" w:eastAsia="仿宋_GB2312"/>
          <w:sz w:val="19"/>
          <w:color w:val="000000"/>
        </w:rPr>
        <w:t>季度运行维护管理服务费</w:t>
      </w:r>
      <w:r>
        <w:rPr>
          <w:rFonts w:ascii="仿宋_GB2312" w:hAnsi="仿宋_GB2312" w:cs="仿宋_GB2312" w:eastAsia="仿宋_GB2312"/>
          <w:sz w:val="19"/>
          <w:color w:val="000000"/>
        </w:rPr>
        <w:t>×69%</w:t>
      </w:r>
      <w:r>
        <w:rPr>
          <w:rFonts w:ascii="仿宋_GB2312" w:hAnsi="仿宋_GB2312" w:cs="仿宋_GB2312" w:eastAsia="仿宋_GB2312"/>
          <w:sz w:val="19"/>
          <w:color w:val="000000"/>
        </w:rPr>
        <w:t>，得分</w:t>
      </w:r>
      <w:r>
        <w:rPr>
          <w:rFonts w:ascii="仿宋_GB2312" w:hAnsi="仿宋_GB2312" w:cs="仿宋_GB2312" w:eastAsia="仿宋_GB2312"/>
          <w:sz w:val="19"/>
          <w:color w:val="000000"/>
        </w:rPr>
        <w:t>1</w:t>
      </w:r>
      <w:r>
        <w:rPr>
          <w:rFonts w:ascii="仿宋_GB2312" w:hAnsi="仿宋_GB2312" w:cs="仿宋_GB2312" w:eastAsia="仿宋_GB2312"/>
          <w:sz w:val="19"/>
          <w:color w:val="000000"/>
        </w:rPr>
        <w:t>分，实际支付</w:t>
      </w:r>
      <w:r>
        <w:rPr>
          <w:rFonts w:ascii="仿宋_GB2312" w:hAnsi="仿宋_GB2312" w:cs="仿宋_GB2312" w:eastAsia="仿宋_GB2312"/>
          <w:sz w:val="19"/>
          <w:color w:val="000000"/>
        </w:rPr>
        <w:t>=</w:t>
      </w:r>
      <w:r>
        <w:rPr>
          <w:rFonts w:ascii="仿宋_GB2312" w:hAnsi="仿宋_GB2312" w:cs="仿宋_GB2312" w:eastAsia="仿宋_GB2312"/>
          <w:sz w:val="19"/>
          <w:color w:val="000000"/>
        </w:rPr>
        <w:t>季度运行维护管理服务费</w:t>
      </w:r>
      <w:r>
        <w:rPr>
          <w:rFonts w:ascii="仿宋_GB2312" w:hAnsi="仿宋_GB2312" w:cs="仿宋_GB2312" w:eastAsia="仿宋_GB2312"/>
          <w:sz w:val="19"/>
          <w:color w:val="000000"/>
        </w:rPr>
        <w:t>×1%</w:t>
      </w:r>
      <w:r>
        <w:rPr>
          <w:rFonts w:ascii="仿宋_GB2312" w:hAnsi="仿宋_GB2312" w:cs="仿宋_GB2312" w:eastAsia="仿宋_GB2312"/>
          <w:sz w:val="19"/>
          <w:color w:val="000000"/>
        </w:rPr>
        <w:t>；低于</w:t>
      </w:r>
      <w:r>
        <w:rPr>
          <w:rFonts w:ascii="仿宋_GB2312" w:hAnsi="仿宋_GB2312" w:cs="仿宋_GB2312" w:eastAsia="仿宋_GB2312"/>
          <w:sz w:val="19"/>
          <w:color w:val="000000"/>
        </w:rPr>
        <w:t>70</w:t>
      </w:r>
      <w:r>
        <w:rPr>
          <w:rFonts w:ascii="仿宋_GB2312" w:hAnsi="仿宋_GB2312" w:cs="仿宋_GB2312" w:eastAsia="仿宋_GB2312"/>
          <w:sz w:val="19"/>
          <w:color w:val="000000"/>
        </w:rPr>
        <w:t>分必须整改，整改合格前暂停支付费用；经下一考核</w:t>
      </w:r>
      <w:r>
        <w:rPr>
          <w:rFonts w:ascii="仿宋_GB2312" w:hAnsi="仿宋_GB2312" w:cs="仿宋_GB2312" w:eastAsia="仿宋_GB2312"/>
          <w:sz w:val="19"/>
          <w:color w:val="000000"/>
        </w:rPr>
        <w:t>季度考核合格后，该季度费用按下一考核季度考核评分计算实际支付季度运行维护管理费，并且于本考核季度一起于下个季度</w:t>
      </w:r>
      <w:r>
        <w:rPr>
          <w:rFonts w:ascii="仿宋_GB2312" w:hAnsi="仿宋_GB2312" w:cs="仿宋_GB2312" w:eastAsia="仿宋_GB2312"/>
          <w:sz w:val="19"/>
          <w:color w:val="000000"/>
        </w:rPr>
        <w:t>支付费用。</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绩效考核不合格的处理</w:t>
      </w:r>
    </w:p>
    <w:p>
      <w:pPr>
        <w:pStyle w:val="null3"/>
        <w:jc w:val="left"/>
      </w:pPr>
      <w:r>
        <w:rPr>
          <w:rFonts w:ascii="仿宋_GB2312" w:hAnsi="仿宋_GB2312" w:cs="仿宋_GB2312" w:eastAsia="仿宋_GB2312"/>
          <w:sz w:val="19"/>
          <w:color w:val="000000"/>
        </w:rPr>
        <w:t>一年内连续</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个季度的绩效考核低于</w:t>
      </w:r>
      <w:r>
        <w:rPr>
          <w:rFonts w:ascii="仿宋_GB2312" w:hAnsi="仿宋_GB2312" w:cs="仿宋_GB2312" w:eastAsia="仿宋_GB2312"/>
          <w:sz w:val="19"/>
          <w:color w:val="000000"/>
        </w:rPr>
        <w:t>70</w:t>
      </w:r>
      <w:r>
        <w:rPr>
          <w:rFonts w:ascii="仿宋_GB2312" w:hAnsi="仿宋_GB2312" w:cs="仿宋_GB2312" w:eastAsia="仿宋_GB2312"/>
          <w:sz w:val="19"/>
          <w:color w:val="000000"/>
        </w:rPr>
        <w:t>分（整改后下一个考核季度得分低于</w:t>
      </w:r>
      <w:r>
        <w:rPr>
          <w:rFonts w:ascii="仿宋_GB2312" w:hAnsi="仿宋_GB2312" w:cs="仿宋_GB2312" w:eastAsia="仿宋_GB2312"/>
          <w:sz w:val="19"/>
          <w:color w:val="000000"/>
        </w:rPr>
        <w:t>70</w:t>
      </w:r>
      <w:r>
        <w:rPr>
          <w:rFonts w:ascii="仿宋_GB2312" w:hAnsi="仿宋_GB2312" w:cs="仿宋_GB2312" w:eastAsia="仿宋_GB2312"/>
          <w:sz w:val="19"/>
          <w:color w:val="000000"/>
        </w:rPr>
        <w:t>分，即整改不合格），政府方有权提出终</w:t>
      </w:r>
      <w:r>
        <w:rPr>
          <w:rFonts w:ascii="仿宋_GB2312" w:hAnsi="仿宋_GB2312" w:cs="仿宋_GB2312" w:eastAsia="仿宋_GB2312"/>
          <w:sz w:val="19"/>
          <w:color w:val="000000"/>
        </w:rPr>
        <w:t>止合同。解除合同后，</w:t>
      </w:r>
      <w:r>
        <w:rPr>
          <w:rFonts w:ascii="仿宋_GB2312" w:hAnsi="仿宋_GB2312" w:cs="仿宋_GB2312" w:eastAsia="仿宋_GB2312"/>
          <w:sz w:val="19"/>
          <w:color w:val="000000"/>
        </w:rPr>
        <w:t>15</w:t>
      </w:r>
      <w:r>
        <w:rPr>
          <w:rFonts w:ascii="仿宋_GB2312" w:hAnsi="仿宋_GB2312" w:cs="仿宋_GB2312" w:eastAsia="仿宋_GB2312"/>
          <w:sz w:val="19"/>
          <w:color w:val="000000"/>
        </w:rPr>
        <w:t>个工作日内，支付这</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个月的运维管理服务费；但不支付由整改而发生的任何费用。</w:t>
      </w:r>
    </w:p>
    <w:p>
      <w:pPr>
        <w:pStyle w:val="null3"/>
        <w:jc w:val="left"/>
      </w:pPr>
      <w:r>
        <w:rPr>
          <w:rFonts w:ascii="仿宋_GB2312" w:hAnsi="仿宋_GB2312" w:cs="仿宋_GB2312" w:eastAsia="仿宋_GB2312"/>
          <w:sz w:val="19"/>
          <w:color w:val="000000"/>
        </w:rPr>
        <w:t>如果运维期间，被省政府主管部门或者国家相关部委问责，并且中标供应商经约谈并整改后，下一个考核季度仍低于</w:t>
      </w:r>
      <w:r>
        <w:rPr>
          <w:rFonts w:ascii="仿宋_GB2312" w:hAnsi="仿宋_GB2312" w:cs="仿宋_GB2312" w:eastAsia="仿宋_GB2312"/>
          <w:sz w:val="19"/>
          <w:color w:val="000000"/>
        </w:rPr>
        <w:t xml:space="preserve">80 </w:t>
      </w:r>
      <w:r>
        <w:rPr>
          <w:rFonts w:ascii="仿宋_GB2312" w:hAnsi="仿宋_GB2312" w:cs="仿宋_GB2312" w:eastAsia="仿宋_GB2312"/>
          <w:sz w:val="19"/>
          <w:color w:val="000000"/>
        </w:rPr>
        <w:t>分为不达标， 政府方有权提出终止合同。解除合同后，</w:t>
      </w:r>
      <w:r>
        <w:rPr>
          <w:rFonts w:ascii="仿宋_GB2312" w:hAnsi="仿宋_GB2312" w:cs="仿宋_GB2312" w:eastAsia="仿宋_GB2312"/>
          <w:sz w:val="19"/>
          <w:color w:val="000000"/>
        </w:rPr>
        <w:t>15</w:t>
      </w:r>
      <w:r>
        <w:rPr>
          <w:rFonts w:ascii="仿宋_GB2312" w:hAnsi="仿宋_GB2312" w:cs="仿宋_GB2312" w:eastAsia="仿宋_GB2312"/>
          <w:sz w:val="19"/>
          <w:color w:val="000000"/>
        </w:rPr>
        <w:t>个工作日内，支付这</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个月的运维管理服务费</w:t>
      </w:r>
      <w:r>
        <w:rPr>
          <w:rFonts w:ascii="仿宋_GB2312" w:hAnsi="仿宋_GB2312" w:cs="仿宋_GB2312" w:eastAsia="仿宋_GB2312"/>
          <w:sz w:val="19"/>
          <w:color w:val="000000"/>
        </w:rPr>
        <w:t>,</w:t>
      </w:r>
      <w:r>
        <w:rPr>
          <w:rFonts w:ascii="仿宋_GB2312" w:hAnsi="仿宋_GB2312" w:cs="仿宋_GB2312" w:eastAsia="仿宋_GB2312"/>
          <w:sz w:val="19"/>
          <w:color w:val="000000"/>
        </w:rPr>
        <w:t>但不支付整改期间</w:t>
      </w:r>
      <w:r>
        <w:rPr>
          <w:rFonts w:ascii="仿宋_GB2312" w:hAnsi="仿宋_GB2312" w:cs="仿宋_GB2312" w:eastAsia="仿宋_GB2312"/>
          <w:sz w:val="19"/>
          <w:color w:val="000000"/>
        </w:rPr>
        <w:t>整改而发生的任何费用。</w:t>
      </w:r>
    </w:p>
    <w:p>
      <w:pPr>
        <w:pStyle w:val="null3"/>
        <w:jc w:val="left"/>
      </w:pPr>
      <w:r>
        <w:rPr>
          <w:rFonts w:ascii="仿宋_GB2312" w:hAnsi="仿宋_GB2312" w:cs="仿宋_GB2312" w:eastAsia="仿宋_GB2312"/>
          <w:sz w:val="19"/>
          <w:color w:val="000000"/>
        </w:rPr>
        <w:t>二、付款方式：</w:t>
      </w:r>
    </w:p>
    <w:p>
      <w:pPr>
        <w:pStyle w:val="null3"/>
        <w:jc w:val="left"/>
      </w:pPr>
      <w:r>
        <w:rPr>
          <w:rFonts w:ascii="仿宋_GB2312" w:hAnsi="仿宋_GB2312" w:cs="仿宋_GB2312" w:eastAsia="仿宋_GB2312"/>
          <w:sz w:val="19"/>
          <w:color w:val="000000"/>
        </w:rPr>
        <w:t>（一）进一步加强政府采购支持中小企业发展的力度。严格按照批准的预算开展政府采购，按时足额支付中小企业款项。</w:t>
      </w:r>
    </w:p>
    <w:p>
      <w:pPr>
        <w:pStyle w:val="null3"/>
        <w:jc w:val="left"/>
      </w:pPr>
      <w:r>
        <w:rPr>
          <w:rFonts w:ascii="仿宋_GB2312" w:hAnsi="仿宋_GB2312" w:cs="仿宋_GB2312" w:eastAsia="仿宋_GB2312"/>
          <w:sz w:val="19"/>
          <w:color w:val="000000"/>
        </w:rPr>
        <w:t>若满足合同约定支付条件，采购人自收到发票后</w:t>
      </w:r>
      <w:r>
        <w:rPr>
          <w:rFonts w:ascii="仿宋_GB2312" w:hAnsi="仿宋_GB2312" w:cs="仿宋_GB2312" w:eastAsia="仿宋_GB2312"/>
          <w:sz w:val="19"/>
          <w:color w:val="000000"/>
        </w:rPr>
        <w:t>3-5</w:t>
      </w:r>
      <w:r>
        <w:rPr>
          <w:rFonts w:ascii="仿宋_GB2312" w:hAnsi="仿宋_GB2312" w:cs="仿宋_GB2312" w:eastAsia="仿宋_GB2312"/>
          <w:sz w:val="19"/>
          <w:color w:val="000000"/>
        </w:rPr>
        <w:t>个工作日将资金支付到合同约定的供应商账户。采购人不得以机构变动、</w:t>
      </w:r>
      <w:r>
        <w:rPr>
          <w:rFonts w:ascii="仿宋_GB2312" w:hAnsi="仿宋_GB2312" w:cs="仿宋_GB2312" w:eastAsia="仿宋_GB2312"/>
          <w:sz w:val="19"/>
          <w:color w:val="000000"/>
        </w:rPr>
        <w:t>人员更替、政策调整等理由延迟付款，不得将采购文件和合同中未规定的义务作为向供应商付款的条件。</w:t>
      </w:r>
    </w:p>
    <w:p>
      <w:pPr>
        <w:pStyle w:val="null3"/>
        <w:jc w:val="left"/>
      </w:pPr>
      <w:r>
        <w:rPr>
          <w:rFonts w:ascii="仿宋_GB2312" w:hAnsi="仿宋_GB2312" w:cs="仿宋_GB2312" w:eastAsia="仿宋_GB2312"/>
          <w:sz w:val="19"/>
          <w:color w:val="000000"/>
        </w:rPr>
        <w:t>（二）对于有预付安排的合同，采购人将合同预付款比例提高到</w:t>
      </w:r>
      <w:r>
        <w:rPr>
          <w:rFonts w:ascii="仿宋_GB2312" w:hAnsi="仿宋_GB2312" w:cs="仿宋_GB2312" w:eastAsia="仿宋_GB2312"/>
          <w:sz w:val="19"/>
          <w:color w:val="000000"/>
        </w:rPr>
        <w:t>30%</w:t>
      </w:r>
      <w:r>
        <w:rPr>
          <w:rFonts w:ascii="仿宋_GB2312" w:hAnsi="仿宋_GB2312" w:cs="仿宋_GB2312" w:eastAsia="仿宋_GB2312"/>
          <w:sz w:val="19"/>
          <w:color w:val="000000"/>
        </w:rPr>
        <w:t>以上。</w:t>
      </w:r>
    </w:p>
    <w:p>
      <w:pPr>
        <w:pStyle w:val="null3"/>
        <w:jc w:val="left"/>
      </w:pPr>
      <w:r>
        <w:rPr>
          <w:rFonts w:ascii="仿宋_GB2312" w:hAnsi="仿宋_GB2312" w:cs="仿宋_GB2312" w:eastAsia="仿宋_GB2312"/>
          <w:sz w:val="19"/>
          <w:color w:val="000000"/>
        </w:rPr>
        <w:t>（三）除了上述第</w:t>
      </w:r>
      <w:r>
        <w:rPr>
          <w:rFonts w:ascii="仿宋_GB2312" w:hAnsi="仿宋_GB2312" w:cs="仿宋_GB2312" w:eastAsia="仿宋_GB2312"/>
          <w:sz w:val="19"/>
          <w:color w:val="000000"/>
        </w:rPr>
        <w:t>1</w:t>
      </w:r>
      <w:r>
        <w:rPr>
          <w:rFonts w:ascii="仿宋_GB2312" w:hAnsi="仿宋_GB2312" w:cs="仿宋_GB2312" w:eastAsia="仿宋_GB2312"/>
          <w:sz w:val="19"/>
          <w:color w:val="000000"/>
        </w:rPr>
        <w:t>条列明的进一步加强政府采购支持中小企业发展的力度外，对于满足合同约定支付条件的，采购人原</w:t>
      </w:r>
      <w:r>
        <w:rPr>
          <w:rFonts w:ascii="仿宋_GB2312" w:hAnsi="仿宋_GB2312" w:cs="仿宋_GB2312" w:eastAsia="仿宋_GB2312"/>
          <w:sz w:val="19"/>
          <w:color w:val="000000"/>
        </w:rPr>
        <w:t>则上应当自收到发票后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个工作日内将资金支付到合同约定的供应商账户。</w:t>
      </w:r>
    </w:p>
    <w:p>
      <w:pPr>
        <w:pStyle w:val="null3"/>
        <w:jc w:val="left"/>
      </w:pPr>
      <w:r>
        <w:rPr>
          <w:rFonts w:ascii="仿宋_GB2312" w:hAnsi="仿宋_GB2312" w:cs="仿宋_GB2312" w:eastAsia="仿宋_GB2312"/>
          <w:sz w:val="19"/>
          <w:color w:val="000000"/>
        </w:rPr>
        <w:t>（四）采购人应完善内部规程，自收到发票后</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个工作日内完成支付事宜。</w:t>
      </w:r>
    </w:p>
    <w:p>
      <w:pPr>
        <w:pStyle w:val="null3"/>
        <w:jc w:val="left"/>
      </w:pPr>
      <w:r>
        <w:rPr>
          <w:rFonts w:ascii="仿宋_GB2312" w:hAnsi="仿宋_GB2312" w:cs="仿宋_GB2312" w:eastAsia="仿宋_GB2312"/>
          <w:sz w:val="19"/>
          <w:color w:val="000000"/>
        </w:rPr>
        <w:t>（五）采购人和供应商对资金支付产生争议的，应当按照法律规定和合同约定及时解决，保证资金支付效率。</w:t>
      </w:r>
    </w:p>
    <w:p>
      <w:pPr>
        <w:pStyle w:val="null3"/>
        <w:jc w:val="left"/>
      </w:pPr>
      <w:r>
        <w:rPr>
          <w:rFonts w:ascii="仿宋_GB2312" w:hAnsi="仿宋_GB2312" w:cs="仿宋_GB2312" w:eastAsia="仿宋_GB2312"/>
          <w:sz w:val="19"/>
          <w:color w:val="000000"/>
        </w:rPr>
        <w:t>（六）采购人逾期支付资金应承担违约责任。采购人若存在逾期支付资金情形的，供应商有权向相关财政部门报告，由财</w:t>
      </w:r>
      <w:r>
        <w:rPr>
          <w:rFonts w:ascii="仿宋_GB2312" w:hAnsi="仿宋_GB2312" w:cs="仿宋_GB2312" w:eastAsia="仿宋_GB2312"/>
          <w:sz w:val="19"/>
          <w:color w:val="000000"/>
        </w:rPr>
        <w:t>政部门启动政府采购合同资金支付预警监控机制，发现逾期支付资金问题的，视情况进行通报、约谈，依法依规追究责任。</w:t>
      </w:r>
    </w:p>
    <w:p>
      <w:pPr>
        <w:pStyle w:val="null3"/>
        <w:jc w:val="left"/>
      </w:pPr>
      <w:r>
        <w:rPr>
          <w:rFonts w:ascii="仿宋_GB2312" w:hAnsi="仿宋_GB2312" w:cs="仿宋_GB2312" w:eastAsia="仿宋_GB2312"/>
          <w:sz w:val="19"/>
          <w:color w:val="000000"/>
        </w:rPr>
        <w:t>三、服务及验收标准（履约验收及管理）</w:t>
      </w:r>
    </w:p>
    <w:p>
      <w:pPr>
        <w:pStyle w:val="null3"/>
        <w:jc w:val="left"/>
      </w:pPr>
      <w:r>
        <w:rPr>
          <w:rFonts w:ascii="仿宋_GB2312" w:hAnsi="仿宋_GB2312" w:cs="仿宋_GB2312" w:eastAsia="仿宋_GB2312"/>
          <w:sz w:val="19"/>
          <w:color w:val="000000"/>
        </w:rPr>
        <w:t>（一）招标文件、投标文件、采购合同、封样样品（若有）等是履约验收工作的基本依据。</w:t>
      </w:r>
    </w:p>
    <w:p>
      <w:pPr>
        <w:pStyle w:val="null3"/>
        <w:jc w:val="left"/>
      </w:pPr>
      <w:r>
        <w:rPr>
          <w:rFonts w:ascii="仿宋_GB2312" w:hAnsi="仿宋_GB2312" w:cs="仿宋_GB2312" w:eastAsia="仿宋_GB2312"/>
          <w:sz w:val="19"/>
          <w:color w:val="000000"/>
        </w:rPr>
        <w:t>（二）政府采购履约验收应当遵循全面完整、客观真实、公开透明的原则，坚持应验必验、验收必严。</w:t>
      </w:r>
    </w:p>
    <w:p>
      <w:pPr>
        <w:pStyle w:val="null3"/>
        <w:jc w:val="left"/>
      </w:pPr>
      <w:r>
        <w:rPr>
          <w:rFonts w:ascii="仿宋_GB2312" w:hAnsi="仿宋_GB2312" w:cs="仿宋_GB2312" w:eastAsia="仿宋_GB2312"/>
          <w:sz w:val="19"/>
          <w:color w:val="000000"/>
        </w:rPr>
        <w:t>（三）履约验收主体及职责：</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、采购人是政府采购履约验收工作的责任主体，应当自行组织履约验收。</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、采购人应当在政府采购合同中约定履约验收方案。履约验收方案要明确履约验收的主体、时间、方式、程序、内容和</w:t>
      </w:r>
      <w:r>
        <w:rPr>
          <w:rFonts w:ascii="仿宋_GB2312" w:hAnsi="仿宋_GB2312" w:cs="仿宋_GB2312" w:eastAsia="仿宋_GB2312"/>
          <w:sz w:val="19"/>
          <w:color w:val="000000"/>
        </w:rPr>
        <w:t>验收标准等事项。采购人应当开展履约风险审查。</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、采购代理机构应当根据委托代理协议约定，协助采购人做好履约验收工作，协调解决验收中出现的问题，及时向采购</w:t>
      </w:r>
      <w:r>
        <w:rPr>
          <w:rFonts w:ascii="仿宋_GB2312" w:hAnsi="仿宋_GB2312" w:cs="仿宋_GB2312" w:eastAsia="仿宋_GB2312"/>
          <w:sz w:val="19"/>
          <w:color w:val="000000"/>
        </w:rPr>
        <w:t>人反映履约异常情形及供应商违约失信行为等。</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、供应商应当严格按照履约验收基本依据的约定，积极配合采购人做好验收工作，提供与验收相关的生产、技术、服</w:t>
      </w:r>
      <w:r>
        <w:rPr>
          <w:rFonts w:ascii="仿宋_GB2312" w:hAnsi="仿宋_GB2312" w:cs="仿宋_GB2312" w:eastAsia="仿宋_GB2312"/>
          <w:sz w:val="19"/>
          <w:color w:val="000000"/>
        </w:rPr>
        <w:t>务、数量、质量、安全等资料，根据实际需要做好技术说明、测试演示或场景应用情况分析等工作。对履约情况争议问题，有</w:t>
      </w:r>
      <w:r>
        <w:rPr>
          <w:rFonts w:ascii="仿宋_GB2312" w:hAnsi="仿宋_GB2312" w:cs="仿宋_GB2312" w:eastAsia="仿宋_GB2312"/>
          <w:sz w:val="19"/>
          <w:color w:val="000000"/>
        </w:rPr>
        <w:t>义务提供相应证据证明材料。</w:t>
      </w:r>
    </w:p>
    <w:p>
      <w:pPr>
        <w:pStyle w:val="null3"/>
        <w:jc w:val="left"/>
      </w:pPr>
      <w:r>
        <w:rPr>
          <w:rFonts w:ascii="仿宋_GB2312" w:hAnsi="仿宋_GB2312" w:cs="仿宋_GB2312" w:eastAsia="仿宋_GB2312"/>
          <w:sz w:val="19"/>
          <w:color w:val="000000"/>
        </w:rPr>
        <w:t>（四）履约验收程序：</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、采购合同约定的履约验收条件达到时，供应商应当组织内部自验，自验合格后及时向采购人书面提出履约验收申请，</w:t>
      </w:r>
      <w:r>
        <w:rPr>
          <w:rFonts w:ascii="仿宋_GB2312" w:hAnsi="仿宋_GB2312" w:cs="仿宋_GB2312" w:eastAsia="仿宋_GB2312"/>
          <w:sz w:val="19"/>
          <w:color w:val="000000"/>
        </w:rPr>
        <w:t>自验情况作为履约验收相关证明材料。</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、采购人应当自收到验收申请之日起</w:t>
      </w:r>
      <w:r>
        <w:rPr>
          <w:rFonts w:ascii="仿宋_GB2312" w:hAnsi="仿宋_GB2312" w:cs="仿宋_GB2312" w:eastAsia="仿宋_GB2312"/>
          <w:sz w:val="19"/>
          <w:color w:val="000000"/>
        </w:rPr>
        <w:t>7</w:t>
      </w:r>
      <w:r>
        <w:rPr>
          <w:rFonts w:ascii="仿宋_GB2312" w:hAnsi="仿宋_GB2312" w:cs="仿宋_GB2312" w:eastAsia="仿宋_GB2312"/>
          <w:sz w:val="19"/>
          <w:color w:val="000000"/>
        </w:rPr>
        <w:t>个工作日内启动项目验收，并向供应商发送验收通知。技术复杂、专业性强以及</w:t>
      </w:r>
      <w:r>
        <w:rPr>
          <w:rFonts w:ascii="仿宋_GB2312" w:hAnsi="仿宋_GB2312" w:cs="仿宋_GB2312" w:eastAsia="仿宋_GB2312"/>
          <w:sz w:val="19"/>
          <w:color w:val="000000"/>
        </w:rPr>
        <w:t>重大民生、金额较大的政府采购项目，验收准备时间可适当延长。</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、采购人应当成立履约验收小组，负责采购项目履约验收具体工作，出具验收意见，并对验收意见负责。</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、履约验收小组应当由</w:t>
      </w:r>
      <w:r>
        <w:rPr>
          <w:rFonts w:ascii="仿宋_GB2312" w:hAnsi="仿宋_GB2312" w:cs="仿宋_GB2312" w:eastAsia="仿宋_GB2312"/>
          <w:sz w:val="19"/>
          <w:color w:val="000000"/>
        </w:rPr>
        <w:t>3</w:t>
      </w:r>
      <w:r>
        <w:rPr>
          <w:rFonts w:ascii="仿宋_GB2312" w:hAnsi="仿宋_GB2312" w:cs="仿宋_GB2312" w:eastAsia="仿宋_GB2312"/>
          <w:sz w:val="19"/>
          <w:color w:val="000000"/>
        </w:rPr>
        <w:t>人以上单数组成，并确定一名负责人。参与本采购项目评审的采购人代表不能作为负责人。履</w:t>
      </w:r>
      <w:r>
        <w:rPr>
          <w:rFonts w:ascii="仿宋_GB2312" w:hAnsi="仿宋_GB2312" w:cs="仿宋_GB2312" w:eastAsia="仿宋_GB2312"/>
          <w:sz w:val="19"/>
          <w:color w:val="000000"/>
        </w:rPr>
        <w:t>约验收小组成员应当是熟悉采购需求和技术要求的人员。对于采购人和使用人分离的采购项目，应当邀请实际使用人参与验</w:t>
      </w:r>
      <w:r>
        <w:rPr>
          <w:rFonts w:ascii="仿宋_GB2312" w:hAnsi="仿宋_GB2312" w:cs="仿宋_GB2312" w:eastAsia="仿宋_GB2312"/>
          <w:sz w:val="19"/>
          <w:color w:val="000000"/>
        </w:rPr>
        <w:t xml:space="preserve">收。技术复杂、专业性较强的采购项目，可以邀请相关领域专业技术人员作为履约验收小组成员参与验收。 </w:t>
      </w:r>
      <w:r>
        <w:rPr>
          <w:rFonts w:ascii="仿宋_GB2312" w:hAnsi="仿宋_GB2312" w:cs="仿宋_GB2312" w:eastAsia="仿宋_GB2312"/>
          <w:sz w:val="19"/>
          <w:color w:val="000000"/>
        </w:rPr>
        <w:t>前期参与本采购项目相关采购活动的采购代理机构工作人员、评审专家以及政府采购回避制度规定的与供应商有利害关系</w:t>
      </w:r>
      <w:r>
        <w:rPr>
          <w:rFonts w:ascii="仿宋_GB2312" w:hAnsi="仿宋_GB2312" w:cs="仿宋_GB2312" w:eastAsia="仿宋_GB2312"/>
          <w:sz w:val="19"/>
          <w:color w:val="000000"/>
        </w:rPr>
        <w:t>的人员，不得作为履约验收小组成员参与履约验收。</w:t>
      </w:r>
      <w:r>
        <w:rPr>
          <w:rFonts w:ascii="仿宋_GB2312" w:hAnsi="仿宋_GB2312" w:cs="仿宋_GB2312" w:eastAsia="仿宋_GB2312"/>
          <w:sz w:val="19"/>
          <w:color w:val="000000"/>
        </w:rPr>
        <w:t>财政部门政府采购监管人员不得作为履约验收小组成员参与履约验收。</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、根据采购项目特点和实际需要，采购人、采购代理机构可以邀请参与本采购项目的其他供应商或者专业机构及专家参</w:t>
      </w:r>
      <w:r>
        <w:rPr>
          <w:rFonts w:ascii="仿宋_GB2312" w:hAnsi="仿宋_GB2312" w:cs="仿宋_GB2312" w:eastAsia="仿宋_GB2312"/>
          <w:sz w:val="19"/>
          <w:color w:val="000000"/>
        </w:rPr>
        <w:t xml:space="preserve">与验收，相关意见作为履约验收的参考资料，并按照验收档案进行管理。 </w:t>
      </w:r>
      <w:r>
        <w:rPr>
          <w:rFonts w:ascii="仿宋_GB2312" w:hAnsi="仿宋_GB2312" w:cs="仿宋_GB2312" w:eastAsia="仿宋_GB2312"/>
          <w:sz w:val="19"/>
          <w:color w:val="000000"/>
        </w:rPr>
        <w:t xml:space="preserve">大型或者复杂的项目，应当邀请国家认可的质量检测机构参加验收。 </w:t>
      </w:r>
      <w:r>
        <w:rPr>
          <w:rFonts w:ascii="仿宋_GB2312" w:hAnsi="仿宋_GB2312" w:cs="仿宋_GB2312" w:eastAsia="仿宋_GB2312"/>
          <w:sz w:val="19"/>
          <w:color w:val="000000"/>
        </w:rPr>
        <w:t>政府向社会公众提供的公共服务项目，验收时应当邀请服务对象参与并出具意见，验收结果应当向社会公告。</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、履约验收方式可以根据采购项目特点、市场实际和履约风险控制等情况，采用一次性验收、分节点验收和分期验收等</w:t>
      </w:r>
      <w:r>
        <w:rPr>
          <w:rFonts w:ascii="仿宋_GB2312" w:hAnsi="仿宋_GB2312" w:cs="仿宋_GB2312" w:eastAsia="仿宋_GB2312"/>
          <w:sz w:val="19"/>
          <w:color w:val="000000"/>
        </w:rPr>
        <w:t>方式。</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、履约验收小组应当认真履行项目验收职责，按照履约验收方案实施验收，确保验收意见客观真实反映合同履行情况。</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）确认验收方案。履约验收小组应根据采购文件和采购合同等履约验收基本依据进行确认。履约验收小组发现履约验</w:t>
      </w:r>
      <w:r>
        <w:rPr>
          <w:rFonts w:ascii="仿宋_GB2312" w:hAnsi="仿宋_GB2312" w:cs="仿宋_GB2312" w:eastAsia="仿宋_GB2312"/>
          <w:sz w:val="19"/>
          <w:color w:val="000000"/>
        </w:rPr>
        <w:t>收方案存在歧义、重大缺陷导致验收工作无法进行，或者验收过程违反有关法律法规规定的，应当及时与采购人沟通并作书面</w:t>
      </w:r>
      <w:r>
        <w:rPr>
          <w:rFonts w:ascii="仿宋_GB2312" w:hAnsi="仿宋_GB2312" w:cs="仿宋_GB2312" w:eastAsia="仿宋_GB2312"/>
          <w:sz w:val="19"/>
          <w:color w:val="000000"/>
        </w:rPr>
        <w:t>记录。</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）实施验收。履约验收小组应当根据履约验收方案，对供应商提供的货物、工程或者服务按照履约验收基本依据对每</w:t>
      </w:r>
      <w:r>
        <w:rPr>
          <w:rFonts w:ascii="仿宋_GB2312" w:hAnsi="仿宋_GB2312" w:cs="仿宋_GB2312" w:eastAsia="仿宋_GB2312"/>
          <w:sz w:val="19"/>
          <w:color w:val="000000"/>
        </w:rPr>
        <w:t>一项技术、服务、安全标准的履约情况进行确认。分节点、分期验收的，应当根据采购合同和项目特点进行分节点、分期验</w:t>
      </w:r>
      <w:r>
        <w:rPr>
          <w:rFonts w:ascii="仿宋_GB2312" w:hAnsi="仿宋_GB2312" w:cs="仿宋_GB2312" w:eastAsia="仿宋_GB2312"/>
          <w:sz w:val="19"/>
          <w:color w:val="000000"/>
        </w:rPr>
        <w:t>收。</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）出具验收意见。履约验收结束后，履约验收小组以书面形式作出结论性意见，列明各项标准的验收情况及项目总体</w:t>
      </w:r>
      <w:r>
        <w:rPr>
          <w:rFonts w:ascii="仿宋_GB2312" w:hAnsi="仿宋_GB2312" w:cs="仿宋_GB2312" w:eastAsia="仿宋_GB2312"/>
          <w:sz w:val="19"/>
          <w:color w:val="000000"/>
        </w:rPr>
        <w:t>评价，形成验收意见报告，由履约验收小组和供应商共同签署。分节点、分期验收的，应当出具分节点、分期验收意见。</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、履约验收小组成员应当独立发表验收意见。履约验收小组成员对需要共同认定的事项存在争议的，应当按照少数服从</w:t>
      </w:r>
      <w:r>
        <w:rPr>
          <w:rFonts w:ascii="仿宋_GB2312" w:hAnsi="仿宋_GB2312" w:cs="仿宋_GB2312" w:eastAsia="仿宋_GB2312"/>
          <w:sz w:val="19"/>
          <w:color w:val="000000"/>
        </w:rPr>
        <w:t>多数的原则作出结论。对验收意见报告载明的结论有异议的履约验收小组成员，应当在验收意见报告上签署不同意见并说明理</w:t>
      </w:r>
      <w:r>
        <w:rPr>
          <w:rFonts w:ascii="仿宋_GB2312" w:hAnsi="仿宋_GB2312" w:cs="仿宋_GB2312" w:eastAsia="仿宋_GB2312"/>
          <w:sz w:val="19"/>
          <w:color w:val="000000"/>
        </w:rPr>
        <w:t>由，否则视为同意验收意见报告。</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、供应商对验收意见报告载明的结论有异议的，应当在签署验收意见报告前向履约验收小组说明情况，履约验收小组应</w:t>
      </w:r>
      <w:r>
        <w:rPr>
          <w:rFonts w:ascii="仿宋_GB2312" w:hAnsi="仿宋_GB2312" w:cs="仿宋_GB2312" w:eastAsia="仿宋_GB2312"/>
          <w:sz w:val="19"/>
          <w:color w:val="000000"/>
        </w:rPr>
        <w:t>当对有异议的验收事项进行复核。复核后供应商仍不认可验收意见报告结论的，按照采购合同约定的方式解决。</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、采购人应当对履约验收小组报送的验收意见报告进行确认。确认验收合格的，采购人应当在验收意见报告签字并加</w:t>
      </w:r>
      <w:r>
        <w:rPr>
          <w:rFonts w:ascii="仿宋_GB2312" w:hAnsi="仿宋_GB2312" w:cs="仿宋_GB2312" w:eastAsia="仿宋_GB2312"/>
          <w:sz w:val="19"/>
          <w:color w:val="000000"/>
        </w:rPr>
        <w:t>盖公章；验收意见与采购合同不一致的，采购人应当根据验收意见中载明的具体偏差内容和处置建议，研究确定验收意见并加</w:t>
      </w:r>
      <w:r>
        <w:rPr>
          <w:rFonts w:ascii="仿宋_GB2312" w:hAnsi="仿宋_GB2312" w:cs="仿宋_GB2312" w:eastAsia="仿宋_GB2312"/>
          <w:sz w:val="19"/>
          <w:color w:val="000000"/>
        </w:rPr>
        <w:t>盖公章；验收意见中存在履约验收小组成员其他异议意见的，采购人应当对异议事项进行复核，妥善处置。</w:t>
      </w:r>
    </w:p>
    <w:p>
      <w:pPr>
        <w:pStyle w:val="null3"/>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、验收结果与采购合同约定的内容不完全符合，但经履约验收小组确认，供应商所提供的货物、工程和服务比合同约</w:t>
      </w:r>
      <w:r>
        <w:rPr>
          <w:rFonts w:ascii="仿宋_GB2312" w:hAnsi="仿宋_GB2312" w:cs="仿宋_GB2312" w:eastAsia="仿宋_GB2312"/>
          <w:sz w:val="19"/>
          <w:color w:val="000000"/>
        </w:rPr>
        <w:t>定内容提高了使用功能、标准或者属于技术更新换代产品的，在不影响、不降低整个采购项目的运行质量和功能以及合同金额</w:t>
      </w:r>
      <w:r>
        <w:rPr>
          <w:rFonts w:ascii="仿宋_GB2312" w:hAnsi="仿宋_GB2312" w:cs="仿宋_GB2312" w:eastAsia="仿宋_GB2312"/>
          <w:sz w:val="19"/>
          <w:color w:val="000000"/>
        </w:rPr>
        <w:t>不提高的前提下，可以验收通过。</w:t>
      </w:r>
    </w:p>
    <w:p>
      <w:pPr>
        <w:pStyle w:val="null3"/>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、功能简单且属于标准定制的货物采购项目和需求单一且属于通用的服务采购项目，可以适当简化验收流程，由采购</w:t>
      </w:r>
      <w:r>
        <w:rPr>
          <w:rFonts w:ascii="仿宋_GB2312" w:hAnsi="仿宋_GB2312" w:cs="仿宋_GB2312" w:eastAsia="仿宋_GB2312"/>
          <w:sz w:val="19"/>
          <w:color w:val="000000"/>
        </w:rPr>
        <w:t>人指定熟悉采购需求的人员，直接对合同约定的技术、服务、标准等内容进行验收，提出验收意见，并由采购人确认。</w:t>
      </w:r>
    </w:p>
    <w:p>
      <w:pPr>
        <w:pStyle w:val="null3"/>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、除涉密情形外，采购人应当在履约验收结束后</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个工作日内将履约验收结果信息向社会公开。</w:t>
      </w:r>
    </w:p>
    <w:p>
      <w:pPr>
        <w:pStyle w:val="null3"/>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、履约验收合格应作为政府采购项目资金支付的必要条件。验收合格的，采购人应当根据采购合同约定及时向供应商</w:t>
      </w:r>
      <w:r>
        <w:rPr>
          <w:rFonts w:ascii="仿宋_GB2312" w:hAnsi="仿宋_GB2312" w:cs="仿宋_GB2312" w:eastAsia="仿宋_GB2312"/>
          <w:sz w:val="19"/>
          <w:color w:val="000000"/>
        </w:rPr>
        <w:t>支付采购资金、退还履约保证金，不得将采购文件和合同中未规定的义务作为向供应商付款的条件。涉及分期验收付款的项</w:t>
      </w:r>
      <w:r>
        <w:rPr>
          <w:rFonts w:ascii="仿宋_GB2312" w:hAnsi="仿宋_GB2312" w:cs="仿宋_GB2312" w:eastAsia="仿宋_GB2312"/>
          <w:sz w:val="19"/>
          <w:color w:val="000000"/>
        </w:rPr>
        <w:t>目，应具备符合合同约定的分期验收报告。</w:t>
      </w:r>
      <w:r>
        <w:rPr>
          <w:rFonts w:ascii="仿宋_GB2312" w:hAnsi="仿宋_GB2312" w:cs="仿宋_GB2312" w:eastAsia="仿宋_GB2312"/>
          <w:sz w:val="19"/>
          <w:color w:val="000000"/>
        </w:rPr>
        <w:t>验收不合格的，采购人应当终止资金支付，并按照政府采购合同约定进行处理。</w:t>
      </w:r>
    </w:p>
    <w:p>
      <w:pPr>
        <w:pStyle w:val="null3"/>
        <w:jc w:val="left"/>
      </w:pPr>
      <w:r>
        <w:rPr>
          <w:rFonts w:ascii="仿宋_GB2312" w:hAnsi="仿宋_GB2312" w:cs="仿宋_GB2312" w:eastAsia="仿宋_GB2312"/>
          <w:sz w:val="19"/>
          <w:color w:val="000000"/>
        </w:rPr>
        <w:t>15</w:t>
      </w:r>
      <w:r>
        <w:rPr>
          <w:rFonts w:ascii="仿宋_GB2312" w:hAnsi="仿宋_GB2312" w:cs="仿宋_GB2312" w:eastAsia="仿宋_GB2312"/>
          <w:sz w:val="19"/>
          <w:color w:val="000000"/>
        </w:rPr>
        <w:t>、对项目验收发生的检测（检验）费、劳务报酬等费用支出，采购合同有约定的按照约定执行；无约定的，由采购人</w:t>
      </w:r>
      <w:r>
        <w:rPr>
          <w:rFonts w:ascii="仿宋_GB2312" w:hAnsi="仿宋_GB2312" w:cs="仿宋_GB2312" w:eastAsia="仿宋_GB2312"/>
          <w:sz w:val="19"/>
          <w:color w:val="000000"/>
        </w:rPr>
        <w:t xml:space="preserve">承担。委托采购代理机构组织项目验收的，委托费用应当在委托协议中明确。 </w:t>
      </w:r>
      <w:r>
        <w:rPr>
          <w:rFonts w:ascii="仿宋_GB2312" w:hAnsi="仿宋_GB2312" w:cs="仿宋_GB2312" w:eastAsia="仿宋_GB2312"/>
          <w:sz w:val="19"/>
          <w:color w:val="000000"/>
        </w:rPr>
        <w:t>采购人单位工作人员不得获取劳务报酬。</w:t>
      </w:r>
    </w:p>
    <w:p>
      <w:pPr>
        <w:pStyle w:val="null3"/>
        <w:jc w:val="left"/>
      </w:pPr>
      <w:r>
        <w:rPr>
          <w:rFonts w:ascii="仿宋_GB2312" w:hAnsi="仿宋_GB2312" w:cs="仿宋_GB2312" w:eastAsia="仿宋_GB2312"/>
          <w:sz w:val="19"/>
          <w:color w:val="000000"/>
        </w:rPr>
        <w:t>16</w:t>
      </w:r>
      <w:r>
        <w:rPr>
          <w:rFonts w:ascii="仿宋_GB2312" w:hAnsi="仿宋_GB2312" w:cs="仿宋_GB2312" w:eastAsia="仿宋_GB2312"/>
          <w:sz w:val="19"/>
          <w:color w:val="000000"/>
        </w:rPr>
        <w:t>、项目验收完成后，采购人应当将验收档案归入采购项目档案妥善保管，不得伪造、变造、隐匿或者违规销毁，验收</w:t>
      </w:r>
      <w:r>
        <w:rPr>
          <w:rFonts w:ascii="仿宋_GB2312" w:hAnsi="仿宋_GB2312" w:cs="仿宋_GB2312" w:eastAsia="仿宋_GB2312"/>
          <w:sz w:val="19"/>
          <w:color w:val="000000"/>
        </w:rPr>
        <w:t>档案保存期与采购项目档案保存期一致。</w:t>
      </w:r>
    </w:p>
    <w:p>
      <w:pPr>
        <w:pStyle w:val="null3"/>
        <w:jc w:val="left"/>
      </w:pPr>
      <w:r>
        <w:rPr>
          <w:rFonts w:ascii="仿宋_GB2312" w:hAnsi="仿宋_GB2312" w:cs="仿宋_GB2312" w:eastAsia="仿宋_GB2312"/>
          <w:sz w:val="19"/>
          <w:color w:val="000000"/>
        </w:rPr>
        <w:t>17</w:t>
      </w:r>
      <w:r>
        <w:rPr>
          <w:rFonts w:ascii="仿宋_GB2312" w:hAnsi="仿宋_GB2312" w:cs="仿宋_GB2312" w:eastAsia="仿宋_GB2312"/>
          <w:sz w:val="19"/>
          <w:color w:val="000000"/>
        </w:rPr>
        <w:t>、履约验收过程有关合同履行问题、违约责任认定和争议解决处理按照《中华人民共和国民法典》等有关法律法规规</w:t>
      </w:r>
      <w:r>
        <w:rPr>
          <w:rFonts w:ascii="仿宋_GB2312" w:hAnsi="仿宋_GB2312" w:cs="仿宋_GB2312" w:eastAsia="仿宋_GB2312"/>
          <w:sz w:val="19"/>
          <w:color w:val="000000"/>
        </w:rPr>
        <w:t>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政府采购应当有助于实现国家的经济和社会发展政策目标、实现项目绩效目标，采购人通过确定供应商资格条件、设定评审规则等措施，落实支持创新、绿色发展、中小企业发展等政府采购政策功能。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 （2）供应商应当合法获得投标项目的招标文件； （3）本项目接受联合体投标。（①、两个以上供应商可以组成一个联合体，以一个投标人的身份参加投标。联合 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②参加联合体的供应商均应当具备政府采购法第二十二条规定的条件，并应当向采购人提交联合协议，载明联合体各方承担的工作和义务。联合体中有同类资质的供应商按照联合体分工 承担相同工作的，应当按照资质等级较低的供应商确定资质等级。按照联合体分工承担不同工作的供应商，应当具备承担对应工作内容的特定资格条件。 ③联合体各方应当共同与采购人签订采购合同，就采购合同约定的事项对采购人承担连带责任。） （4）中标供应商中标后不得将中标项目分包或转让给其他主体实施。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 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满足项目的服务内容和标准</w:t>
            </w:r>
          </w:p>
        </w:tc>
        <w:tc>
          <w:tcPr>
            <w:tcW w:type="dxa" w:w="2492"/>
          </w:tcPr>
          <w:p>
            <w:pPr>
              <w:pStyle w:val="null3"/>
              <w:jc w:val="both"/>
            </w:pPr>
            <w:r>
              <w:rPr>
                <w:rFonts w:ascii="仿宋_GB2312" w:hAnsi="仿宋_GB2312" w:cs="仿宋_GB2312" w:eastAsia="仿宋_GB2312"/>
              </w:rPr>
              <w:t>1、“★”代表最关键指标、参数，不满足“★”号条款要求的为无效投标；无标注符号的代表一般指标、参数。技术响应表中“投标人技术响应情况描述”应如实填写，并与“招标文件技术要求”一一对应，如简单填写“响应或者完全响应”将视为实质性不满足，视为投标无效。 2、无标注符号的一般指标、参数，满分为10分。投标文件一般技术指标、参数与招标文件规定的共计5项相应指标、参数相比较，不满足要求的，每有一项扣2分。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本项目总体实施方案进行评价：①投标人提供与本项目有关的方案的，得7分；②方案在满足①的基础上，针对商务条件和采购需求制定符合本项目的实施方案，且方案包括对项目的理解、组织架构、人员安排、管理和协调方法等，详细完整、合理可行的，得12分；③未提供方案或方案描述与本项目无关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服务质量保障措施方 案</w:t>
            </w:r>
          </w:p>
        </w:tc>
        <w:tc>
          <w:tcPr>
            <w:tcW w:type="dxa" w:w="2492"/>
          </w:tcPr>
          <w:p>
            <w:pPr>
              <w:pStyle w:val="null3"/>
              <w:jc w:val="both"/>
            </w:pPr>
            <w:r>
              <w:rPr>
                <w:rFonts w:ascii="仿宋_GB2312" w:hAnsi="仿宋_GB2312" w:cs="仿宋_GB2312" w:eastAsia="仿宋_GB2312"/>
              </w:rPr>
              <w:t>评价服务质量保障措施方案：制定相应的方案，对服务过程中的关键节点具有具体质量控制措施，有相应的人力、物力投入安排，能够确保服务质量或方案不存在瑕疵的，得10分；服务质量保障措施较为简单，对服务过程中的关键节点有提出基本的质量控制措施或方案存在1处瑕疵的，得6分；方案存在2处瑕疵的，得4分；未提供或不符合项目需求或方案存在3分（含）以上瑕疵的，得0分。（注：瑕疵，指内容不完整或缺少 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服务风险性措施方案</w:t>
            </w:r>
          </w:p>
        </w:tc>
        <w:tc>
          <w:tcPr>
            <w:tcW w:type="dxa" w:w="2492"/>
          </w:tcPr>
          <w:p>
            <w:pPr>
              <w:pStyle w:val="null3"/>
              <w:jc w:val="both"/>
            </w:pPr>
            <w:r>
              <w:rPr>
                <w:rFonts w:ascii="仿宋_GB2312" w:hAnsi="仿宋_GB2312" w:cs="仿宋_GB2312" w:eastAsia="仿宋_GB2312"/>
              </w:rPr>
              <w:t>评价服务风险性措施方案：对服务过程中节点可能出现的风险有事先预估评判，并制定相应的服务风险防控措施，有相应的人力、物力投入安排，能够避免风险或者出现风险能及时有效处 理或方案不存在瑕疵的，得10分；有提出服务过程中可能出现风险，但制定的服务风险防控措施较为简单或方案存在1处瑕疵的，得6分；方案存在2处瑕疵的，得4分；未提供措施或不符合项目需求或方案存在3处（含）以上瑕疵的，得0分。（注：瑕疵，指内容不完整或缺少 关键点；非专门针对本项目或不适用本项目，套用其他项目内容；对同一问题前后表述矛盾；存在逻辑漏洞、科学原理或常识性的错误；不利于本项目目标的实现、现有技术条件下不可 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服务人员</w:t>
            </w:r>
          </w:p>
        </w:tc>
        <w:tc>
          <w:tcPr>
            <w:tcW w:type="dxa" w:w="2492"/>
          </w:tcPr>
          <w:p>
            <w:pPr>
              <w:pStyle w:val="null3"/>
              <w:jc w:val="both"/>
            </w:pPr>
            <w:r>
              <w:rPr>
                <w:rFonts w:ascii="仿宋_GB2312" w:hAnsi="仿宋_GB2312" w:cs="仿宋_GB2312" w:eastAsia="仿宋_GB2312"/>
              </w:rPr>
              <w:t>1、对拟派出项目组的项目负责人进行评价：①项目负责人具有 从业资格或 初级以上 职称的得 5 分，否则不得分（注：职称或职业资格应未在政府明令取消，且与项目服务需求相匹配，提供证件复印件加盖投标人公章）②项目负责人具有与本项目类似工作经历的得4分。（提供项目负责人所在工作单位出具的证明材料，不提供或未能在证明材料中体现项目负责人姓名等个人基本信息的得0分）。 2、对拟派出项目组的主要服务人员进行评价：①主要服务人员所学专业范围与本项目相关、或通过 岗位 培训或 资格 认证的得 3分，否则不得分（注：培训或认证应与项目服务需求相匹配）②主要服务人员具有与本项目类似工作经历的得 3分。 （提供主要服务人员所在工作单位出具的证明材料，不提供或未能在证明材料中体现主要负责人姓名等个人基本信息的得0分）。 3、对拟派出项目组的非主要人员进行评价：非主要服务人员所学专业范围与本项目相关、或通过 岗位 培训或 资格 认证的、或有与本项目类似工作经历的得 3 分，提供证明材料，不提供得0分。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与实现项目目标相关的因素</w:t>
            </w:r>
          </w:p>
        </w:tc>
        <w:tc>
          <w:tcPr>
            <w:tcW w:type="dxa" w:w="2492"/>
          </w:tcPr>
          <w:p>
            <w:pPr>
              <w:pStyle w:val="null3"/>
              <w:jc w:val="both"/>
            </w:pPr>
            <w:r>
              <w:rPr>
                <w:rFonts w:ascii="仿宋_GB2312" w:hAnsi="仿宋_GB2312" w:cs="仿宋_GB2312" w:eastAsia="仿宋_GB2312"/>
              </w:rPr>
              <w:t>根据投标人针对本项目成立的工作项目组情况进行评价：①成立工作项目组并制定工作流程，可组织保障项目完成的，得6分；②方案在满足①的基础上，针对项目成立专业、分工明确的项目组且明确责任人，有能力保障项目稳定有序完成的，得10分；③未提供方案或方案描述与本项目无关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对项目售后服务方案进行评价：内容包括但不限于：验收合格后运维期售后服务体系、服务措施、服务标准、服务内容与范围等方面，服务承诺详细完整满足项目要求或方案不存在瑕疵的，得10分；具有售后服务承诺和服务体系或方案存在1处瑕疵的，得 6分；售后服务体系不完备或方案存在2处瑕疵的，得 3 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根据投标人2018年1月1日以来承担过的类似业绩进行评价：每提供1个业绩得5分，满分10分。不提供业绩者得0分。（注：（1）类似业绩是指非特定行政区域或者特定行业、非特定金额的与本项目类似的业绩。（2）提供相关证明材料，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HNJS2025-G001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东方市农村生活污水治理委托运维项目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东方市农村生活污水治理委托运维项目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C13020000-市政公用设施管理服务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9446400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