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2025年度东方市公安局信息化运维保障服务项目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HZ2025--112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海南海政招标有限公司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东方市公安局</w:t>
      </w:r>
      <w:r>
        <w:rPr>
          <w:rFonts w:ascii="仿宋_GB2312" w:hAnsi="仿宋_GB2312" w:cs="仿宋_GB2312" w:eastAsia="仿宋_GB2312"/>
        </w:rPr>
        <w:t xml:space="preserve"> 委托， </w:t>
      </w:r>
      <w:r>
        <w:rPr>
          <w:rFonts w:ascii="仿宋_GB2312" w:hAnsi="仿宋_GB2312" w:cs="仿宋_GB2312" w:eastAsia="仿宋_GB2312"/>
        </w:rPr>
        <w:t>海南海政招标有限公司</w:t>
      </w:r>
      <w:r>
        <w:rPr>
          <w:rFonts w:ascii="仿宋_GB2312" w:hAnsi="仿宋_GB2312" w:cs="仿宋_GB2312" w:eastAsia="仿宋_GB2312"/>
        </w:rPr>
        <w:t xml:space="preserve"> 对 </w:t>
      </w:r>
      <w:r>
        <w:rPr>
          <w:rFonts w:ascii="仿宋_GB2312" w:hAnsi="仿宋_GB2312" w:cs="仿宋_GB2312" w:eastAsia="仿宋_GB2312"/>
        </w:rPr>
        <w:t>2025年度东方市公安局信息化运维保障服务项目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HZ2025--112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2025年度东方市公安局信息化运维保障服务项目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6,195,908.05元</w:t>
      </w:r>
      <w:r>
        <w:rPr>
          <w:rFonts w:ascii="仿宋_GB2312" w:hAnsi="仿宋_GB2312" w:cs="仿宋_GB2312" w:eastAsia="仿宋_GB2312"/>
        </w:rPr>
        <w:t>陆佰壹拾玖万伍仟玖佰零捌元零伍分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详见用户需求书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详见用户需求书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海南省东方市公安局北九龙路13号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2559 5843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海南海政招标有限公司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蓝天路31号名门广场北区B座3002房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0898-68500661、68500660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采购包1：5,982,908.05元</w:t>
            </w:r>
          </w:p>
          <w:p>
            <w:pPr>
              <w:pStyle w:val="null3"/>
              <w:jc w:val="left"/>
            </w:pPr>
            <w:r>
              <w:rPr>
                <w:rFonts w:ascii="仿宋_GB2312" w:hAnsi="仿宋_GB2312" w:cs="仿宋_GB2312" w:eastAsia="仿宋_GB2312"/>
              </w:rPr>
              <w:t>采购包2：213,000.00元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代理服务费收费标准：参照计价格[2002]1980号发布）招标代理服务收费管理暂行办法收取。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联系人：成女士</w:t>
      </w:r>
    </w:p>
    <w:p>
      <w:pPr>
        <w:pStyle w:val="null3"/>
        <w:jc w:val="left"/>
      </w:pPr>
      <w:r>
        <w:rPr>
          <w:rFonts w:ascii="仿宋_GB2312" w:hAnsi="仿宋_GB2312" w:cs="仿宋_GB2312" w:eastAsia="仿宋_GB2312"/>
        </w:rPr>
        <w:t>联系电话：0898-68500661</w:t>
      </w:r>
    </w:p>
    <w:p>
      <w:pPr>
        <w:pStyle w:val="null3"/>
        <w:jc w:val="left"/>
      </w:pPr>
      <w:r>
        <w:rPr>
          <w:rFonts w:ascii="仿宋_GB2312" w:hAnsi="仿宋_GB2312" w:cs="仿宋_GB2312" w:eastAsia="仿宋_GB2312"/>
        </w:rPr>
        <w:t>地址：海口市美兰区蓝天路名门广场北区B1-5号3005室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2025年度东方市公安局信息化运维保障服务项目，主要运维系统包括：东方市立体化治安防控及治安卡口项目、东方市看守所“智慧磐石”工程项目和东方市立体化治安防控二期(卡口)项目、东方市公安局业务技术综合楼智能化系统、东方市公安局智能交通系统、东方市强制隔离戒毒所信息技术系统项目、东方市公安局视频会议室升级改造建设项目、东方市公安局东片办案区升级改造为“四位一体”执法办案管理中心建设项目。</w:t>
      </w:r>
    </w:p>
    <w:p>
      <w:pPr>
        <w:pStyle w:val="null3"/>
        <w:ind w:firstLine="480"/>
        <w:jc w:val="left"/>
      </w:pPr>
      <w:r>
        <w:rPr>
          <w:rFonts w:ascii="仿宋_GB2312" w:hAnsi="仿宋_GB2312" w:cs="仿宋_GB2312" w:eastAsia="仿宋_GB2312"/>
          <w:sz w:val="24"/>
        </w:rPr>
        <w:t>本期项目的实施，将有效地保障东方市公安局各项信息化系统的稳定运行，进一步提升政务服务水平和管理水平。适应新的形势和任务，更好地履行职能的客观要求。全面、深入地实施科技战略，大力加强信息化建设，通过信息技术在政务工作中的运用，促进工作效率的不断提高，增强服务群众和服务</w:t>
      </w:r>
      <w:r>
        <w:rPr>
          <w:rFonts w:ascii="仿宋_GB2312" w:hAnsi="仿宋_GB2312" w:cs="仿宋_GB2312" w:eastAsia="仿宋_GB2312"/>
          <w:sz w:val="24"/>
        </w:rPr>
        <w:t>“国际旅游岛”建设的能力。</w:t>
      </w:r>
    </w:p>
    <w:p>
      <w:pPr>
        <w:pStyle w:val="null3"/>
        <w:ind w:firstLine="480"/>
        <w:jc w:val="left"/>
      </w:pPr>
      <w:r>
        <w:rPr>
          <w:rFonts w:ascii="仿宋_GB2312" w:hAnsi="仿宋_GB2312" w:cs="仿宋_GB2312" w:eastAsia="仿宋_GB2312"/>
          <w:sz w:val="24"/>
        </w:rPr>
        <w:t>通过制定年度运维方案，保证信息系统、网络、软硬件按计划使用和运行，为业务的发展提供安全、稳定的信息化支撑环境。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5,982,908.05</w:t>
      </w:r>
    </w:p>
    <w:p>
      <w:pPr>
        <w:pStyle w:val="null3"/>
        <w:jc w:val="left"/>
      </w:pPr>
      <w:r>
        <w:rPr>
          <w:rFonts w:ascii="仿宋_GB2312" w:hAnsi="仿宋_GB2312" w:cs="仿宋_GB2312" w:eastAsia="仿宋_GB2312"/>
        </w:rPr>
        <w:t>采购包最高限价（元）: 5,982,908.05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5,982,908.05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213,000.00</w:t>
      </w:r>
    </w:p>
    <w:p>
      <w:pPr>
        <w:pStyle w:val="null3"/>
        <w:jc w:val="left"/>
      </w:pPr>
      <w:r>
        <w:rPr>
          <w:rFonts w:ascii="仿宋_GB2312" w:hAnsi="仿宋_GB2312" w:cs="仿宋_GB2312" w:eastAsia="仿宋_GB2312"/>
        </w:rPr>
        <w:t>采购包最高限价（元）: 213,000.00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5,982,908.05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w:t>
            </w:r>
            <w:r>
              <w:rPr>
                <w:rFonts w:ascii="仿宋_GB2312" w:hAnsi="仿宋_GB2312" w:cs="仿宋_GB2312" w:eastAsia="仿宋_GB2312"/>
                <w:sz w:val="21"/>
                <w:b/>
              </w:rPr>
              <w:t>1）技术要求</w:t>
            </w:r>
          </w:p>
          <w:p>
            <w:pPr>
              <w:pStyle w:val="null3"/>
              <w:spacing w:before="75"/>
              <w:ind w:right="285" w:firstLine="480"/>
              <w:jc w:val="left"/>
            </w:pPr>
            <w:r>
              <w:rPr>
                <w:rFonts w:ascii="仿宋_GB2312" w:hAnsi="仿宋_GB2312" w:cs="仿宋_GB2312" w:eastAsia="仿宋_GB2312"/>
                <w:sz w:val="24"/>
              </w:rPr>
              <w:t>本服务旨在落实《中华人民共和国网络安全法》和国家网络安全等级保护制度，做好单位网络安全保障工作，提升信息系统安全防护水平，避免发生重大网络安全事故。根据当前单位网络安全工作存在的差距和不足，通过采购网络安全服务和网络安全设备的形式，为信息系统网络安全保障工作提供可靠保障。</w:t>
            </w:r>
          </w:p>
          <w:p>
            <w:pPr>
              <w:pStyle w:val="null3"/>
              <w:spacing w:before="75"/>
              <w:ind w:right="285" w:firstLine="480"/>
              <w:jc w:val="left"/>
            </w:pPr>
            <w:r>
              <w:rPr>
                <w:rFonts w:ascii="仿宋_GB2312" w:hAnsi="仿宋_GB2312" w:cs="仿宋_GB2312" w:eastAsia="仿宋_GB2312"/>
                <w:sz w:val="24"/>
              </w:rPr>
              <w:t>为规范东方市公安局信息安全等级保护，提高安全保障能力和水平，维护国家安全、社会稳定和公共利益，从面保障和促进信息化建设</w:t>
            </w:r>
            <w:r>
              <w:rPr>
                <w:rFonts w:ascii="仿宋_GB2312" w:hAnsi="仿宋_GB2312" w:cs="仿宋_GB2312" w:eastAsia="仿宋_GB2312"/>
                <w:sz w:val="24"/>
              </w:rPr>
              <w:t>.根据目前的网络安全部署情况，</w:t>
            </w:r>
            <w:r>
              <w:rPr>
                <w:rFonts w:ascii="仿宋_GB2312" w:hAnsi="仿宋_GB2312" w:cs="仿宋_GB2312" w:eastAsia="仿宋_GB2312"/>
                <w:sz w:val="24"/>
              </w:rPr>
              <w:t>新</w:t>
            </w:r>
            <w:r>
              <w:rPr>
                <w:rFonts w:ascii="仿宋_GB2312" w:hAnsi="仿宋_GB2312" w:cs="仿宋_GB2312" w:eastAsia="仿宋_GB2312"/>
                <w:sz w:val="24"/>
              </w:rPr>
              <w:t>年度</w:t>
            </w:r>
            <w:r>
              <w:rPr>
                <w:rFonts w:ascii="仿宋_GB2312" w:hAnsi="仿宋_GB2312" w:cs="仿宋_GB2312" w:eastAsia="仿宋_GB2312"/>
                <w:sz w:val="24"/>
              </w:rPr>
              <w:t>仍</w:t>
            </w:r>
            <w:r>
              <w:rPr>
                <w:rFonts w:ascii="仿宋_GB2312" w:hAnsi="仿宋_GB2312" w:cs="仿宋_GB2312" w:eastAsia="仿宋_GB2312"/>
                <w:sz w:val="24"/>
              </w:rPr>
              <w:t>需要</w:t>
            </w:r>
            <w:r>
              <w:rPr>
                <w:rFonts w:ascii="仿宋_GB2312" w:hAnsi="仿宋_GB2312" w:cs="仿宋_GB2312" w:eastAsia="仿宋_GB2312"/>
                <w:sz w:val="24"/>
              </w:rPr>
              <w:t>提供</w:t>
            </w:r>
            <w:r>
              <w:rPr>
                <w:rFonts w:ascii="仿宋_GB2312" w:hAnsi="仿宋_GB2312" w:cs="仿宋_GB2312" w:eastAsia="仿宋_GB2312"/>
                <w:sz w:val="24"/>
              </w:rPr>
              <w:t>网络安全检测和评估等服务。具体服务需求如下：</w:t>
            </w:r>
          </w:p>
          <w:tbl>
            <w:tblPr>
              <w:tblBorders>
                <w:top w:val="none" w:color="000000" w:sz="4"/>
                <w:left w:val="none" w:color="000000" w:sz="4"/>
                <w:bottom w:val="none" w:color="000000" w:sz="4"/>
                <w:right w:val="none" w:color="000000" w:sz="4"/>
                <w:insideH w:val="none"/>
                <w:insideV w:val="none"/>
              </w:tblBorders>
            </w:tblPr>
            <w:tblGrid>
              <w:gridCol w:w="239"/>
              <w:gridCol w:w="590"/>
              <w:gridCol w:w="1725"/>
            </w:tblGrid>
            <w:tr>
              <w:tc>
                <w:tcPr>
                  <w:tcW w:type="dxa" w:w="2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运维对象</w:t>
                  </w:r>
                </w:p>
              </w:tc>
              <w:tc>
                <w:tcPr>
                  <w:tcW w:type="dxa" w:w="17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渗透测试服务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采用人工黑盒的方式对信息应用系统进行模拟攻击测试。主要测试方法包括：信息收集、端口扫描、远程溢出、口令猜测、本地溢出、客户端攻击、中间人攻击、web脚本渗透、B/S或C/S应用程序测试等。服务包含一次安全整改指导以及一次复查测试。</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安全加固服务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针对安全评估服务发现的网络安全问题，通过专业服务工程师进行安全加固服务，包括打补丁、修补漏洞、安全配置增强、系统架构和安全策略调整等方式及时进行加固和安全优化，提高系统的安全性和抗攻击能力，将整体信息系统安全状况维持在较高的水平，减少安全事件发生的可能性。</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安全培训服务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2次，上半年、下半年各一次，培训内容包括：针对全体员工的网络安全意识培训、安全用网规范培训；针对信息部门的专业网络安全技术培训。</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应急演练服务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1次，参演人员利用应急处置涉及的设备和资源。依托事先搭建好的业务系统环境，针对事先设置的突发网络安全事件情景及其后续的发展情景，通过实际决策、行动和操作，完成真实应急响应的过程，从而检验和提高相关人员的临场组织指挥、队伍调动、应急处置技能和后勤保障等应急能力。</w:t>
                  </w:r>
                  <w:r>
                    <w:br/>
                  </w:r>
                  <w:r>
                    <w:rPr>
                      <w:rFonts w:ascii="仿宋_GB2312" w:hAnsi="仿宋_GB2312" w:cs="仿宋_GB2312" w:eastAsia="仿宋_GB2312"/>
                      <w:sz w:val="18"/>
                      <w:color w:val="000000"/>
                    </w:rPr>
                    <w:t>1. 发现应急预案中可能存在的问题和不完善之处，使应急预案更为科学、有效的执行。</w:t>
                  </w:r>
                  <w:r>
                    <w:br/>
                  </w:r>
                  <w:r>
                    <w:rPr>
                      <w:rFonts w:ascii="仿宋_GB2312" w:hAnsi="仿宋_GB2312" w:cs="仿宋_GB2312" w:eastAsia="仿宋_GB2312"/>
                      <w:sz w:val="18"/>
                      <w:color w:val="000000"/>
                    </w:rPr>
                    <w:t>2. 提高应急人员在紧急情况下妥善处置事故的能力。</w:t>
                  </w:r>
                  <w:r>
                    <w:br/>
                  </w:r>
                  <w:r>
                    <w:rPr>
                      <w:rFonts w:ascii="仿宋_GB2312" w:hAnsi="仿宋_GB2312" w:cs="仿宋_GB2312" w:eastAsia="仿宋_GB2312"/>
                      <w:sz w:val="18"/>
                      <w:color w:val="000000"/>
                    </w:rPr>
                    <w:t>3. 完善应急管理相关部门人员的工作职责，提升协同作战处置能力。</w:t>
                  </w:r>
                  <w:r>
                    <w:br/>
                  </w:r>
                  <w:r>
                    <w:rPr>
                      <w:rFonts w:ascii="仿宋_GB2312" w:hAnsi="仿宋_GB2312" w:cs="仿宋_GB2312" w:eastAsia="仿宋_GB2312"/>
                      <w:sz w:val="18"/>
                      <w:color w:val="000000"/>
                    </w:rPr>
                    <w:t>4. 通过应急演练，提高参演和观摩人员风险防范意识。</w:t>
                  </w:r>
                  <w:r>
                    <w:br/>
                  </w:r>
                  <w:r>
                    <w:rPr>
                      <w:rFonts w:ascii="仿宋_GB2312" w:hAnsi="仿宋_GB2312" w:cs="仿宋_GB2312" w:eastAsia="仿宋_GB2312"/>
                      <w:sz w:val="18"/>
                      <w:color w:val="000000"/>
                    </w:rPr>
                    <w:t>5. 完善应急管理和应急处置技术，丰富应急经验和应急工具以应对不同场景的安全事件。</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重要时期保障服务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一年提供</w:t>
                  </w:r>
                  <w:r>
                    <w:rPr>
                      <w:rFonts w:ascii="仿宋_GB2312" w:hAnsi="仿宋_GB2312" w:cs="仿宋_GB2312" w:eastAsia="仿宋_GB2312"/>
                      <w:sz w:val="18"/>
                      <w:color w:val="000000"/>
                    </w:rPr>
                    <w:t>2次，在重大活动期间【重要会议、以及重要节假日】执行对所有业务支持系统及门户网站的7*24小时安全监控，重点监控影响到系统稳定安全运行的重点安全事件的发生，包括安全攻击（重点包括DOS攻击、恶意木马、病毒攻击等）、关键敏感数据泄露等，并提供安全事故应急响应技术保障，在任一系统任一安全隐患发生时，及时启动响应的应急预案。</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应急响应和处置服务</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年内不限次数，在发生确切的安全事件时，应急响应实施人员及时采取行动限制事件扩散和影响的范围，限制潜在的损失与破坏服务基础上，实施人员协助客户检查所有受影响的系统，在准确判断安全事件原因的基础上，提出基于安全事件整体安全解决方案，排除系统安全风险并协助追查事件来源、提出解决方案、协助后续处置。</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1、服务期：服务期为12 个月，从签订合同的当日开始算起。</w:t>
            </w:r>
          </w:p>
          <w:p>
            <w:pPr>
              <w:pStyle w:val="null3"/>
              <w:spacing w:after="120"/>
              <w:ind w:firstLine="480"/>
              <w:jc w:val="left"/>
            </w:pPr>
            <w:r>
              <w:rPr>
                <w:rFonts w:ascii="仿宋_GB2312" w:hAnsi="仿宋_GB2312" w:cs="仿宋_GB2312" w:eastAsia="仿宋_GB2312"/>
                <w:sz w:val="24"/>
              </w:rPr>
              <w:t>2、服务地点：东方市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用户需求响应表 其他材料 中小企业声明函 残疾人福利性单位声明函 供应商应提交的相关证明材料 自觉抵制政府采购领域商业贿赂行为承诺书 法定代表人资格证明书或法定代表人授权委托书 封面 与参与本项目的供应商之间，单位负责人不为同一人，也不存在直接控股、管理关系的承诺书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用户需求响应表 其他材料 中小企业声明函 残疾人福利性单位声明函 供应商应提交的相关证明材料 自觉抵制政府采购领域商业贿赂行为承诺书 封面 法定代表人资格证明书或法定代表人授权委托书 与参与本项目的供应商之间，单位负责人不为同一人，也不存在直接控股、管理关系的承诺书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根据投标人提供的总体实施方案进行评分，内容包含但不限于： （1）整体需求分析； （2）总体实施计划； （3）整体工作流程； （4）运维管理体系； （5）项目质量保障措施； 方案中包含以上5个要素且上述内容完整、切实可行的得11分，每缺少一项扣2.2分，有一处缺陷扣0.5分，本项满分11分。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运维实施方案1</w:t>
            </w:r>
          </w:p>
        </w:tc>
        <w:tc>
          <w:tcPr>
            <w:tcW w:type="dxa" w:w="2492"/>
          </w:tcPr>
          <w:p>
            <w:pPr>
              <w:pStyle w:val="null3"/>
              <w:jc w:val="both"/>
            </w:pPr>
            <w:r>
              <w:rPr>
                <w:rFonts w:ascii="仿宋_GB2312" w:hAnsi="仿宋_GB2312" w:cs="仿宋_GB2312" w:eastAsia="仿宋_GB2312"/>
              </w:rPr>
              <w:t>根据投标人对本项目的“软硬件基础设施运维”内容部分拟定的运维实施方案进行评分，内容包含但不限于： （1）需求分析； （2）实施计划； （3）工作流程； （4）配合协调与纠纷处理方案； （5）项目质量保障措施； 方案中包含以上5个要素且上述内容完整、切实可行的得11分，每缺少一项扣2.2分，有一处缺陷扣0.5分，本项满分11分。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运维实施方案2</w:t>
            </w:r>
          </w:p>
        </w:tc>
        <w:tc>
          <w:tcPr>
            <w:tcW w:type="dxa" w:w="2492"/>
          </w:tcPr>
          <w:p>
            <w:pPr>
              <w:pStyle w:val="null3"/>
              <w:jc w:val="both"/>
            </w:pPr>
            <w:r>
              <w:rPr>
                <w:rFonts w:ascii="仿宋_GB2312" w:hAnsi="仿宋_GB2312" w:cs="仿宋_GB2312" w:eastAsia="仿宋_GB2312"/>
              </w:rPr>
              <w:t>根据投标人对本项目的“需优化业务需求的应用系统”内容部分拟定的实施方案进行评分，内容包含但不限于： （1）需求分析； （2）实施计划； （3）配合协调与纠纷处理方案； （4）运维管理体系； （5）项目质量保障措施； 方案中包含以上5个要素且上述内容完整、切实可行的得11分，每缺少一项扣2.2分，有一处缺陷扣0.5分，本项满分11分。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运维实施方案3</w:t>
            </w:r>
          </w:p>
        </w:tc>
        <w:tc>
          <w:tcPr>
            <w:tcW w:type="dxa" w:w="2492"/>
          </w:tcPr>
          <w:p>
            <w:pPr>
              <w:pStyle w:val="null3"/>
              <w:jc w:val="both"/>
            </w:pPr>
            <w:r>
              <w:rPr>
                <w:rFonts w:ascii="仿宋_GB2312" w:hAnsi="仿宋_GB2312" w:cs="仿宋_GB2312" w:eastAsia="仿宋_GB2312"/>
              </w:rPr>
              <w:t>根据投标人对本项目的“其他运维需求”内容部分拟定的实施方案进行评分，内容包含但不限于： （1）需求分析； （2）实施计划； （3）配合协调与纠纷处理方案； （4）运维管理体系； （5）项目质量保障措施； 方案中包含以上5个要素且上述内容完整、切实可行的得11分，每缺少一项扣2.2分，有一处缺陷扣0.5分，本项满分11分。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项目重点难点分析及应对措施</w:t>
            </w:r>
          </w:p>
        </w:tc>
        <w:tc>
          <w:tcPr>
            <w:tcW w:type="dxa" w:w="2492"/>
          </w:tcPr>
          <w:p>
            <w:pPr>
              <w:pStyle w:val="null3"/>
              <w:jc w:val="both"/>
            </w:pPr>
            <w:r>
              <w:rPr>
                <w:rFonts w:ascii="仿宋_GB2312" w:hAnsi="仿宋_GB2312" w:cs="仿宋_GB2312" w:eastAsia="仿宋_GB2312"/>
              </w:rPr>
              <w:t>根据投标人结合项目情况预计的重点难点及相应应对措施进行评分，内容包含但不限于： （1）重点难点列举及分析； （2）针对重点难点的应对措施； 方案中包含以上2个要素且上述内容完整、切实可行的得6分，每缺少一项扣3分，有一处缺陷扣0.5分，本项满分6分。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运维保障承诺</w:t>
            </w:r>
          </w:p>
        </w:tc>
        <w:tc>
          <w:tcPr>
            <w:tcW w:type="dxa" w:w="2492"/>
          </w:tcPr>
          <w:p>
            <w:pPr>
              <w:pStyle w:val="null3"/>
              <w:jc w:val="both"/>
            </w:pPr>
            <w:r>
              <w:rPr>
                <w:rFonts w:ascii="仿宋_GB2312" w:hAnsi="仿宋_GB2312" w:cs="仿宋_GB2312" w:eastAsia="仿宋_GB2312"/>
              </w:rPr>
              <w:t>投标人提供保证新增或更换设备符合国家标准和行业标准并与现有正常使用设备做到互联互通的承诺书得4分，未提供或少提供不得分。（有关技术壁垒由投标人自行与厂商协商，厂商包括：海康、大华、华为、绿盟、科达和宇视，承诺书格式自拟）</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项目经理实力</w:t>
            </w:r>
          </w:p>
        </w:tc>
        <w:tc>
          <w:tcPr>
            <w:tcW w:type="dxa" w:w="2492"/>
          </w:tcPr>
          <w:p>
            <w:pPr>
              <w:pStyle w:val="null3"/>
              <w:jc w:val="both"/>
            </w:pPr>
            <w:r>
              <w:rPr>
                <w:rFonts w:ascii="仿宋_GB2312" w:hAnsi="仿宋_GB2312" w:cs="仿宋_GB2312" w:eastAsia="仿宋_GB2312"/>
              </w:rPr>
              <w:t>项目经理具有信息系统项目管理师证书的得3分。证明材料：提供证书及本单位2024年至今任意3个月的社保记录证明复印件加盖公章，未提供不得分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投标人在招标文件要求的4人驻场基础上，每承诺多增加1人驻场的得2分，满分8分。（提供承诺书，格式自拟） 驻场成员提供1名具有信息系统项目管理师证书的得2分、提供1名具有信息安全工程师证书的得2分、提供1名具有网络工程师证书的得2分、提供1名具有注册信息安全工程师(CISP)证书的得2分、提供1名具有ITSS IT服务项目经理证书的得2分，满分10分。（一人至少一证，一人多证计一次，同一人员不参与多个证书评分，重复证书计一次） 证明材料：提供证书及本单位2024年至今任意3个月的社保记录证明复印件加盖公章，未提供不得分。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投标人具有ISO9001质量管理体系认证证书、OHSAS18001职业健康管理体系认证证书（或ISO45001职业健康和安全管理体认证证书）、ISO20000信息技术服务管理体系认证证书，每项证书得3分，满分9分。（提供证书复印件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同类项目经验</w:t>
            </w:r>
          </w:p>
        </w:tc>
        <w:tc>
          <w:tcPr>
            <w:tcW w:type="dxa" w:w="2492"/>
          </w:tcPr>
          <w:p>
            <w:pPr>
              <w:pStyle w:val="null3"/>
              <w:jc w:val="both"/>
            </w:pPr>
            <w:r>
              <w:rPr>
                <w:rFonts w:ascii="仿宋_GB2312" w:hAnsi="仿宋_GB2312" w:cs="仿宋_GB2312" w:eastAsia="仿宋_GB2312"/>
              </w:rPr>
              <w:t>2022年1月1日（以合同签订最后签署日期为准）以来，投标人有同类项目业绩，每项2分，满分6分。 （提供合同复印件并加盖公章,）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根据投标人提供的总体实施方案进行评分，内容包含但不限于： （1）整体需求分析； （2）总体实施计划； （3）整体工作流程； （4）项目管理及实施团队结构；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根据投标人提供的项目管理方案进行评分，内容包含但不限于： （1）项目组织及职责分工； （2）项目任务分析和进度计划； （3）项目的沟通和协调； （4）项目实施过程中的风险及应对措施；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详细技术方案</w:t>
            </w:r>
          </w:p>
        </w:tc>
        <w:tc>
          <w:tcPr>
            <w:tcW w:type="dxa" w:w="2492"/>
          </w:tcPr>
          <w:p>
            <w:pPr>
              <w:pStyle w:val="null3"/>
              <w:jc w:val="both"/>
            </w:pPr>
            <w:r>
              <w:rPr>
                <w:rFonts w:ascii="仿宋_GB2312" w:hAnsi="仿宋_GB2312" w:cs="仿宋_GB2312" w:eastAsia="仿宋_GB2312"/>
              </w:rPr>
              <w:t>根据投标人提供的针对本项目的详细技术方案方案进行评分，内容包含但不限于： （1）质量管理体系； （2）实施过程中的质量监控措施； （3）项目各阶段文档的规范性管理； （4）项目质量保障措施；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质量管理方案</w:t>
            </w:r>
          </w:p>
        </w:tc>
        <w:tc>
          <w:tcPr>
            <w:tcW w:type="dxa" w:w="2492"/>
          </w:tcPr>
          <w:p>
            <w:pPr>
              <w:pStyle w:val="null3"/>
              <w:jc w:val="both"/>
            </w:pPr>
            <w:r>
              <w:rPr>
                <w:rFonts w:ascii="仿宋_GB2312" w:hAnsi="仿宋_GB2312" w:cs="仿宋_GB2312" w:eastAsia="仿宋_GB2312"/>
              </w:rPr>
              <w:t>根据投标人提供的针对本项目的质量管理方案进行评分，内容包含但不限于： （1）质量管理体系； （2）实施过程中的质量监控措施； （3）项目各阶段文档的规范性管理； （4）项目质量保障措施； 方案中包含以上4个要素且上述内容完整、切实可行的得12分，每缺少一项扣3分，有一处缺陷扣0.5分，本项满分12分。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测评资源配备</w:t>
            </w:r>
          </w:p>
        </w:tc>
        <w:tc>
          <w:tcPr>
            <w:tcW w:type="dxa" w:w="2492"/>
          </w:tcPr>
          <w:p>
            <w:pPr>
              <w:pStyle w:val="null3"/>
              <w:jc w:val="both"/>
            </w:pPr>
            <w:r>
              <w:rPr>
                <w:rFonts w:ascii="仿宋_GB2312" w:hAnsi="仿宋_GB2312" w:cs="仿宋_GB2312" w:eastAsia="仿宋_GB2312"/>
              </w:rPr>
              <w:t>具有自动化渗透测试系统、软件性能测试工具、安全评估系统、软件源代码安全扫描工具、软件应用层安全扫描工具，每具有1个得3分，本项最高15分。（须提供购置合同复印件，并加盖公章）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1.具有中国网络安全审查技术与认证中心颁发的信息安全服务资质认证证书,得2分，无则0分。 2.具有ISO9001质量管理体系认证证书,得2分，无则0分。 3.供应商需具有中国合格评定国家认可委员会（CNAS）颁发的检验机构认可证书（含CNAS实验室认可证书）（认可的检测能力范围包括通用应用软件）或省级以上（含省、自治区、直辖市）质量监督部门颁发的检验检测机构资质认定证书（CMA）（能力范围包括计算机信息系统），提供有效证书的扫描件加盖投标人公章,得2分，无则0分。 提供相关证明文件复印件加盖公章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本项目负责人技术能力</w:t>
            </w:r>
          </w:p>
        </w:tc>
        <w:tc>
          <w:tcPr>
            <w:tcW w:type="dxa" w:w="2492"/>
          </w:tcPr>
          <w:p>
            <w:pPr>
              <w:pStyle w:val="null3"/>
              <w:jc w:val="both"/>
            </w:pPr>
            <w:r>
              <w:rPr>
                <w:rFonts w:ascii="仿宋_GB2312" w:hAnsi="仿宋_GB2312" w:cs="仿宋_GB2312" w:eastAsia="仿宋_GB2312"/>
              </w:rPr>
              <w:t>项目负责人具有： （1）具有通过全国计算机技术与软件专业技术资格（水平）考试信息系统项目管理师证书得3分。 （需提供相关证书及以上人员2023年任意1个月社保证明材料，社保缴纳人应为投标人）。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本项目团队人员能力</w:t>
            </w:r>
          </w:p>
        </w:tc>
        <w:tc>
          <w:tcPr>
            <w:tcW w:type="dxa" w:w="2492"/>
          </w:tcPr>
          <w:p>
            <w:pPr>
              <w:pStyle w:val="null3"/>
              <w:jc w:val="both"/>
            </w:pPr>
            <w:r>
              <w:rPr>
                <w:rFonts w:ascii="仿宋_GB2312" w:hAnsi="仿宋_GB2312" w:cs="仿宋_GB2312" w:eastAsia="仿宋_GB2312"/>
              </w:rPr>
              <w:t>本项目团队人员中有人员（项目负责人除外）中： 1、具有电子计算机或电子技术高级工程师（或以上）职称证书的，每具备1人得2分，最高得4分。 2、具有中国信息安全测评中心颁发的注册渗透测试工程师（CISP-PTE）证书，每具备1人得2分，最高得4分。 3、具有全国计算机技术与软件专业技术资格（水平）考试信息安全工程师证书，每具备1人得2分，最高得4分。 （需提供相关证书及以上人员2023年任意1个月社保证明材料，社保缴纳人应为投标人）。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自2022年1月1日至今具有同类项目经验。每具有1个得2分，本项最高6分。 （提供合同复印件加盖公章）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详见附件：合同112.docx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HZ2025--112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2025年度东方市公安局信息化运维保障服务项目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运行维护服务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5982908.05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HZ2025--112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2025年度东方市公安局信息化运维保障服务项目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安全运维服务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213000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详见附件：用户需求响应表</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详见附件：用户需求响应表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