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2025年万宁市建成区病媒生物防制服务项目(二次)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[HNZL]20250728001[GK]-1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万宁市卫生健康委员会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海南智来项目管理有限公司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万宁市卫生健康委员会</w:t>
      </w:r>
      <w:r>
        <w:rPr>
          <w:rFonts w:ascii="仿宋_GB2312" w:hAnsi="仿宋_GB2312" w:cs="仿宋_GB2312" w:eastAsia="仿宋_GB2312"/>
        </w:rPr>
        <w:t xml:space="preserve"> 的委托， </w:t>
      </w:r>
      <w:r>
        <w:rPr>
          <w:rFonts w:ascii="仿宋_GB2312" w:hAnsi="仿宋_GB2312" w:cs="仿宋_GB2312" w:eastAsia="仿宋_GB2312"/>
        </w:rPr>
        <w:t>海南智来项目管理有限公司</w:t>
      </w:r>
      <w:r>
        <w:rPr>
          <w:rFonts w:ascii="仿宋_GB2312" w:hAnsi="仿宋_GB2312" w:cs="仿宋_GB2312" w:eastAsia="仿宋_GB2312"/>
        </w:rPr>
        <w:t xml:space="preserve"> 对 </w:t>
      </w:r>
      <w:r>
        <w:rPr>
          <w:rFonts w:ascii="仿宋_GB2312" w:hAnsi="仿宋_GB2312" w:cs="仿宋_GB2312" w:eastAsia="仿宋_GB2312"/>
        </w:rPr>
        <w:t>2025年万宁市建成区病媒生物防制服务项目(二次)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[HNZL]20250728001[GK]-1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2025年万宁市建成区病媒生物防制服务项目(二次)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万宁市卫生健康委员会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万宁市万城镇红专西街卫健委办公楼四楼、五楼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0898-62181069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海南智来项目管理有限公司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海南省海口市美兰区海甸六西路美丽沙天汇湾T12B房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0898-31317737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90天（从提交投标文件的截止之日起算，有效期短于此规定的投标文件将被视为无效）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代理服务费收费标准：以项目的中标价为基数，参照琼价费管【2011】225号标准，向中标人收取招标代理服务费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低于成本价不正当竞争预防措施：1.在评审过程中，评标委员会认为投标人报价明显低于其他通过符合性审查投标人的报价，有可能影响产品质量或者不能诚信履约的，评标委员会应当要求其在评标现场合理的时间内提供书面说明，必要时提交相关证明材料，投标人不能证明其报价合理性的，评标委员会应当将其作为无效处理。2.投标人的书面说明材料应当按照国家财务会计制度的规定要求，逐项就投标人提供的货物、工程和服务的主营业务成本、税金及附加、销售费用、管理费用、财务费用等成本构成事项详细陈述。3.投标人书面说明应当签字确认或者加盖公章，否则无效。书面说明的签字确认，由其法定代表人或者其授权代表签字确认。4.投标人提供书面说明后，评标委员会应当结合采购项目采购需求、专业实际情况、投标人财务状况报告、与其他投标人比较情况等就投标人书面说明进行审查评价。投标人拒绝或者变相拒绝提供有效书面说明或者书面说明不能证明其报价合理性的或未在规定时间内递交有效书面说明书的，评标委员会应当将其响应文件作为无效处理。16.2中标后须由中标单位在中标后三日内提供纸质投标文件正本1份、副本3份，送至招标代理机构指定地点，提供的纸质版投标文件须采用书本式胶装，不得采用活页装订,且与参加投 标的电子版文件内容一致。）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联系电话：0898-31317737</w:t>
      </w:r>
    </w:p>
    <w:p>
      <w:pPr>
        <w:pStyle w:val="null3"/>
        <w:jc w:val="left"/>
      </w:pPr>
      <w:r>
        <w:rPr>
          <w:rFonts w:ascii="仿宋_GB2312" w:hAnsi="仿宋_GB2312" w:cs="仿宋_GB2312" w:eastAsia="仿宋_GB2312"/>
        </w:rPr>
        <w:t>地址：海南省海口市美兰区海甸六西路美丽沙天汇湾T12B房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1.项目编号：[HNZL]20250600001[GK]；</w:t>
      </w:r>
    </w:p>
    <w:p>
      <w:pPr>
        <w:pStyle w:val="null3"/>
        <w:ind w:firstLine="480"/>
        <w:jc w:val="left"/>
      </w:pPr>
      <w:r>
        <w:rPr>
          <w:rFonts w:ascii="仿宋_GB2312" w:hAnsi="仿宋_GB2312" w:cs="仿宋_GB2312" w:eastAsia="仿宋_GB2312"/>
          <w:sz w:val="24"/>
          <w:color w:val="000000"/>
        </w:rPr>
        <w:t>2.项目名称：2025年万宁市建成区病媒生物防制服务项目；</w:t>
      </w:r>
    </w:p>
    <w:p>
      <w:pPr>
        <w:pStyle w:val="null3"/>
        <w:ind w:firstLine="480"/>
        <w:jc w:val="left"/>
      </w:pPr>
      <w:r>
        <w:rPr>
          <w:rFonts w:ascii="仿宋_GB2312" w:hAnsi="仿宋_GB2312" w:cs="仿宋_GB2312" w:eastAsia="仿宋_GB2312"/>
          <w:sz w:val="24"/>
          <w:color w:val="000000"/>
        </w:rPr>
        <w:t>3.招标方式：竞争性磋商；</w:t>
      </w:r>
    </w:p>
    <w:p>
      <w:pPr>
        <w:pStyle w:val="null3"/>
        <w:ind w:firstLine="480"/>
        <w:jc w:val="left"/>
      </w:pPr>
      <w:r>
        <w:rPr>
          <w:rFonts w:ascii="仿宋_GB2312" w:hAnsi="仿宋_GB2312" w:cs="仿宋_GB2312" w:eastAsia="仿宋_GB2312"/>
          <w:sz w:val="24"/>
          <w:color w:val="000000"/>
        </w:rPr>
        <w:t>4.预算金额：¥2000000.00元，（超出采购预算金额的投标按无效投标处理）；</w:t>
      </w:r>
    </w:p>
    <w:p>
      <w:pPr>
        <w:pStyle w:val="null3"/>
        <w:ind w:firstLine="480"/>
        <w:jc w:val="left"/>
      </w:pPr>
      <w:r>
        <w:rPr>
          <w:rFonts w:ascii="仿宋_GB2312" w:hAnsi="仿宋_GB2312" w:cs="仿宋_GB2312" w:eastAsia="仿宋_GB2312"/>
          <w:sz w:val="24"/>
          <w:color w:val="000000"/>
        </w:rPr>
        <w:t>5.最高限价(如有)：¥2000000.00元；</w:t>
      </w:r>
    </w:p>
    <w:p>
      <w:pPr>
        <w:pStyle w:val="null3"/>
        <w:ind w:firstLine="480"/>
        <w:jc w:val="left"/>
      </w:pPr>
      <w:r>
        <w:rPr>
          <w:rFonts w:ascii="仿宋_GB2312" w:hAnsi="仿宋_GB2312" w:cs="仿宋_GB2312" w:eastAsia="仿宋_GB2312"/>
          <w:sz w:val="24"/>
          <w:color w:val="000000"/>
        </w:rPr>
        <w:t>6.采购需求：详见招标文件第三章《采购需求》内容；</w:t>
      </w:r>
    </w:p>
    <w:p>
      <w:pPr>
        <w:pStyle w:val="null3"/>
        <w:ind w:firstLine="480"/>
        <w:jc w:val="left"/>
      </w:pPr>
      <w:r>
        <w:rPr>
          <w:rFonts w:ascii="仿宋_GB2312" w:hAnsi="仿宋_GB2312" w:cs="仿宋_GB2312" w:eastAsia="仿宋_GB2312"/>
          <w:sz w:val="24"/>
          <w:color w:val="000000"/>
        </w:rPr>
        <w:t>7.合同履行期限（服务期限）：合同签订生效之日起1年；</w:t>
      </w:r>
    </w:p>
    <w:p>
      <w:pPr>
        <w:pStyle w:val="null3"/>
        <w:ind w:firstLine="480"/>
        <w:jc w:val="left"/>
      </w:pPr>
      <w:r>
        <w:rPr>
          <w:rFonts w:ascii="仿宋_GB2312" w:hAnsi="仿宋_GB2312" w:cs="仿宋_GB2312" w:eastAsia="仿宋_GB2312"/>
          <w:sz w:val="24"/>
          <w:color w:val="000000"/>
        </w:rPr>
        <w:t>8.本项目不接受联合体。</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万宁市建成区病媒生物防治服务项目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平方米/公里</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万宁市建成区病媒生物防治服务项目</w:t>
            </w:r>
          </w:p>
        </w:tc>
        <w:tc>
          <w:tcPr>
            <w:tcW w:type="dxa" w:w="554"/>
          </w:tcPr>
          <w:p>
            <w:pPr>
              <w:pStyle w:val="null3"/>
              <w:jc w:val="left"/>
            </w:pPr>
            <w:r>
              <w:rPr>
                <w:rFonts w:ascii="仿宋_GB2312" w:hAnsi="仿宋_GB2312" w:cs="仿宋_GB2312" w:eastAsia="仿宋_GB2312"/>
              </w:rPr>
              <w:t>平方米/公里</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标的名称：万宁市建成区病媒生物防治服务项目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2025年万宁市建成区病媒生物防制服务项目</w:t>
            </w:r>
          </w:p>
          <w:p>
            <w:pPr>
              <w:pStyle w:val="null3"/>
              <w:jc w:val="center"/>
            </w:pPr>
            <w:r>
              <w:rPr>
                <w:rFonts w:ascii="仿宋_GB2312" w:hAnsi="仿宋_GB2312" w:cs="仿宋_GB2312" w:eastAsia="仿宋_GB2312"/>
                <w:sz w:val="44"/>
              </w:rPr>
              <w:t>采购需求</w:t>
            </w:r>
          </w:p>
          <w:p>
            <w:pPr>
              <w:pStyle w:val="null3"/>
              <w:numPr>
                <w:ilvl w:val="0"/>
                <w:numId w:val="1"/>
              </w:numPr>
              <w:spacing w:after="120"/>
              <w:jc w:val="both"/>
            </w:pPr>
            <w:r>
              <w:rPr>
                <w:rFonts w:ascii="仿宋_GB2312" w:hAnsi="仿宋_GB2312" w:cs="仿宋_GB2312" w:eastAsia="仿宋_GB2312"/>
                <w:sz w:val="32"/>
              </w:rPr>
              <w:t>项目概述</w:t>
            </w:r>
          </w:p>
          <w:p>
            <w:pPr>
              <w:pStyle w:val="null3"/>
              <w:ind w:firstLine="640"/>
              <w:jc w:val="both"/>
            </w:pPr>
            <w:r>
              <w:rPr>
                <w:rFonts w:ascii="仿宋_GB2312" w:hAnsi="仿宋_GB2312" w:cs="仿宋_GB2312" w:eastAsia="仿宋_GB2312"/>
                <w:sz w:val="32"/>
              </w:rPr>
              <w:t>（一）项目名称：</w:t>
            </w:r>
            <w:r>
              <w:rPr>
                <w:rFonts w:ascii="仿宋_GB2312" w:hAnsi="仿宋_GB2312" w:cs="仿宋_GB2312" w:eastAsia="仿宋_GB2312"/>
                <w:sz w:val="32"/>
              </w:rPr>
              <w:t>2025年万宁市建成区病媒生物防制服务项目。</w:t>
            </w:r>
          </w:p>
          <w:p>
            <w:pPr>
              <w:pStyle w:val="null3"/>
              <w:ind w:firstLine="640"/>
              <w:jc w:val="both"/>
            </w:pPr>
            <w:r>
              <w:rPr>
                <w:rFonts w:ascii="仿宋_GB2312" w:hAnsi="仿宋_GB2312" w:cs="仿宋_GB2312" w:eastAsia="仿宋_GB2312"/>
                <w:sz w:val="32"/>
              </w:rPr>
              <w:t>（二）服务期限：合同签订生效之日起</w:t>
            </w:r>
            <w:r>
              <w:rPr>
                <w:rFonts w:ascii="仿宋_GB2312" w:hAnsi="仿宋_GB2312" w:cs="仿宋_GB2312" w:eastAsia="仿宋_GB2312"/>
                <w:sz w:val="32"/>
              </w:rPr>
              <w:t>1年</w:t>
            </w:r>
          </w:p>
          <w:p>
            <w:pPr>
              <w:pStyle w:val="null3"/>
              <w:ind w:firstLine="640"/>
              <w:jc w:val="both"/>
            </w:pPr>
            <w:r>
              <w:rPr>
                <w:rFonts w:ascii="仿宋_GB2312" w:hAnsi="仿宋_GB2312" w:cs="仿宋_GB2312" w:eastAsia="仿宋_GB2312"/>
                <w:sz w:val="32"/>
              </w:rPr>
              <w:t>（三）项目服务区域和范围：</w:t>
            </w:r>
          </w:p>
          <w:p>
            <w:pPr>
              <w:pStyle w:val="null3"/>
              <w:ind w:firstLine="640"/>
              <w:jc w:val="both"/>
            </w:pPr>
            <w:r>
              <w:rPr>
                <w:rFonts w:ascii="仿宋_GB2312" w:hAnsi="仿宋_GB2312" w:cs="仿宋_GB2312" w:eastAsia="仿宋_GB2312"/>
                <w:sz w:val="32"/>
              </w:rPr>
              <w:t>1、服务区域：万宁市建成区、城乡结合部区域范围（约16.685平方公里）。</w:t>
            </w:r>
          </w:p>
          <w:p>
            <w:pPr>
              <w:pStyle w:val="null3"/>
              <w:ind w:firstLine="640"/>
              <w:jc w:val="both"/>
            </w:pPr>
            <w:r>
              <w:rPr>
                <w:rFonts w:ascii="仿宋_GB2312" w:hAnsi="仿宋_GB2312" w:cs="仿宋_GB2312" w:eastAsia="仿宋_GB2312"/>
                <w:sz w:val="32"/>
              </w:rPr>
              <w:t>防制对象：老鼠、蚊子、苍蝇、蟑螂。</w:t>
            </w:r>
          </w:p>
          <w:p>
            <w:pPr>
              <w:pStyle w:val="null3"/>
              <w:ind w:firstLine="640"/>
              <w:jc w:val="both"/>
            </w:pPr>
            <w:r>
              <w:rPr>
                <w:rFonts w:ascii="仿宋_GB2312" w:hAnsi="仿宋_GB2312" w:cs="仿宋_GB2312" w:eastAsia="仿宋_GB2312"/>
                <w:sz w:val="32"/>
              </w:rPr>
              <w:t>二、服务范围</w:t>
            </w:r>
          </w:p>
          <w:p>
            <w:pPr>
              <w:pStyle w:val="null3"/>
              <w:ind w:firstLine="640"/>
              <w:jc w:val="both"/>
            </w:pPr>
            <w:r>
              <w:rPr>
                <w:rFonts w:ascii="仿宋_GB2312" w:hAnsi="仿宋_GB2312" w:cs="仿宋_GB2312" w:eastAsia="仿宋_GB2312"/>
                <w:sz w:val="32"/>
              </w:rPr>
              <w:t>以下所指服务范围包括内外环境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1）各机关、企事业单位，省驻万宁市各单位，各公立学校、医院、车站等；</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2）辖区范围内的居民区；</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3）公共区域的内外环境（农贸市场、广场、公园、绿化带、公厕、垃圾收集站点、道路、沟渠等）；</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4）无物业管理、无主管单位、无经济收入的小区</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5）200平方米以下的小饮食店、小网吧、小美容美发店、小食品店、小旅馆、小歌舞厅；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6）城区周边城乡结合部，城中村；</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7）建拆工地及其他需要服务的区域。</w:t>
            </w:r>
          </w:p>
          <w:p>
            <w:pPr>
              <w:pStyle w:val="null3"/>
              <w:ind w:firstLine="640"/>
              <w:jc w:val="both"/>
            </w:pPr>
            <w:r>
              <w:rPr>
                <w:rFonts w:ascii="仿宋_GB2312" w:hAnsi="仿宋_GB2312" w:cs="仿宋_GB2312" w:eastAsia="仿宋_GB2312"/>
                <w:sz w:val="32"/>
              </w:rPr>
              <w:t>三、防制服务标准</w:t>
            </w:r>
          </w:p>
          <w:p>
            <w:pPr>
              <w:pStyle w:val="null3"/>
              <w:ind w:firstLine="640"/>
              <w:jc w:val="both"/>
            </w:pPr>
            <w:r>
              <w:rPr>
                <w:rFonts w:ascii="仿宋_GB2312" w:hAnsi="仿宋_GB2312" w:cs="仿宋_GB2312" w:eastAsia="仿宋_GB2312"/>
                <w:sz w:val="32"/>
              </w:rPr>
              <w:t>服务区域鼠类、蚊虫、蝇类、蜚蠊的密度达到国家病媒生物密度控制水平标准</w:t>
            </w:r>
            <w:r>
              <w:rPr>
                <w:rFonts w:ascii="仿宋_GB2312" w:hAnsi="仿宋_GB2312" w:cs="仿宋_GB2312" w:eastAsia="仿宋_GB2312"/>
                <w:sz w:val="32"/>
              </w:rPr>
              <w:t>C级及以上（含C级）要求。</w:t>
            </w:r>
          </w:p>
          <w:p>
            <w:pPr>
              <w:pStyle w:val="null3"/>
              <w:ind w:firstLine="640"/>
              <w:jc w:val="both"/>
            </w:pPr>
            <w:r>
              <w:rPr>
                <w:rFonts w:ascii="仿宋_GB2312" w:hAnsi="仿宋_GB2312" w:cs="仿宋_GB2312" w:eastAsia="仿宋_GB2312"/>
                <w:sz w:val="32"/>
              </w:rPr>
              <w:t>四、防制要求</w:t>
            </w:r>
          </w:p>
          <w:p>
            <w:pPr>
              <w:pStyle w:val="null3"/>
              <w:ind w:firstLine="643"/>
              <w:jc w:val="both"/>
            </w:pPr>
            <w:r>
              <w:rPr>
                <w:rFonts w:ascii="仿宋_GB2312" w:hAnsi="仿宋_GB2312" w:cs="仿宋_GB2312" w:eastAsia="仿宋_GB2312"/>
                <w:sz w:val="32"/>
                <w:b/>
              </w:rPr>
              <w:t>（一）作业要求</w:t>
            </w:r>
          </w:p>
          <w:p>
            <w:pPr>
              <w:pStyle w:val="null3"/>
              <w:ind w:firstLine="640"/>
              <w:jc w:val="both"/>
            </w:pPr>
            <w:r>
              <w:rPr>
                <w:rFonts w:ascii="仿宋_GB2312" w:hAnsi="仿宋_GB2312" w:cs="仿宋_GB2312" w:eastAsia="仿宋_GB2312"/>
                <w:sz w:val="32"/>
              </w:rPr>
              <w:t>1、实施杀灭作业前，必须先到现场调查病媒生物的基本情况、记录详细，对病媒生物的种类、栖息部位、密度状况及孳生环境等情况有全面的了解，因地制宜地制定合理的害虫综合控制方案。</w:t>
            </w:r>
          </w:p>
          <w:p>
            <w:pPr>
              <w:pStyle w:val="null3"/>
              <w:ind w:firstLine="640"/>
              <w:jc w:val="both"/>
            </w:pPr>
            <w:r>
              <w:rPr>
                <w:rFonts w:ascii="仿宋_GB2312" w:hAnsi="仿宋_GB2312" w:cs="仿宋_GB2312" w:eastAsia="仿宋_GB2312"/>
                <w:sz w:val="32"/>
              </w:rPr>
              <w:t>2、根据控制方案备好药品器械和个人防护用品。</w:t>
            </w:r>
          </w:p>
          <w:p>
            <w:pPr>
              <w:pStyle w:val="null3"/>
              <w:ind w:firstLine="640"/>
              <w:jc w:val="both"/>
            </w:pPr>
            <w:r>
              <w:rPr>
                <w:rFonts w:ascii="仿宋_GB2312" w:hAnsi="仿宋_GB2312" w:cs="仿宋_GB2312" w:eastAsia="仿宋_GB2312"/>
                <w:sz w:val="32"/>
              </w:rPr>
              <w:t>3、实施防制作业，应遵守安全操作规定，合理用药，施药到位，保证防制效果，并防止药品污染环境。</w:t>
            </w:r>
          </w:p>
          <w:p>
            <w:pPr>
              <w:pStyle w:val="null3"/>
              <w:ind w:firstLine="640"/>
              <w:jc w:val="both"/>
            </w:pPr>
            <w:r>
              <w:rPr>
                <w:rFonts w:ascii="仿宋_GB2312" w:hAnsi="仿宋_GB2312" w:cs="仿宋_GB2312" w:eastAsia="仿宋_GB2312"/>
                <w:sz w:val="32"/>
              </w:rPr>
              <w:t>4、作业完成后应认真填写《病媒生物防制服务记录卡》并交由采购人签认，社区、市爱卫办各一份，保存备查。</w:t>
            </w:r>
          </w:p>
          <w:p>
            <w:pPr>
              <w:pStyle w:val="null3"/>
              <w:ind w:firstLine="640"/>
              <w:jc w:val="both"/>
            </w:pPr>
            <w:r>
              <w:rPr>
                <w:rFonts w:ascii="仿宋_GB2312" w:hAnsi="仿宋_GB2312" w:cs="仿宋_GB2312" w:eastAsia="仿宋_GB2312"/>
                <w:sz w:val="32"/>
              </w:rPr>
              <w:t>5、根据卫生害虫种类和有关规定，定期进行虫害密度监测和防制效果监测，监测资料及时统计、分析上报市爱卫办，并归档保存。</w:t>
            </w:r>
          </w:p>
          <w:p>
            <w:pPr>
              <w:pStyle w:val="null3"/>
              <w:ind w:firstLine="643"/>
              <w:jc w:val="both"/>
            </w:pPr>
            <w:r>
              <w:rPr>
                <w:rFonts w:ascii="仿宋_GB2312" w:hAnsi="仿宋_GB2312" w:cs="仿宋_GB2312" w:eastAsia="仿宋_GB2312"/>
                <w:sz w:val="32"/>
                <w:b/>
              </w:rPr>
              <w:t>（二）人员要求</w:t>
            </w:r>
          </w:p>
          <w:p>
            <w:pPr>
              <w:pStyle w:val="null3"/>
              <w:ind w:firstLine="640"/>
              <w:jc w:val="both"/>
            </w:pPr>
            <w:r>
              <w:rPr>
                <w:rFonts w:ascii="仿宋_GB2312" w:hAnsi="仿宋_GB2312" w:cs="仿宋_GB2312" w:eastAsia="仿宋_GB2312"/>
                <w:sz w:val="32"/>
              </w:rPr>
              <w:t>从事万宁市病媒生物防制消杀工作的人员，均需经过专业培训合格后，或取得由相关部门颁发的有害生物防制员《职业资格证书》后，方可上岗，并统一着装，持证上岗，文明服务，着装要符合防护要求。</w:t>
            </w:r>
          </w:p>
          <w:p>
            <w:pPr>
              <w:pStyle w:val="null3"/>
              <w:ind w:firstLine="643"/>
              <w:jc w:val="both"/>
            </w:pPr>
            <w:r>
              <w:rPr>
                <w:rFonts w:ascii="仿宋_GB2312" w:hAnsi="仿宋_GB2312" w:cs="仿宋_GB2312" w:eastAsia="仿宋_GB2312"/>
                <w:sz w:val="32"/>
                <w:b/>
              </w:rPr>
              <w:t>（三）药物和器械要求</w:t>
            </w:r>
          </w:p>
          <w:p>
            <w:pPr>
              <w:pStyle w:val="null3"/>
              <w:ind w:firstLine="640"/>
              <w:jc w:val="both"/>
            </w:pPr>
            <w:r>
              <w:rPr>
                <w:rFonts w:ascii="仿宋_GB2312" w:hAnsi="仿宋_GB2312" w:cs="仿宋_GB2312" w:eastAsia="仿宋_GB2312"/>
                <w:sz w:val="32"/>
              </w:rPr>
              <w:t>1、卫生害虫防制所使用的药物必须是国家规定允许使用的卫生杀虫剂（以下简称药物），其使用范围、使用剂型、浓度、剂量应符合规范要求。</w:t>
            </w:r>
          </w:p>
          <w:p>
            <w:pPr>
              <w:pStyle w:val="null3"/>
              <w:ind w:firstLine="640"/>
              <w:jc w:val="both"/>
            </w:pPr>
            <w:r>
              <w:rPr>
                <w:rFonts w:ascii="仿宋_GB2312" w:hAnsi="仿宋_GB2312" w:cs="仿宋_GB2312" w:eastAsia="仿宋_GB2312"/>
                <w:sz w:val="32"/>
              </w:rPr>
              <w:t>2、从事卫生害虫防制服务的单位应确保所使用的药物符合国家和市有关部门的现行规定。</w:t>
            </w:r>
          </w:p>
          <w:p>
            <w:pPr>
              <w:pStyle w:val="null3"/>
              <w:ind w:firstLine="640"/>
              <w:jc w:val="both"/>
            </w:pPr>
            <w:r>
              <w:rPr>
                <w:rFonts w:ascii="仿宋_GB2312" w:hAnsi="仿宋_GB2312" w:cs="仿宋_GB2312" w:eastAsia="仿宋_GB2312"/>
                <w:sz w:val="32"/>
              </w:rPr>
              <w:t>3、药物必须是国家有关主管部门批准生产（具有三证）的合格产品。药物包装应符合化工产品通用标准。严禁把农用杀虫剂、国家违禁药品用于病媒生物防制工作，药品每半年更换一次。</w:t>
            </w:r>
          </w:p>
          <w:p>
            <w:pPr>
              <w:pStyle w:val="null3"/>
              <w:ind w:firstLine="640"/>
              <w:jc w:val="both"/>
            </w:pPr>
            <w:r>
              <w:rPr>
                <w:rFonts w:ascii="仿宋_GB2312" w:hAnsi="仿宋_GB2312" w:cs="仿宋_GB2312" w:eastAsia="仿宋_GB2312"/>
                <w:sz w:val="32"/>
              </w:rPr>
              <w:t>4、不同类型药物的混合配伍用药，应注意互补增效作用，并进行相应的测试，避免两用药配伍产生拮抗作用，影响防制效果。</w:t>
            </w:r>
          </w:p>
          <w:p>
            <w:pPr>
              <w:pStyle w:val="null3"/>
              <w:ind w:firstLine="640"/>
              <w:jc w:val="both"/>
            </w:pPr>
            <w:r>
              <w:rPr>
                <w:rFonts w:ascii="仿宋_GB2312" w:hAnsi="仿宋_GB2312" w:cs="仿宋_GB2312" w:eastAsia="仿宋_GB2312"/>
                <w:sz w:val="32"/>
              </w:rPr>
              <w:t>5、药物在不同环境用于不同的防制对象，应采用相配套的喷洒器械。滞留喷洒应采用手动或背负式、手推式机动喷雾器，室内空间喷杀应采用超低容量电动喷雾机，特殊环境喷杀应采用热烟雾发生机或机动喷雾器。</w:t>
            </w:r>
          </w:p>
          <w:p>
            <w:pPr>
              <w:pStyle w:val="null3"/>
              <w:ind w:firstLine="640"/>
              <w:jc w:val="both"/>
            </w:pPr>
            <w:r>
              <w:rPr>
                <w:rFonts w:ascii="仿宋_GB2312" w:hAnsi="仿宋_GB2312" w:cs="仿宋_GB2312" w:eastAsia="仿宋_GB2312"/>
                <w:sz w:val="32"/>
              </w:rPr>
              <w:t>6、用于卫生害虫防制的药物，其性能应符合化学性质的稳定，且残效期较长：安全、高效、低毒，对人畜及环境基本无害：具有显著的击倒和致死作用等要求。</w:t>
            </w:r>
          </w:p>
          <w:p>
            <w:pPr>
              <w:pStyle w:val="null3"/>
              <w:ind w:firstLine="640"/>
              <w:jc w:val="both"/>
            </w:pPr>
            <w:r>
              <w:rPr>
                <w:rFonts w:ascii="仿宋_GB2312" w:hAnsi="仿宋_GB2312" w:cs="仿宋_GB2312" w:eastAsia="仿宋_GB2312"/>
                <w:sz w:val="32"/>
              </w:rPr>
              <w:t>7、药物必须存放在专用仓库，分类离墙离地存放，并设有专人管理，要有建全的药物采购及进出仓库的制度，不得存放过期的杀虫剂和杀鼠剂，不得存放国家禁用的杀虫剂、杀鼠剂。不得使用莓烂变质的药物。</w:t>
            </w:r>
          </w:p>
          <w:p>
            <w:pPr>
              <w:pStyle w:val="null3"/>
              <w:ind w:firstLine="640"/>
              <w:jc w:val="both"/>
            </w:pPr>
            <w:r>
              <w:rPr>
                <w:rFonts w:ascii="仿宋_GB2312" w:hAnsi="仿宋_GB2312" w:cs="仿宋_GB2312" w:eastAsia="仿宋_GB2312"/>
                <w:sz w:val="32"/>
              </w:rPr>
              <w:t>8,存放药物专用仓库，应当符合有关安全防火规定，要设置相应的通风、防爆、防火、报警等安全设施。</w:t>
            </w:r>
          </w:p>
          <w:p>
            <w:pPr>
              <w:pStyle w:val="null3"/>
              <w:numPr>
                <w:ilvl w:val="0"/>
                <w:numId w:val="2"/>
              </w:numPr>
              <w:jc w:val="both"/>
            </w:pPr>
            <w:r>
              <w:rPr>
                <w:rFonts w:ascii="仿宋_GB2312" w:hAnsi="仿宋_GB2312" w:cs="仿宋_GB2312" w:eastAsia="仿宋_GB2312"/>
                <w:sz w:val="32"/>
              </w:rPr>
              <w:t>盛装药物的容器，入库时必须检查包装是否完好无损。药品进货渠道正规，有规范、完整的药品进出记录，药品台账与药品相符。药物使用完毕，应按照环境保护法的有关规定，妥善处理。</w:t>
            </w:r>
          </w:p>
          <w:p>
            <w:pPr>
              <w:pStyle w:val="null3"/>
              <w:ind w:firstLine="643"/>
              <w:jc w:val="both"/>
            </w:pPr>
            <w:r>
              <w:rPr>
                <w:rFonts w:ascii="仿宋_GB2312" w:hAnsi="仿宋_GB2312" w:cs="仿宋_GB2312" w:eastAsia="仿宋_GB2312"/>
                <w:sz w:val="32"/>
                <w:b/>
              </w:rPr>
              <w:t>（四）消杀次数要求</w:t>
            </w:r>
          </w:p>
          <w:p>
            <w:pPr>
              <w:pStyle w:val="null3"/>
              <w:ind w:firstLine="640"/>
              <w:jc w:val="both"/>
            </w:pPr>
            <w:r>
              <w:rPr>
                <w:rFonts w:ascii="仿宋_GB2312" w:hAnsi="仿宋_GB2312" w:cs="仿宋_GB2312" w:eastAsia="仿宋_GB2312"/>
                <w:sz w:val="32"/>
              </w:rPr>
              <w:t>1、成交供应商每月对防制范围组织全面消杀两次，逢2、3、4、5、8、9、10月份每月消杀三次；</w:t>
            </w:r>
          </w:p>
          <w:p>
            <w:pPr>
              <w:pStyle w:val="null3"/>
              <w:ind w:firstLine="640"/>
              <w:jc w:val="both"/>
            </w:pPr>
            <w:r>
              <w:rPr>
                <w:rFonts w:ascii="仿宋_GB2312" w:hAnsi="仿宋_GB2312" w:cs="仿宋_GB2312" w:eastAsia="仿宋_GB2312"/>
                <w:sz w:val="32"/>
              </w:rPr>
              <w:t>2、在承包服务期限内，如遇病媒生物突发事件和应急消杀工作，中标人要第一时间到达现场，按采购人的要求进行全面防制，待防制工作结束后，由此产生的防制费用由双方协商解决。</w:t>
            </w:r>
          </w:p>
          <w:p>
            <w:pPr>
              <w:pStyle w:val="null3"/>
              <w:ind w:firstLine="643"/>
              <w:jc w:val="both"/>
            </w:pPr>
            <w:r>
              <w:rPr>
                <w:rFonts w:ascii="仿宋_GB2312" w:hAnsi="仿宋_GB2312" w:cs="仿宋_GB2312" w:eastAsia="仿宋_GB2312"/>
                <w:sz w:val="32"/>
                <w:b/>
              </w:rPr>
              <w:t>（五）安全防护</w:t>
            </w:r>
          </w:p>
          <w:p>
            <w:pPr>
              <w:pStyle w:val="null3"/>
              <w:ind w:firstLine="640"/>
              <w:jc w:val="both"/>
            </w:pPr>
            <w:r>
              <w:rPr>
                <w:rFonts w:ascii="仿宋_GB2312" w:hAnsi="仿宋_GB2312" w:cs="仿宋_GB2312" w:eastAsia="仿宋_GB2312"/>
                <w:sz w:val="32"/>
              </w:rPr>
              <w:t>1、从事卫生虫害防制从业人员必须经过职业培训，熟悉卫生杀虫器械的使用，并熟知所用药物说明书上的注意事项和急救措施，必须持有有害防制职业资格证书。</w:t>
            </w:r>
          </w:p>
          <w:p>
            <w:pPr>
              <w:pStyle w:val="null3"/>
              <w:ind w:firstLine="640"/>
              <w:jc w:val="both"/>
            </w:pPr>
            <w:r>
              <w:rPr>
                <w:rFonts w:ascii="仿宋_GB2312" w:hAnsi="仿宋_GB2312" w:cs="仿宋_GB2312" w:eastAsia="仿宋_GB2312"/>
                <w:sz w:val="32"/>
              </w:rPr>
              <w:t>2、在操作过程中必须戴防毒口罩、穿长袖衣、长裤和鞋袜，佩戴上岗证，配备解毒药品。</w:t>
            </w:r>
          </w:p>
          <w:p>
            <w:pPr>
              <w:pStyle w:val="null3"/>
              <w:ind w:firstLine="640"/>
              <w:jc w:val="both"/>
            </w:pPr>
            <w:r>
              <w:rPr>
                <w:rFonts w:ascii="仿宋_GB2312" w:hAnsi="仿宋_GB2312" w:cs="仿宋_GB2312" w:eastAsia="仿宋_GB2312"/>
                <w:sz w:val="32"/>
              </w:rPr>
              <w:t>3、防制人员应以体魄健康的中青年为宜。患皮肤病者，有禁忌症者以及“三期”（即经期、孕期、哺乳期）妇女不得从事配药、施药工作。</w:t>
            </w:r>
          </w:p>
          <w:p>
            <w:pPr>
              <w:pStyle w:val="null3"/>
              <w:ind w:firstLine="640"/>
              <w:jc w:val="both"/>
            </w:pPr>
            <w:r>
              <w:rPr>
                <w:rFonts w:ascii="仿宋_GB2312" w:hAnsi="仿宋_GB2312" w:cs="仿宋_GB2312" w:eastAsia="仿宋_GB2312"/>
                <w:sz w:val="32"/>
              </w:rPr>
              <w:t>4、药物稀释喷杀的操作人员，应熟悉药物的性质和配制方法，使用专门的量具，按要求正确配置使用。</w:t>
            </w:r>
          </w:p>
          <w:p>
            <w:pPr>
              <w:pStyle w:val="null3"/>
              <w:ind w:firstLine="640"/>
              <w:jc w:val="both"/>
            </w:pPr>
            <w:r>
              <w:rPr>
                <w:rFonts w:ascii="仿宋_GB2312" w:hAnsi="仿宋_GB2312" w:cs="仿宋_GB2312" w:eastAsia="仿宋_GB2312"/>
                <w:sz w:val="32"/>
              </w:rPr>
              <w:t>5、定期检测施药器械和所有的密封（圈）垫及断流阀，保证使用性能良好，以防发生渗漏，污染皮肤及其它现场物品；不得使用质量低劣或时有故障的器械，防止器械伤人。</w:t>
            </w:r>
          </w:p>
          <w:p>
            <w:pPr>
              <w:pStyle w:val="null3"/>
              <w:ind w:firstLine="640"/>
              <w:jc w:val="both"/>
            </w:pPr>
            <w:r>
              <w:rPr>
                <w:rFonts w:ascii="仿宋_GB2312" w:hAnsi="仿宋_GB2312" w:cs="仿宋_GB2312" w:eastAsia="仿宋_GB2312"/>
                <w:sz w:val="32"/>
              </w:rPr>
              <w:t>6、室内喷药应关掉电风扇及抽风设备。</w:t>
            </w:r>
          </w:p>
          <w:p>
            <w:pPr>
              <w:pStyle w:val="null3"/>
              <w:ind w:firstLine="640"/>
              <w:jc w:val="both"/>
            </w:pPr>
            <w:r>
              <w:rPr>
                <w:rFonts w:ascii="仿宋_GB2312" w:hAnsi="仿宋_GB2312" w:cs="仿宋_GB2312" w:eastAsia="仿宋_GB2312"/>
                <w:sz w:val="32"/>
              </w:rPr>
              <w:t>7、作业时禁止吸烟、饮酒、吃东西，不能用手擦嘴、眼睛，绝对不准互相喷射。作业后喝水、抽烟、吃东西前，必须有肥皂彻底洗手、洗脸、清水漱口。作业完毕应及时洗澡，换洗防护用品。</w:t>
            </w:r>
          </w:p>
          <w:p>
            <w:pPr>
              <w:pStyle w:val="null3"/>
              <w:ind w:firstLine="640"/>
              <w:jc w:val="both"/>
            </w:pPr>
            <w:r>
              <w:rPr>
                <w:rFonts w:ascii="仿宋_GB2312" w:hAnsi="仿宋_GB2312" w:cs="仿宋_GB2312" w:eastAsia="仿宋_GB2312"/>
                <w:sz w:val="32"/>
              </w:rPr>
              <w:t>8、施药人员每天喷药时间一般不超过6小时，使用背负式机动喷雾机、热烟雾发生机要两人轮换操作。</w:t>
            </w:r>
          </w:p>
          <w:p>
            <w:pPr>
              <w:pStyle w:val="null3"/>
              <w:ind w:firstLine="640"/>
              <w:jc w:val="both"/>
            </w:pPr>
            <w:r>
              <w:rPr>
                <w:rFonts w:ascii="仿宋_GB2312" w:hAnsi="仿宋_GB2312" w:cs="仿宋_GB2312" w:eastAsia="仿宋_GB2312"/>
                <w:sz w:val="32"/>
              </w:rPr>
              <w:t>9、当皮肤、眼睛粘有药液时，应立即有肥皂或清水冲洗；如出现头痛、头晕、恶心、呕吐等症状时，应立即离开施药现场，并及时送医院治疗。</w:t>
            </w:r>
          </w:p>
          <w:p>
            <w:pPr>
              <w:pStyle w:val="null3"/>
              <w:ind w:firstLine="640"/>
              <w:jc w:val="both"/>
            </w:pPr>
            <w:r>
              <w:rPr>
                <w:rFonts w:ascii="仿宋_GB2312" w:hAnsi="仿宋_GB2312" w:cs="仿宋_GB2312" w:eastAsia="仿宋_GB2312"/>
                <w:sz w:val="32"/>
              </w:rPr>
              <w:t>10、施药结束后，应及时清洗器械，盛药的空瓶或容器应集中处理，不得任意丢弃或作它用。未用完的药液或崐药剂应加上标签，运回仓库妥善保管。</w:t>
            </w:r>
          </w:p>
          <w:p>
            <w:pPr>
              <w:pStyle w:val="null3"/>
              <w:ind w:firstLine="640"/>
              <w:jc w:val="both"/>
            </w:pPr>
            <w:r>
              <w:rPr>
                <w:rFonts w:ascii="仿宋_GB2312" w:hAnsi="仿宋_GB2312" w:cs="仿宋_GB2312" w:eastAsia="仿宋_GB2312"/>
                <w:sz w:val="32"/>
              </w:rPr>
              <w:t>11、在作业过程中，作业人员出现安全事故由中标人全权负责。</w:t>
            </w:r>
          </w:p>
          <w:p>
            <w:pPr>
              <w:pStyle w:val="null3"/>
              <w:ind w:firstLine="643"/>
              <w:jc w:val="both"/>
            </w:pPr>
            <w:r>
              <w:rPr>
                <w:rFonts w:ascii="仿宋_GB2312" w:hAnsi="仿宋_GB2312" w:cs="仿宋_GB2312" w:eastAsia="仿宋_GB2312"/>
                <w:sz w:val="32"/>
                <w:b/>
              </w:rPr>
              <w:t>（六）服务组织实施方案</w:t>
            </w:r>
          </w:p>
          <w:p>
            <w:pPr>
              <w:pStyle w:val="null3"/>
              <w:ind w:firstLine="640"/>
              <w:jc w:val="both"/>
            </w:pPr>
            <w:r>
              <w:rPr>
                <w:rFonts w:ascii="仿宋_GB2312" w:hAnsi="仿宋_GB2312" w:cs="仿宋_GB2312" w:eastAsia="仿宋_GB2312"/>
                <w:sz w:val="32"/>
              </w:rPr>
              <w:t>成交供应商须制定完整、可行、详细的消杀服务组织实施方案，明确组织机构、人员配备、消杀要求、安全措施、奖惩措施、应急预案等。</w:t>
            </w:r>
          </w:p>
          <w:p>
            <w:pPr>
              <w:pStyle w:val="null3"/>
              <w:ind w:firstLine="643"/>
              <w:jc w:val="both"/>
            </w:pPr>
            <w:r>
              <w:rPr>
                <w:rFonts w:ascii="仿宋_GB2312" w:hAnsi="仿宋_GB2312" w:cs="仿宋_GB2312" w:eastAsia="仿宋_GB2312"/>
                <w:sz w:val="32"/>
                <w:b/>
              </w:rPr>
              <w:t>（七）项目考核验收</w:t>
            </w:r>
          </w:p>
          <w:p>
            <w:pPr>
              <w:pStyle w:val="null3"/>
              <w:ind w:firstLine="640"/>
              <w:jc w:val="both"/>
            </w:pPr>
            <w:r>
              <w:rPr>
                <w:rFonts w:ascii="仿宋_GB2312" w:hAnsi="仿宋_GB2312" w:cs="仿宋_GB2312" w:eastAsia="仿宋_GB2312"/>
                <w:sz w:val="32"/>
              </w:rPr>
              <w:t>万宁市建成区、城乡结合部病媒生物考核评估工作，由采购单位聘请第三方专业评估机构对万宁市病媒生物防制工作进行效果评估，考核评估结果作为向供应商付款的依据。考核评估结果，在检查后的</w:t>
            </w:r>
            <w:r>
              <w:rPr>
                <w:rFonts w:ascii="仿宋_GB2312" w:hAnsi="仿宋_GB2312" w:cs="仿宋_GB2312" w:eastAsia="仿宋_GB2312"/>
                <w:sz w:val="32"/>
              </w:rPr>
              <w:t>10个工作日内，以书面形式通报给供应商（紧急情况下，现场口头通报）。供应商要针对存在的问题，及时落实整改。并在规定的期限内将整改情况以书面反馈给采购单位。供应商也要自行做到经常性地进行自我检查和监测，确保万宁市内外环境病媒生物密度控制在国家病媒生物控制水平 C 级标准之内。</w:t>
            </w:r>
          </w:p>
          <w:p>
            <w:pPr>
              <w:pStyle w:val="null3"/>
              <w:ind w:firstLine="640"/>
              <w:jc w:val="both"/>
            </w:pPr>
            <w:r>
              <w:rPr>
                <w:rFonts w:ascii="仿宋_GB2312" w:hAnsi="仿宋_GB2312" w:cs="仿宋_GB2312" w:eastAsia="仿宋_GB2312"/>
                <w:sz w:val="32"/>
              </w:rPr>
              <w:t>五、</w:t>
            </w:r>
            <w:r>
              <w:rPr>
                <w:rFonts w:ascii="仿宋_GB2312" w:hAnsi="仿宋_GB2312" w:cs="仿宋_GB2312" w:eastAsia="仿宋_GB2312"/>
                <w:sz w:val="32"/>
                <w:color w:val="000000"/>
              </w:rPr>
              <w:t>其他要求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为做好此项工作，要求成交供应商在合同期限内所投入的作业技术人员不得少于12名，其中至少有2名取得相关部门颁发的病媒生物（有害生物）职业技术资格证书的专业技术员。并且要保证24小时有人员值班，24小时接受采购人的监督、检查。</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2）调查摸底，建立台账。每月进行一次病媒生物孳生地调查，并登记建册，制定病媒生物孳生地的处理计划。</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每月监测一次病媒生物密度，密切关注病媒生物孳生和密度情况，制定工作计划。原则上一般单位每月至少全面消杀2轮次，重点单位每月至少全面消杀3轮次，对各类雨水井、雨污水井、大型水体及无法清除的积水等每月投放 1 次球形芽孢杆菌，以控制蚊幼孳生。</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清理病媒生物防制孳生地和栖息地，原则上每日巡查，发现小型“四害”孳生地及时清除，如堵鼠洞、翻盆倒罐、填埋小坑小洼、清除易积水小容器如塑料瓶、易拉罐、椰子壳、一次性快餐盒等；对暴露垃圾、杂物乱堆乱放、大量废旧轮胎等需要相关部门配合清除的“四害”孳生地，上报市爱卫办协调相关单位协同处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5）及时报送相关工作材料：消杀记录、病媒生物密度监测、病媒生物孳生地调查和处理情况等，每月30日前上报市爱卫办。</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6）供应商成交后当月必须在采购人所在地（万宁市）设有</w:t>
            </w:r>
            <w:r>
              <w:rPr>
                <w:rFonts w:ascii="仿宋_GB2312" w:hAnsi="仿宋_GB2312" w:cs="仿宋_GB2312" w:eastAsia="仿宋_GB2312"/>
                <w:sz w:val="30"/>
              </w:rPr>
              <w:t>办公服务场地，办公场地必须具备办公、食宿、仓库等功能，供应商在万宁市的办公场地租赁期从投标之月起不得少于一年。</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7）成交供应商必须配合好采购人交办的与此项工作有关联的任务。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8）成交供应商应安排专业技术人员每月对服务区域内的不同行业、不同单位进行巡查指导工作。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9）若出现有投诉情况，成交供应商必须在3小时内做出响应，24小时内指派作业服务人员到达所投诉现场处理问题。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10）成交供应商实施作业服务后，必须做到经常性地自我检查和监测，做好病媒孳生地调查并把服务区域病媒生物密度控制在国家规定的C级标准之内。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11）成交供应商进场实施病媒生物防制工作的作业记录、巡查记录、现场照片、药剂器械出入库记录、监测密度记录、病媒孳生地调查报告等按月报送采购人，年度工作总结、技术实施方案、报告等资料必须整理形成竣工验收资料交于采购人。</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12）成交供应商将该服务合同转包或部分分包给第三者，采购人将终止合同，经济损失和法律责任由中标单位承担。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13）实施作业过程中，出现的所有安全责任均由成交供应商全权负责，与采购人无关。</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14）为做好此项工作，成交供应商必须履行或具备采购人提出的以上要求条件，否则采购人有权拒签或终止合同，经济损失和法律责任由中标单位承担。</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both"/>
            </w:pPr>
            <w:r>
              <w:rPr>
                <w:rFonts w:ascii="仿宋_GB2312" w:hAnsi="仿宋_GB2312" w:cs="仿宋_GB2312" w:eastAsia="仿宋_GB2312"/>
                <w:sz w:val="32"/>
                <w:b/>
              </w:rPr>
              <w:t>（一）服务期限、经费说明及承包方式</w:t>
            </w:r>
          </w:p>
          <w:p>
            <w:pPr>
              <w:pStyle w:val="null3"/>
              <w:ind w:firstLine="640"/>
              <w:jc w:val="both"/>
            </w:pPr>
            <w:r>
              <w:rPr>
                <w:rFonts w:ascii="仿宋_GB2312" w:hAnsi="仿宋_GB2312" w:cs="仿宋_GB2312" w:eastAsia="仿宋_GB2312"/>
                <w:sz w:val="32"/>
                <w:color w:val="000000"/>
              </w:rPr>
              <w:t>1、本项目服务期限为合同签订生效之日起1年，经费总额为</w:t>
            </w:r>
            <w:r>
              <w:rPr>
                <w:rFonts w:ascii="仿宋_GB2312" w:hAnsi="仿宋_GB2312" w:cs="仿宋_GB2312" w:eastAsia="仿宋_GB2312"/>
                <w:u w:val="single"/>
              </w:rPr>
              <w:t xml:space="preserve"> </w:t>
            </w:r>
            <w:r>
              <w:rPr>
                <w:rFonts w:ascii="仿宋_GB2312" w:hAnsi="仿宋_GB2312" w:cs="仿宋_GB2312" w:eastAsia="仿宋_GB2312"/>
                <w:sz w:val="32"/>
                <w:color w:val="000000"/>
                <w:u w:val="single"/>
              </w:rPr>
              <w:t>200</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2、采用全包干形式，即业务包干、经费包干。中标人按采购人的管理要求和标准组织病媒防制工作，并接受采购人的指导、监督。</w:t>
            </w:r>
          </w:p>
          <w:p>
            <w:pPr>
              <w:pStyle w:val="null3"/>
              <w:ind w:firstLine="640"/>
              <w:jc w:val="both"/>
            </w:pPr>
            <w:r>
              <w:rPr>
                <w:rFonts w:ascii="仿宋_GB2312" w:hAnsi="仿宋_GB2312" w:cs="仿宋_GB2312" w:eastAsia="仿宋_GB2312"/>
                <w:sz w:val="32"/>
                <w:color w:val="000000"/>
              </w:rPr>
              <w:t>3、中标人正式进场服务前，若采购人委托代管公司提供病媒生物防制服务工作，代管费用由中标人以合同金额为计费基数(即合同中标价月均价)支付给代管公司。</w:t>
            </w:r>
          </w:p>
          <w:p>
            <w:pPr>
              <w:pStyle w:val="null3"/>
              <w:ind w:firstLine="643"/>
              <w:jc w:val="both"/>
            </w:pPr>
            <w:r>
              <w:rPr>
                <w:rFonts w:ascii="仿宋_GB2312" w:hAnsi="仿宋_GB2312" w:cs="仿宋_GB2312" w:eastAsia="仿宋_GB2312"/>
                <w:sz w:val="32"/>
                <w:b/>
              </w:rPr>
              <w:t>（二）付款方式、时间</w:t>
            </w:r>
          </w:p>
          <w:p>
            <w:pPr>
              <w:pStyle w:val="null3"/>
              <w:ind w:firstLine="640"/>
              <w:jc w:val="both"/>
            </w:pPr>
            <w:r>
              <w:rPr>
                <w:rFonts w:ascii="仿宋_GB2312" w:hAnsi="仿宋_GB2312" w:cs="仿宋_GB2312" w:eastAsia="仿宋_GB2312"/>
                <w:sz w:val="32"/>
              </w:rPr>
              <w:t>市财政资金到位后，甲方根据项目进度情况，分阶段进行付款，具体支付方式如下：</w:t>
            </w:r>
          </w:p>
          <w:p>
            <w:pPr>
              <w:pStyle w:val="null3"/>
              <w:ind w:firstLine="640"/>
              <w:jc w:val="both"/>
            </w:pPr>
            <w:r>
              <w:rPr>
                <w:rFonts w:ascii="仿宋_GB2312" w:hAnsi="仿宋_GB2312" w:cs="仿宋_GB2312" w:eastAsia="仿宋_GB2312"/>
                <w:sz w:val="32"/>
              </w:rPr>
              <w:t>1.第一阶段，合同签订10个工作日内，乙方正式进场开展病媒生物防制服务工作，甲方在市财政资金到位后向乙方支付合同金额30%的预付款；</w:t>
            </w:r>
          </w:p>
          <w:p>
            <w:pPr>
              <w:pStyle w:val="null3"/>
              <w:ind w:firstLine="640"/>
              <w:jc w:val="both"/>
            </w:pPr>
            <w:r>
              <w:rPr>
                <w:rFonts w:ascii="仿宋_GB2312" w:hAnsi="仿宋_GB2312" w:cs="仿宋_GB2312" w:eastAsia="仿宋_GB2312"/>
                <w:sz w:val="32"/>
              </w:rPr>
              <w:t>2.第二阶段，进场服务6个月后，按工作进度，病媒生物预防控制工作开展第二阶段，期间通过第三方评估机构对病媒生物防治效果考核评估合格后，甲方向乙方支付合同服务款的20%；</w:t>
            </w:r>
          </w:p>
          <w:p>
            <w:pPr>
              <w:pStyle w:val="null3"/>
              <w:ind w:firstLine="640"/>
              <w:jc w:val="both"/>
            </w:pPr>
            <w:r>
              <w:rPr>
                <w:rFonts w:ascii="仿宋_GB2312" w:hAnsi="仿宋_GB2312" w:cs="仿宋_GB2312" w:eastAsia="仿宋_GB2312"/>
                <w:sz w:val="32"/>
              </w:rPr>
              <w:t>3.第三阶段，进场服务9个月后，按工作进度，病媒生物预防控制工作进行第三阶段，甲方向乙方支付合同服务款的20%；</w:t>
            </w:r>
          </w:p>
          <w:p>
            <w:pPr>
              <w:pStyle w:val="null3"/>
              <w:jc w:val="both"/>
            </w:pPr>
            <w:r>
              <w:rPr>
                <w:rFonts w:ascii="仿宋_GB2312" w:hAnsi="仿宋_GB2312" w:cs="仿宋_GB2312" w:eastAsia="仿宋_GB2312"/>
                <w:sz w:val="32"/>
              </w:rPr>
              <w:t>4.第四阶段，合同期结束，病媒生物预防控制工作尾款，与本项目到期前30天内，经省级爱卫专家或第三方评估机构对病媒生物防治效果考核评估合格后，甲方向乙方支付合同服务款的30%。</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采购标的物需按照国家相关标准、行业标准、地方标准或者其他标准、规范执行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其他材料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其他材料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其他材料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 供应商应提交的相关证明材料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对工作重难点的理解和把握程度</w:t>
            </w:r>
          </w:p>
        </w:tc>
        <w:tc>
          <w:tcPr>
            <w:tcW w:type="dxa" w:w="2492"/>
          </w:tcPr>
          <w:p>
            <w:pPr>
              <w:pStyle w:val="null3"/>
              <w:jc w:val="left"/>
            </w:pPr>
            <w:r>
              <w:rPr>
                <w:rFonts w:ascii="仿宋_GB2312" w:hAnsi="仿宋_GB2312" w:cs="仿宋_GB2312" w:eastAsia="仿宋_GB2312"/>
              </w:rPr>
              <w:t>根据供应商提供的对工作重难点的理解和把握程度（包括但不限于对本项目的认识和了解以及针对本项目的现状分析、项目的难点及解决方案）进行综合评审： （1）理解程度深入且清晰，分析科学合理，内容详细，对本项目针对性强的，得14分；（2）理解程度较高，分析合理，内容完整，对本项目具有针对性的，得11分；（3）理解程度一般，分析欠合理，内容简单，对本项目针对性一般的，得8分；（4）理解粗浅，分析存在缺陷，内容简单，对本项目针对性较弱的，得5分； （5）不提供不得分。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根据供应商提供的实施方案与技术措施（包括但不限于工作部署、制定的服务流程等）进行评审： 1、实施方案与技术措施科学合理，适用性强，思路清晰，内容全面，能够根据实际情况制订，满足采购人的需要，实施过程务实，得14分；2、实施方案与技术措施科学合理性较强，适用性较强，思路较清晰，内容较全面，能够根据实际情况制订，能够满足采购人的需要，实施过程较务实，得11分；3、实施方案与技术措施科学合理性一般，适用性一般，思路不够清晰，内容一般，基本满足采购人的需要，得8分；4、实施方案与技术措施科学合理性较差，适用性较差，不能满足采购人的需要，得5分；5、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工作进度计划</w:t>
            </w:r>
          </w:p>
        </w:tc>
        <w:tc>
          <w:tcPr>
            <w:tcW w:type="dxa" w:w="2492"/>
          </w:tcPr>
          <w:p>
            <w:pPr>
              <w:pStyle w:val="null3"/>
              <w:jc w:val="left"/>
            </w:pPr>
            <w:r>
              <w:rPr>
                <w:rFonts w:ascii="仿宋_GB2312" w:hAnsi="仿宋_GB2312" w:cs="仿宋_GB2312" w:eastAsia="仿宋_GB2312"/>
              </w:rPr>
              <w:t>根据供应商提供的工作进度计划（①进度保证措施；②进度控制方法；③进度计划实施等）进行综合评审：（1）方案科学性、合理性、可执行性强，完全满足用户需求的，得14分；（2）方案科学性、合理性、可执行性较强，满足用户需求的，得11分；（3）方案科学性、合理性、可执行性一般，基本满足用户需求的，得8分； （4）方案科学性、合理性、可执行性较差，不满足用户需求的，得5分；（5）不提供不得分。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根据供应商提供的服务质量保证方案（包括但不限于服务质量措施、服务质量承诺等）进行综合评审：（1）内容合理性、科学性、针对性高，得14分；（2）内容合理性、科学性、针对性较高，得11分；（3）内容合理性、科学性、针对性一般，得8分；（4）内容合理性、科学性、针对性较弱，得5分；（5）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安全保障及应急方案</w:t>
            </w:r>
          </w:p>
        </w:tc>
        <w:tc>
          <w:tcPr>
            <w:tcW w:type="dxa" w:w="2492"/>
          </w:tcPr>
          <w:p>
            <w:pPr>
              <w:pStyle w:val="null3"/>
              <w:jc w:val="left"/>
            </w:pPr>
            <w:r>
              <w:rPr>
                <w:rFonts w:ascii="仿宋_GB2312" w:hAnsi="仿宋_GB2312" w:cs="仿宋_GB2312" w:eastAsia="仿宋_GB2312"/>
              </w:rPr>
              <w:t>根据供应商提供的安全保障及应急方案（包括但不限于突发事件分析及应对措施、应急人员安排等）进行综合评审：（1）内容合理性、科学性、针对性高，得14分；（2）内容合理性、科学性、针对性较高，得11分；（3）内容合理性、科学性、针对性一般，得8分； （4）内容合理性、科学性、针对性较弱，得5分；（5）不提供不得分。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供应商自2022年1月1日至今承接过类似项目的，每提供一份业绩得10分，本项满分20分。 证明材料：提供该业绩的合同复印件并加盖公章（时间以签订为准）。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详见附件：2025年万宁市建成区病媒生物防制服务项目--合同.docx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[HNZL]20250728001[GK]-1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2025年万宁市建成区病媒生物防制服务项目(二次)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2025年万宁市建成区病媒生物防制服务项目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万宁市建成区病媒生物防治服务项目</w:t>
            </w:r>
          </w:p>
        </w:tc>
        <w:tc>
          <w:tcPr>
            <w:tcW w:type="dxa" w:w="1038"/>
          </w:tcPr>
          <w:p>
            <w:pPr>
              <w:pStyle w:val="null3"/>
              <w:jc w:val="left"/>
            </w:pPr>
            <w:r>
              <w:rPr>
                <w:rFonts w:ascii="仿宋_GB2312" w:hAnsi="仿宋_GB2312" w:cs="仿宋_GB2312" w:eastAsia="仿宋_GB2312"/>
              </w:rPr>
              <w:t xml:space="preserve"> 1.00平方米/公里</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