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万宁市东澳镇墟、旅游公路及各（居）村委会道路保洁、垃圾清运服务工程</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HNZC2025-115-01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万宁市东澳镇人民政府</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海南省招采项目管理有限公司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万宁市东澳镇人民政府</w:t>
      </w:r>
      <w:r>
        <w:rPr>
          <w:rFonts w:ascii="仿宋_GB2312" w:hAnsi="仿宋_GB2312" w:cs="仿宋_GB2312" w:eastAsia="仿宋_GB2312"/>
        </w:rPr>
        <w:t xml:space="preserve"> 委托， </w:t>
      </w:r>
      <w:r>
        <w:rPr>
          <w:rFonts w:ascii="仿宋_GB2312" w:hAnsi="仿宋_GB2312" w:cs="仿宋_GB2312" w:eastAsia="仿宋_GB2312"/>
        </w:rPr>
        <w:t>海南省招采项目管理有限公司</w:t>
      </w:r>
      <w:r>
        <w:rPr>
          <w:rFonts w:ascii="仿宋_GB2312" w:hAnsi="仿宋_GB2312" w:cs="仿宋_GB2312" w:eastAsia="仿宋_GB2312"/>
        </w:rPr>
        <w:t xml:space="preserve"> 对 </w:t>
      </w:r>
      <w:r>
        <w:rPr>
          <w:rFonts w:ascii="仿宋_GB2312" w:hAnsi="仿宋_GB2312" w:cs="仿宋_GB2312" w:eastAsia="仿宋_GB2312"/>
        </w:rPr>
        <w:t>万宁市东澳镇墟、旅游公路及各（居）村委会道路保洁、垃圾清运服务工程</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HNZC2025-115-01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万宁市东澳镇墟、旅游公路及各（居）村委会道路保洁、垃圾清运服务工程</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16,814,583.36元</w:t>
      </w:r>
      <w:r>
        <w:rPr>
          <w:rFonts w:ascii="仿宋_GB2312" w:hAnsi="仿宋_GB2312" w:cs="仿宋_GB2312" w:eastAsia="仿宋_GB2312"/>
        </w:rPr>
        <w:t>壹仟陆佰捌拾壹万肆仟伍佰捌拾叁元叁角陆分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自合同签订之日起3年</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请投标人（供应商）自行在海南省政府采购智慧云平台-办事指南查看相应的系统操作指南，严格按照操作指南要求进行系统操作。技术支持电话：4001691288 。</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万宁市东澳镇人民政府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万宁市东澳镇人民政府</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571528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0898-62275118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海南省招采项目管理有限公司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海南省海口市琼山区国兴大道海航豪庭南苑2区3栋2单元2302室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15008034144</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（特别提示：本表与招标文件对应章节的内容若不一致，以本表为准。）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采购包1：16,814,583.36元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从提交投标文件的截止之日起算的90天内有效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代理服务费收费标准：本项目招标代理服务费按照原国家计委《关于印发招标代理服务收费管理暂行办法的通知》（计价格[2002]1980号）的收费标准，由采购人支付。支付方式：由采购人向代理公司一次性支付。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16.1.投标无效情形：①如投标人在非开标现场上传的电子标书的IP地址相同，则IP地址相同的投标按无效标处理。②如投标人提交的投标文件为虚假材料的，按无效标处理。 16.2.委托代表人的代理权限：委托代表人只能代表委托人处置投标活动中的一般事务。提出质疑、投诉等特殊事项，必须经法定代表人特别授权。 16.3.为确保充分供应、充分竞争，本采购项目未预留份额专门面向中小企业采购，将按照招标文件的规定给予小微企业相应的价格扣除优惠。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联系人：符工</w:t>
      </w:r>
    </w:p>
    <w:p>
      <w:pPr>
        <w:pStyle w:val="null3"/>
        <w:jc w:val="left"/>
      </w:pPr>
      <w:r>
        <w:rPr>
          <w:rFonts w:ascii="仿宋_GB2312" w:hAnsi="仿宋_GB2312" w:cs="仿宋_GB2312" w:eastAsia="仿宋_GB2312"/>
        </w:rPr>
        <w:t>联系电话：15008034144</w:t>
      </w:r>
    </w:p>
    <w:p>
      <w:pPr>
        <w:pStyle w:val="null3"/>
        <w:jc w:val="left"/>
      </w:pPr>
      <w:r>
        <w:rPr>
          <w:rFonts w:ascii="仿宋_GB2312" w:hAnsi="仿宋_GB2312" w:cs="仿宋_GB2312" w:eastAsia="仿宋_GB2312"/>
        </w:rPr>
        <w:t>地址：海南省海口市琼山区国兴大道海航豪庭南苑2区3栋2单元2302室</w:t>
      </w:r>
    </w:p>
    <w:p>
      <w:pPr>
        <w:pStyle w:val="null3"/>
        <w:jc w:val="left"/>
      </w:pPr>
      <w:r>
        <w:rPr>
          <w:rFonts w:ascii="仿宋_GB2312" w:hAnsi="仿宋_GB2312" w:cs="仿宋_GB2312" w:eastAsia="仿宋_GB2312"/>
        </w:rPr>
        <w:t>邮编：571100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（一）项目名称：万宁市东澳镇墟、旅游公路及各（居）村委会道路保洁、垃圾清运服务工程</w:t>
      </w:r>
    </w:p>
    <w:p>
      <w:pPr>
        <w:pStyle w:val="null3"/>
        <w:jc w:val="left"/>
      </w:pPr>
      <w:r>
        <w:rPr>
          <w:rFonts w:ascii="仿宋_GB2312" w:hAnsi="仿宋_GB2312" w:cs="仿宋_GB2312" w:eastAsia="仿宋_GB2312"/>
          <w:sz w:val="24"/>
        </w:rPr>
        <w:t>（二）项目概况：根据中共万宁市委办公室万宁市人民政府办公室关于印发</w:t>
      </w:r>
      <w:r>
        <w:rPr>
          <w:rFonts w:ascii="仿宋_GB2312" w:hAnsi="仿宋_GB2312" w:cs="仿宋_GB2312" w:eastAsia="仿宋_GB2312"/>
          <w:sz w:val="24"/>
        </w:rPr>
        <w:t>&lt;</w:t>
      </w:r>
      <w:r>
        <w:rPr>
          <w:rFonts w:ascii="仿宋_GB2312" w:hAnsi="仿宋_GB2312" w:cs="仿宋_GB2312" w:eastAsia="仿宋_GB2312"/>
          <w:sz w:val="24"/>
        </w:rPr>
        <w:t>万宁市农村人居环境整治村庄清洁</w:t>
      </w:r>
      <w:r>
        <w:rPr>
          <w:rFonts w:ascii="仿宋_GB2312" w:hAnsi="仿宋_GB2312" w:cs="仿宋_GB2312" w:eastAsia="仿宋_GB2312"/>
          <w:sz w:val="24"/>
        </w:rPr>
        <w:t>2019</w:t>
      </w:r>
      <w:r>
        <w:rPr>
          <w:rFonts w:ascii="仿宋_GB2312" w:hAnsi="仿宋_GB2312" w:cs="仿宋_GB2312" w:eastAsia="仿宋_GB2312"/>
          <w:sz w:val="24"/>
        </w:rPr>
        <w:t>年行动实施方案</w:t>
      </w:r>
      <w:r>
        <w:rPr>
          <w:rFonts w:ascii="仿宋_GB2312" w:hAnsi="仿宋_GB2312" w:cs="仿宋_GB2312" w:eastAsia="仿宋_GB2312"/>
          <w:sz w:val="24"/>
        </w:rPr>
        <w:t>&gt;</w:t>
      </w:r>
      <w:r>
        <w:rPr>
          <w:rFonts w:ascii="仿宋_GB2312" w:hAnsi="仿宋_GB2312" w:cs="仿宋_GB2312" w:eastAsia="仿宋_GB2312"/>
          <w:sz w:val="24"/>
        </w:rPr>
        <w:t>的通知（万委办字〔</w:t>
      </w:r>
      <w:r>
        <w:rPr>
          <w:rFonts w:ascii="仿宋_GB2312" w:hAnsi="仿宋_GB2312" w:cs="仿宋_GB2312" w:eastAsia="仿宋_GB2312"/>
          <w:sz w:val="24"/>
        </w:rPr>
        <w:t>2019</w:t>
      </w: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号）的要求及《万宁市农村人居环境整治工作领导小组关于印发万宁市农村人居环境整治考核办法的通知》（万人居〔</w:t>
      </w:r>
      <w:r>
        <w:rPr>
          <w:rFonts w:ascii="仿宋_GB2312" w:hAnsi="仿宋_GB2312" w:cs="仿宋_GB2312" w:eastAsia="仿宋_GB2312"/>
          <w:sz w:val="24"/>
        </w:rPr>
        <w:t>2019</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号）标准。现针对本镇卫生保洁工作，美化村容村貌，提高居民环境生活质量，经镇三套班子会议讨论通过提出镇墟辖区范围内、各（居）村委会的环境卫生保洁、垃圾清运以及镇墟的市政管理工作</w:t>
      </w:r>
      <w:r>
        <w:rPr>
          <w:rFonts w:ascii="仿宋_GB2312" w:hAnsi="仿宋_GB2312" w:cs="仿宋_GB2312" w:eastAsia="仿宋_GB2312"/>
          <w:sz w:val="24"/>
        </w:rPr>
        <w:t>方案</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16,814,583.36</w:t>
      </w:r>
    </w:p>
    <w:p>
      <w:pPr>
        <w:pStyle w:val="null3"/>
        <w:jc w:val="left"/>
      </w:pPr>
      <w:r>
        <w:rPr>
          <w:rFonts w:ascii="仿宋_GB2312" w:hAnsi="仿宋_GB2312" w:cs="仿宋_GB2312" w:eastAsia="仿宋_GB2312"/>
        </w:rPr>
        <w:t>采购包最高限价（元）: 16,814,583.36</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C07029900-其他生态环境治理服务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16,814,583.36</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C07029900-其他生态环境治理服务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16,814,583.36</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标的名称：C07029900-其他生态环境治理服务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spacing w:before="345" w:after="330"/>
              <w:jc w:val="both"/>
              <w:outlineLvl w:val="0"/>
            </w:pPr>
            <w:r>
              <w:rPr>
                <w:rFonts w:ascii="仿宋_GB2312" w:hAnsi="仿宋_GB2312" w:cs="仿宋_GB2312" w:eastAsia="仿宋_GB2312"/>
                <w:sz w:val="24"/>
                <w:b/>
              </w:rPr>
              <w:t>一.实施方案</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万宁市东澳镇墟、旅游公路及各（居）村委会道路保洁、垃圾清运服务工程方案如下：</w:t>
            </w:r>
          </w:p>
          <w:p>
            <w:pPr>
              <w:pStyle w:val="null3"/>
              <w:spacing w:before="120" w:after="120"/>
              <w:ind w:firstLine="480"/>
              <w:jc w:val="left"/>
            </w:pPr>
            <w:r>
              <w:rPr>
                <w:rFonts w:ascii="仿宋_GB2312" w:hAnsi="仿宋_GB2312" w:cs="仿宋_GB2312" w:eastAsia="仿宋_GB2312"/>
                <w:sz w:val="24"/>
              </w:rPr>
              <w:t>1.</w:t>
            </w:r>
            <w:r>
              <w:rPr>
                <w:rFonts w:ascii="仿宋_GB2312" w:hAnsi="仿宋_GB2312" w:cs="仿宋_GB2312" w:eastAsia="仿宋_GB2312"/>
                <w:sz w:val="24"/>
              </w:rPr>
              <w:t>市政管理</w:t>
            </w:r>
          </w:p>
          <w:p>
            <w:pPr>
              <w:pStyle w:val="null3"/>
              <w:spacing w:before="120" w:after="120"/>
              <w:ind w:firstLine="480"/>
              <w:jc w:val="left"/>
            </w:pPr>
            <w:r>
              <w:rPr>
                <w:rFonts w:ascii="仿宋_GB2312" w:hAnsi="仿宋_GB2312" w:cs="仿宋_GB2312" w:eastAsia="仿宋_GB2312"/>
                <w:sz w:val="24"/>
              </w:rPr>
              <w:t>市政管理范围做到整治八乱：乱搭建、乱停放、乱堆放、乱张贴、乱涂画、乱悬挂、乱排放、乱摆摊设点（含破坏道路、路面积水等管理）。</w:t>
            </w:r>
          </w:p>
          <w:p>
            <w:pPr>
              <w:pStyle w:val="null3"/>
              <w:spacing w:before="120" w:after="120"/>
              <w:ind w:firstLine="480"/>
              <w:jc w:val="left"/>
            </w:pPr>
            <w:r>
              <w:rPr>
                <w:rFonts w:ascii="仿宋_GB2312" w:hAnsi="仿宋_GB2312" w:cs="仿宋_GB2312" w:eastAsia="仿宋_GB2312"/>
                <w:sz w:val="24"/>
              </w:rPr>
              <w:t>2.</w:t>
            </w:r>
            <w:r>
              <w:rPr>
                <w:rFonts w:ascii="仿宋_GB2312" w:hAnsi="仿宋_GB2312" w:cs="仿宋_GB2312" w:eastAsia="仿宋_GB2312"/>
                <w:sz w:val="24"/>
              </w:rPr>
              <w:t>保洁垃圾清运服务</w:t>
            </w:r>
          </w:p>
          <w:p>
            <w:pPr>
              <w:pStyle w:val="null3"/>
              <w:ind w:firstLine="482"/>
              <w:jc w:val="both"/>
            </w:pPr>
            <w:r>
              <w:rPr>
                <w:rFonts w:ascii="仿宋_GB2312" w:hAnsi="仿宋_GB2312" w:cs="仿宋_GB2312" w:eastAsia="仿宋_GB2312"/>
                <w:sz w:val="24"/>
              </w:rPr>
              <w:t>服务范围为：东澳镇墟主干道范围内的道路、政府大院、公共场所、机动车道、非机动车道、人行道等。保洁垃圾清运服务路段分别为：加神段3.5公里全段、口味王外围路段2公里全段、龙山村委会路口三角路至蓝田村委会路口1公里全段、向阳街至龙山村委会路口400米全段、东裕街600米全段、东方红街200米全段、富安街700米全段、富南街600米全段、供销街150米全段、食品站100米全段、政府大院、旅游公路。</w:t>
            </w:r>
          </w:p>
          <w:p>
            <w:pPr>
              <w:pStyle w:val="null3"/>
              <w:ind w:firstLine="560"/>
              <w:jc w:val="left"/>
            </w:pPr>
            <w:r>
              <w:rPr>
                <w:rFonts w:ascii="仿宋_GB2312" w:hAnsi="仿宋_GB2312" w:cs="仿宋_GB2312" w:eastAsia="仿宋_GB2312"/>
                <w:sz w:val="24"/>
              </w:rPr>
              <w:t>环卫清扫保洁垃圾清运总面积为608550平方。</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垃圾清运及处理</w:t>
            </w:r>
          </w:p>
          <w:p>
            <w:pPr>
              <w:pStyle w:val="null3"/>
              <w:ind w:firstLine="482"/>
              <w:jc w:val="both"/>
            </w:pPr>
            <w:r>
              <w:rPr>
                <w:rFonts w:ascii="仿宋_GB2312" w:hAnsi="仿宋_GB2312" w:cs="仿宋_GB2312" w:eastAsia="仿宋_GB2312"/>
                <w:sz w:val="24"/>
              </w:rPr>
              <w:t>垃圾清运范围：①、镇墟清运路段：政府大院、公共场所、机动车道、非机动车道、人行道、加神段3.5公里全段、口味王外围路段2公里全段、龙山村委会路口三角路、蓝田村委会路口1公里全段、向阳街至龙山村委会路口400米全段、东裕街600米全段、东方红街200米全段、富安街700米全段、富南街600米全段、供销街150米全段、食品站100米全段。②、旅游公路（桥仔村至风豪桥路段）。③、旅游公路（新群点）、风豪桥（福团岭点）。以及各（居）村委会（新村村委会、明丰村委会、新群村委会、裕后村委会、龙保村委会、四维村委会、明星村委会、明灯村委会、集丰村委会、蓝田村委会、分洪村委会、乐南村委会、镜门村委会、东澳居委会、新华居委会、岛光村委会、大造村委会、龙山村委会）。</w:t>
            </w:r>
          </w:p>
          <w:p>
            <w:pPr>
              <w:pStyle w:val="null3"/>
              <w:ind w:firstLine="480"/>
              <w:jc w:val="both"/>
            </w:pPr>
            <w:r>
              <w:rPr>
                <w:rFonts w:ascii="仿宋_GB2312" w:hAnsi="仿宋_GB2312" w:cs="仿宋_GB2312" w:eastAsia="仿宋_GB2312"/>
                <w:sz w:val="24"/>
              </w:rPr>
              <w:t>做到垃圾投放点无垃圾堆积，垃圾桶无溢满，日产日清，及所清扫收集的垃圾运到指定的垃圾中转站集中处理等工作。</w:t>
            </w:r>
          </w:p>
          <w:p>
            <w:pPr>
              <w:pStyle w:val="null3"/>
              <w:ind w:firstLine="560"/>
              <w:jc w:val="left"/>
            </w:pPr>
            <w:r>
              <w:rPr>
                <w:rFonts w:ascii="仿宋_GB2312" w:hAnsi="仿宋_GB2312" w:cs="仿宋_GB2312" w:eastAsia="仿宋_GB2312"/>
                <w:sz w:val="24"/>
              </w:rPr>
              <w:t>4.</w:t>
            </w:r>
            <w:r>
              <w:rPr>
                <w:rFonts w:ascii="仿宋_GB2312" w:hAnsi="仿宋_GB2312" w:cs="仿宋_GB2312" w:eastAsia="仿宋_GB2312"/>
                <w:sz w:val="24"/>
              </w:rPr>
              <w:t>渣土清理及管理与积水处理</w:t>
            </w:r>
          </w:p>
          <w:p>
            <w:pPr>
              <w:pStyle w:val="null3"/>
              <w:ind w:firstLine="560"/>
              <w:jc w:val="left"/>
            </w:pPr>
            <w:r>
              <w:rPr>
                <w:rFonts w:ascii="仿宋_GB2312" w:hAnsi="仿宋_GB2312" w:cs="仿宋_GB2312" w:eastAsia="仿宋_GB2312"/>
                <w:sz w:val="24"/>
              </w:rPr>
              <w:t>负责服务范围内的渣土清理及协调有关部门对造成渣土等车辆进行监管。</w:t>
            </w:r>
          </w:p>
          <w:p>
            <w:pPr>
              <w:pStyle w:val="null3"/>
              <w:spacing w:before="120" w:after="120"/>
              <w:ind w:firstLine="480"/>
              <w:jc w:val="left"/>
            </w:pPr>
            <w:r>
              <w:rPr>
                <w:rFonts w:ascii="仿宋_GB2312" w:hAnsi="仿宋_GB2312" w:cs="仿宋_GB2312" w:eastAsia="仿宋_GB2312"/>
              </w:rPr>
              <w:t xml:space="preserve"> </w:t>
            </w:r>
            <w:r>
              <w:rPr>
                <w:rFonts w:ascii="仿宋_GB2312" w:hAnsi="仿宋_GB2312" w:cs="仿宋_GB2312" w:eastAsia="仿宋_GB2312"/>
                <w:sz w:val="24"/>
              </w:rPr>
              <w:t>二.服务方法</w:t>
            </w:r>
          </w:p>
          <w:p>
            <w:pPr>
              <w:pStyle w:val="null3"/>
              <w:jc w:val="left"/>
            </w:pPr>
            <w:r>
              <w:rPr>
                <w:rFonts w:ascii="仿宋_GB2312" w:hAnsi="仿宋_GB2312" w:cs="仿宋_GB2312" w:eastAsia="仿宋_GB2312"/>
                <w:sz w:val="24"/>
              </w:rPr>
              <w:t xml:space="preserve">    1.</w:t>
            </w:r>
            <w:r>
              <w:rPr>
                <w:rFonts w:ascii="仿宋_GB2312" w:hAnsi="仿宋_GB2312" w:cs="仿宋_GB2312" w:eastAsia="仿宋_GB2312"/>
                <w:sz w:val="24"/>
              </w:rPr>
              <w:t>每日普扫两次，巡回保洁1次（无路灯区域保洁到晚上19：00点），保持路面干净，路面基本见本色，无卫生死角；</w:t>
            </w:r>
          </w:p>
          <w:p>
            <w:pPr>
              <w:pStyle w:val="null3"/>
              <w:jc w:val="left"/>
            </w:pPr>
            <w:r>
              <w:rPr>
                <w:rFonts w:ascii="仿宋_GB2312" w:hAnsi="仿宋_GB2312" w:cs="仿宋_GB2312" w:eastAsia="仿宋_GB2312"/>
                <w:sz w:val="24"/>
              </w:rPr>
              <w:t xml:space="preserve">    2.</w:t>
            </w:r>
            <w:r>
              <w:rPr>
                <w:rFonts w:ascii="仿宋_GB2312" w:hAnsi="仿宋_GB2312" w:cs="仿宋_GB2312" w:eastAsia="仿宋_GB2312"/>
                <w:sz w:val="24"/>
              </w:rPr>
              <w:t>每日（雨天除外）喷洒马路一次；</w:t>
            </w:r>
          </w:p>
          <w:p>
            <w:pPr>
              <w:pStyle w:val="null3"/>
              <w:jc w:val="left"/>
            </w:pPr>
            <w:r>
              <w:rPr>
                <w:rFonts w:ascii="仿宋_GB2312" w:hAnsi="仿宋_GB2312" w:cs="仿宋_GB2312" w:eastAsia="仿宋_GB2312"/>
                <w:sz w:val="24"/>
              </w:rPr>
              <w:t xml:space="preserve">    3.</w:t>
            </w:r>
            <w:r>
              <w:rPr>
                <w:rFonts w:ascii="仿宋_GB2312" w:hAnsi="仿宋_GB2312" w:cs="仿宋_GB2312" w:eastAsia="仿宋_GB2312"/>
                <w:sz w:val="24"/>
              </w:rPr>
              <w:t>繁华路段要按期冲洗（要求每周冲洗三次），其它路段每周冲洗不少于一次，保持路面干净；</w:t>
            </w:r>
          </w:p>
          <w:p>
            <w:pPr>
              <w:pStyle w:val="null3"/>
              <w:jc w:val="left"/>
            </w:pPr>
            <w:r>
              <w:rPr>
                <w:rFonts w:ascii="仿宋_GB2312" w:hAnsi="仿宋_GB2312" w:cs="仿宋_GB2312" w:eastAsia="仿宋_GB2312"/>
                <w:sz w:val="24"/>
              </w:rPr>
              <w:t xml:space="preserve">    4.</w:t>
            </w:r>
            <w:r>
              <w:rPr>
                <w:rFonts w:ascii="仿宋_GB2312" w:hAnsi="仿宋_GB2312" w:cs="仿宋_GB2312" w:eastAsia="仿宋_GB2312"/>
                <w:sz w:val="24"/>
              </w:rPr>
              <w:t>每日普扫服务在早上8：30前完成，中午12至14时前完成；</w:t>
            </w:r>
          </w:p>
          <w:p>
            <w:pPr>
              <w:pStyle w:val="null3"/>
              <w:jc w:val="left"/>
            </w:pPr>
            <w:r>
              <w:rPr>
                <w:rFonts w:ascii="仿宋_GB2312" w:hAnsi="仿宋_GB2312" w:cs="仿宋_GB2312" w:eastAsia="仿宋_GB2312"/>
                <w:sz w:val="24"/>
              </w:rPr>
              <w:t xml:space="preserve">    5.</w:t>
            </w:r>
            <w:r>
              <w:rPr>
                <w:rFonts w:ascii="仿宋_GB2312" w:hAnsi="仿宋_GB2312" w:cs="仿宋_GB2312" w:eastAsia="仿宋_GB2312"/>
                <w:sz w:val="24"/>
              </w:rPr>
              <w:t>普扫服务要达到六净六无一通标准。六净：路面净，路缘石净，人行道净，墙基净，落水口净，果皮箱净。六无：无积水，无果皮，烟头等废弃物，无人畜粪便，无漏收垃圾堆，无往落水口、明沟、绿化带扫倒垃圾污物，无乱张贴广告纸和乱涂画。一通：下水道口通。</w:t>
            </w:r>
          </w:p>
          <w:p>
            <w:pPr>
              <w:pStyle w:val="null3"/>
              <w:jc w:val="left"/>
            </w:pPr>
            <w:r>
              <w:rPr>
                <w:rFonts w:ascii="仿宋_GB2312" w:hAnsi="仿宋_GB2312" w:cs="仿宋_GB2312" w:eastAsia="仿宋_GB2312"/>
                <w:sz w:val="24"/>
              </w:rPr>
              <w:t xml:space="preserve">    6.</w:t>
            </w:r>
            <w:r>
              <w:rPr>
                <w:rFonts w:ascii="仿宋_GB2312" w:hAnsi="仿宋_GB2312" w:cs="仿宋_GB2312" w:eastAsia="仿宋_GB2312"/>
                <w:sz w:val="24"/>
              </w:rPr>
              <w:t>人行道与道路路面的保洁质量要求相同，桥栏杆保持整洁；</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道路路面、人行道、保洁率要达100%，</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果皮箱清掏应及时（每天不少于一次），外壳及内胆每天擦洗一次，保持清洁；</w:t>
            </w:r>
          </w:p>
          <w:p>
            <w:pPr>
              <w:pStyle w:val="null3"/>
              <w:jc w:val="left"/>
            </w:pPr>
            <w:r>
              <w:rPr>
                <w:rFonts w:ascii="仿宋_GB2312" w:hAnsi="仿宋_GB2312" w:cs="仿宋_GB2312" w:eastAsia="仿宋_GB2312"/>
                <w:sz w:val="24"/>
              </w:rPr>
              <w:t xml:space="preserve">    9.</w:t>
            </w:r>
            <w:r>
              <w:rPr>
                <w:rFonts w:ascii="仿宋_GB2312" w:hAnsi="仿宋_GB2312" w:cs="仿宋_GB2312" w:eastAsia="仿宋_GB2312"/>
                <w:sz w:val="24"/>
              </w:rPr>
              <w:t>保洁清运人员必须统一标志服上岗；</w:t>
            </w:r>
          </w:p>
          <w:p>
            <w:pPr>
              <w:pStyle w:val="null3"/>
              <w:jc w:val="left"/>
            </w:pPr>
            <w:r>
              <w:rPr>
                <w:rFonts w:ascii="仿宋_GB2312" w:hAnsi="仿宋_GB2312" w:cs="仿宋_GB2312" w:eastAsia="仿宋_GB2312"/>
                <w:sz w:val="24"/>
              </w:rPr>
              <w:t xml:space="preserve">    10.</w:t>
            </w:r>
            <w:r>
              <w:rPr>
                <w:rFonts w:ascii="仿宋_GB2312" w:hAnsi="仿宋_GB2312" w:cs="仿宋_GB2312" w:eastAsia="仿宋_GB2312"/>
                <w:sz w:val="24"/>
              </w:rPr>
              <w:t>对发现道路设施包括交通标志、公共汽车上落站、果皮箱、电话亭、花池、涂写及其他残留物现象的，要及时做好清理工作。</w:t>
            </w:r>
          </w:p>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24"/>
                <w:b/>
              </w:rPr>
              <w:t>三.质量要求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道路面废弃物达到有效控制；</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道路清扫服务后路面、下水口、人行道等应整洁。</w:t>
            </w:r>
          </w:p>
          <w:p>
            <w:pPr>
              <w:pStyle w:val="null3"/>
              <w:jc w:val="left"/>
            </w:pPr>
            <w:r>
              <w:rPr>
                <w:rFonts w:ascii="仿宋_GB2312" w:hAnsi="仿宋_GB2312" w:cs="仿宋_GB2312" w:eastAsia="仿宋_GB2312"/>
                <w:sz w:val="24"/>
              </w:rPr>
              <w:t xml:space="preserve">    3.</w:t>
            </w:r>
            <w:r>
              <w:rPr>
                <w:rFonts w:ascii="仿宋_GB2312" w:hAnsi="仿宋_GB2312" w:cs="仿宋_GB2312" w:eastAsia="仿宋_GB2312"/>
                <w:sz w:val="24"/>
              </w:rPr>
              <w:t>保洁垃圾必须随车运走，不得漏收，不得在路面中转，严禁焚烧垃圾，保洁车要整洁完好。</w:t>
            </w:r>
          </w:p>
          <w:p>
            <w:pPr>
              <w:pStyle w:val="null3"/>
              <w:jc w:val="left"/>
            </w:pPr>
            <w:r>
              <w:rPr>
                <w:rFonts w:ascii="仿宋_GB2312" w:hAnsi="仿宋_GB2312" w:cs="仿宋_GB2312" w:eastAsia="仿宋_GB2312"/>
                <w:sz w:val="24"/>
              </w:rPr>
              <w:t xml:space="preserve">    4.</w:t>
            </w:r>
            <w:r>
              <w:rPr>
                <w:rFonts w:ascii="仿宋_GB2312" w:hAnsi="仿宋_GB2312" w:cs="仿宋_GB2312" w:eastAsia="仿宋_GB2312"/>
                <w:sz w:val="24"/>
              </w:rPr>
              <w:t>除每天完成普扫服务外，要全天巡回保洁，废弃物清理干净。</w:t>
            </w:r>
          </w:p>
          <w:p>
            <w:pPr>
              <w:pStyle w:val="null3"/>
              <w:jc w:val="left"/>
            </w:pPr>
            <w:r>
              <w:rPr>
                <w:rFonts w:ascii="仿宋_GB2312" w:hAnsi="仿宋_GB2312" w:cs="仿宋_GB2312" w:eastAsia="仿宋_GB2312"/>
                <w:sz w:val="24"/>
              </w:rPr>
              <w:t xml:space="preserve">    5.</w:t>
            </w:r>
            <w:r>
              <w:rPr>
                <w:rFonts w:ascii="仿宋_GB2312" w:hAnsi="仿宋_GB2312" w:cs="仿宋_GB2312" w:eastAsia="仿宋_GB2312"/>
                <w:sz w:val="24"/>
              </w:rPr>
              <w:t>果皮箱应及时清掏、不得外溢；箱周围及地面应无抛撒及存留垃圾；箱体整洁卫生无污迹。</w:t>
            </w:r>
          </w:p>
          <w:p>
            <w:pPr>
              <w:pStyle w:val="null3"/>
              <w:jc w:val="left"/>
            </w:pPr>
            <w:r>
              <w:rPr>
                <w:rFonts w:ascii="仿宋_GB2312" w:hAnsi="仿宋_GB2312" w:cs="仿宋_GB2312" w:eastAsia="仿宋_GB2312"/>
                <w:sz w:val="24"/>
              </w:rPr>
              <w:t xml:space="preserve">    6.</w:t>
            </w:r>
            <w:r>
              <w:rPr>
                <w:rFonts w:ascii="仿宋_GB2312" w:hAnsi="仿宋_GB2312" w:cs="仿宋_GB2312" w:eastAsia="仿宋_GB2312"/>
                <w:sz w:val="24"/>
              </w:rPr>
              <w:t>严禁将垃圾扫入渠井、下水道。</w:t>
            </w:r>
          </w:p>
          <w:p>
            <w:pPr>
              <w:pStyle w:val="null3"/>
              <w:jc w:val="left"/>
            </w:pPr>
            <w:r>
              <w:rPr>
                <w:rFonts w:ascii="仿宋_GB2312" w:hAnsi="仿宋_GB2312" w:cs="仿宋_GB2312" w:eastAsia="仿宋_GB2312"/>
                <w:sz w:val="24"/>
              </w:rPr>
              <w:t xml:space="preserve">    7.</w:t>
            </w:r>
            <w:r>
              <w:rPr>
                <w:rFonts w:ascii="仿宋_GB2312" w:hAnsi="仿宋_GB2312" w:cs="仿宋_GB2312" w:eastAsia="仿宋_GB2312"/>
                <w:sz w:val="24"/>
              </w:rPr>
              <w:t>路面无淤泥、沙石、灰。夜间车辆洒漏沙石、灰或车轮带泥上路或漏油污等造成的路面污染应及时清理干净，白天洒漏沙石、灰、油污或有关工程建设等造成的污染要及时行动解决（污染面积50平方米以内需在当天清理干净，污染面积超过50平方米的酌情延长清理时间）。</w:t>
            </w:r>
          </w:p>
          <w:p>
            <w:pPr>
              <w:pStyle w:val="null3"/>
              <w:jc w:val="left"/>
            </w:pPr>
            <w:r>
              <w:rPr>
                <w:rFonts w:ascii="仿宋_GB2312" w:hAnsi="仿宋_GB2312" w:cs="仿宋_GB2312" w:eastAsia="仿宋_GB2312"/>
                <w:sz w:val="24"/>
              </w:rPr>
              <w:t xml:space="preserve">    8.</w:t>
            </w:r>
            <w:r>
              <w:rPr>
                <w:rFonts w:ascii="仿宋_GB2312" w:hAnsi="仿宋_GB2312" w:cs="仿宋_GB2312" w:eastAsia="仿宋_GB2312"/>
                <w:sz w:val="24"/>
              </w:rPr>
              <w:t>无条件服从政府各级组织的清洁活动及突击性的卫生清洁任务，按时、按标准、按要求完成所分配的工作。并在重要节假日做好应急预案，将工作落实到位。</w:t>
            </w:r>
          </w:p>
          <w:p>
            <w:pPr>
              <w:pStyle w:val="null3"/>
              <w:jc w:val="left"/>
            </w:pPr>
            <w:r>
              <w:rPr>
                <w:rFonts w:ascii="仿宋_GB2312" w:hAnsi="仿宋_GB2312" w:cs="仿宋_GB2312" w:eastAsia="仿宋_GB2312"/>
                <w:sz w:val="24"/>
              </w:rPr>
              <w:t xml:space="preserve">    9.</w:t>
            </w:r>
            <w:r>
              <w:rPr>
                <w:rFonts w:ascii="仿宋_GB2312" w:hAnsi="仿宋_GB2312" w:cs="仿宋_GB2312" w:eastAsia="仿宋_GB2312"/>
                <w:sz w:val="24"/>
              </w:rPr>
              <w:t>垃圾手推车等无乱停乱放。</w:t>
            </w:r>
          </w:p>
          <w:p>
            <w:pPr>
              <w:pStyle w:val="null3"/>
              <w:jc w:val="left"/>
            </w:pPr>
            <w:r>
              <w:rPr>
                <w:rFonts w:ascii="仿宋_GB2312" w:hAnsi="仿宋_GB2312" w:cs="仿宋_GB2312" w:eastAsia="仿宋_GB2312"/>
                <w:sz w:val="24"/>
              </w:rPr>
              <w:t xml:space="preserve">    10.</w:t>
            </w:r>
            <w:r>
              <w:rPr>
                <w:rFonts w:ascii="仿宋_GB2312" w:hAnsi="仿宋_GB2312" w:cs="仿宋_GB2312" w:eastAsia="仿宋_GB2312"/>
                <w:sz w:val="24"/>
              </w:rPr>
              <w:t>按指定地点倾倒垃圾。</w:t>
            </w:r>
          </w:p>
          <w:p>
            <w:pPr>
              <w:pStyle w:val="null3"/>
              <w:jc w:val="left"/>
            </w:pPr>
            <w:r>
              <w:rPr>
                <w:rFonts w:ascii="仿宋_GB2312" w:hAnsi="仿宋_GB2312" w:cs="仿宋_GB2312" w:eastAsia="仿宋_GB2312"/>
                <w:sz w:val="24"/>
              </w:rPr>
              <w:t xml:space="preserve">    11.</w:t>
            </w:r>
            <w:r>
              <w:rPr>
                <w:rFonts w:ascii="仿宋_GB2312" w:hAnsi="仿宋_GB2312" w:cs="仿宋_GB2312" w:eastAsia="仿宋_GB2312"/>
                <w:sz w:val="24"/>
              </w:rPr>
              <w:t>路段、人行道无杂草。</w:t>
            </w:r>
          </w:p>
          <w:p>
            <w:pPr>
              <w:pStyle w:val="null3"/>
              <w:jc w:val="left"/>
            </w:pPr>
            <w:r>
              <w:rPr>
                <w:rFonts w:ascii="仿宋_GB2312" w:hAnsi="仿宋_GB2312" w:cs="仿宋_GB2312" w:eastAsia="仿宋_GB2312"/>
                <w:sz w:val="24"/>
              </w:rPr>
              <w:t xml:space="preserve">    12.</w:t>
            </w:r>
            <w:r>
              <w:rPr>
                <w:rFonts w:ascii="仿宋_GB2312" w:hAnsi="仿宋_GB2312" w:cs="仿宋_GB2312" w:eastAsia="仿宋_GB2312"/>
                <w:sz w:val="24"/>
              </w:rPr>
              <w:t>专人负责清理“牛皮癣”。</w:t>
            </w:r>
          </w:p>
          <w:p>
            <w:pPr>
              <w:pStyle w:val="null3"/>
              <w:jc w:val="left"/>
            </w:pPr>
            <w:r>
              <w:rPr>
                <w:rFonts w:ascii="仿宋_GB2312" w:hAnsi="仿宋_GB2312" w:cs="仿宋_GB2312" w:eastAsia="仿宋_GB2312"/>
                <w:sz w:val="24"/>
              </w:rPr>
              <w:t xml:space="preserve">    13.</w:t>
            </w:r>
            <w:r>
              <w:rPr>
                <w:rFonts w:ascii="仿宋_GB2312" w:hAnsi="仿宋_GB2312" w:cs="仿宋_GB2312" w:eastAsia="仿宋_GB2312"/>
                <w:sz w:val="24"/>
              </w:rPr>
              <w:t>做好下水道沉沙井、明渠的清理及疏通工作（沉沙井、明渠每月要清理不少于一次），要保证沙井、地漏不堵塞。遇有大雨应及时组织人员上街清理下水口杂物，保持下水口正常排水。</w:t>
            </w:r>
          </w:p>
          <w:p>
            <w:pPr>
              <w:pStyle w:val="null3"/>
              <w:jc w:val="left"/>
            </w:pPr>
            <w:r>
              <w:rPr>
                <w:rFonts w:ascii="仿宋_GB2312" w:hAnsi="仿宋_GB2312" w:cs="仿宋_GB2312" w:eastAsia="仿宋_GB2312"/>
                <w:sz w:val="24"/>
              </w:rPr>
              <w:t xml:space="preserve">    14.</w:t>
            </w:r>
            <w:r>
              <w:rPr>
                <w:rFonts w:ascii="仿宋_GB2312" w:hAnsi="仿宋_GB2312" w:cs="仿宋_GB2312" w:eastAsia="仿宋_GB2312"/>
                <w:sz w:val="24"/>
              </w:rPr>
              <w:t>垃圾做到及时清运、日产日清、垃圾不得漏收、不得在路面中转，运输途中不准洒落污水、垃圾；严禁私自焚烧垃圾；</w:t>
            </w:r>
          </w:p>
          <w:p>
            <w:pPr>
              <w:pStyle w:val="null3"/>
              <w:jc w:val="left"/>
            </w:pPr>
            <w:r>
              <w:rPr>
                <w:rFonts w:ascii="仿宋_GB2312" w:hAnsi="仿宋_GB2312" w:cs="仿宋_GB2312" w:eastAsia="仿宋_GB2312"/>
                <w:sz w:val="24"/>
              </w:rPr>
              <w:t xml:space="preserve">    15.</w:t>
            </w:r>
            <w:r>
              <w:rPr>
                <w:rFonts w:ascii="仿宋_GB2312" w:hAnsi="仿宋_GB2312" w:cs="仿宋_GB2312" w:eastAsia="仿宋_GB2312"/>
                <w:sz w:val="24"/>
              </w:rPr>
              <w:t>果皮箱的养护做到及时清掏（每天不少于一次），外壳每天擦洗一次，保持周边地面清洁、无异味。</w:t>
            </w:r>
          </w:p>
          <w:p>
            <w:pPr>
              <w:pStyle w:val="null3"/>
              <w:jc w:val="left"/>
            </w:pPr>
            <w:r>
              <w:rPr>
                <w:rFonts w:ascii="仿宋_GB2312" w:hAnsi="仿宋_GB2312" w:cs="仿宋_GB2312" w:eastAsia="仿宋_GB2312"/>
                <w:sz w:val="24"/>
              </w:rPr>
              <w:t xml:space="preserve">    16.</w:t>
            </w:r>
            <w:r>
              <w:rPr>
                <w:rFonts w:ascii="仿宋_GB2312" w:hAnsi="仿宋_GB2312" w:cs="仿宋_GB2312" w:eastAsia="仿宋_GB2312"/>
                <w:sz w:val="24"/>
              </w:rPr>
              <w:t>定期清洗、保养车辆，保持车辆外观清洁。</w:t>
            </w:r>
          </w:p>
          <w:p>
            <w:pPr>
              <w:pStyle w:val="null3"/>
              <w:jc w:val="left"/>
            </w:pPr>
            <w:r>
              <w:rPr>
                <w:rFonts w:ascii="仿宋_GB2312" w:hAnsi="仿宋_GB2312" w:cs="仿宋_GB2312" w:eastAsia="仿宋_GB2312"/>
                <w:sz w:val="24"/>
              </w:rPr>
              <w:t xml:space="preserve">    17.</w:t>
            </w:r>
            <w:r>
              <w:rPr>
                <w:rFonts w:ascii="仿宋_GB2312" w:hAnsi="仿宋_GB2312" w:cs="仿宋_GB2312" w:eastAsia="仿宋_GB2312"/>
                <w:sz w:val="24"/>
              </w:rPr>
              <w:t>司机必须有相应的驾驶证。</w:t>
            </w:r>
          </w:p>
          <w:p>
            <w:pPr>
              <w:pStyle w:val="null3"/>
              <w:jc w:val="left"/>
            </w:pPr>
            <w:r>
              <w:rPr>
                <w:rFonts w:ascii="仿宋_GB2312" w:hAnsi="仿宋_GB2312" w:cs="仿宋_GB2312" w:eastAsia="仿宋_GB2312"/>
                <w:sz w:val="24"/>
              </w:rPr>
              <w:t xml:space="preserve">    18.</w:t>
            </w:r>
            <w:r>
              <w:rPr>
                <w:rFonts w:ascii="仿宋_GB2312" w:hAnsi="仿宋_GB2312" w:cs="仿宋_GB2312" w:eastAsia="仿宋_GB2312"/>
                <w:sz w:val="24"/>
              </w:rPr>
              <w:t>符合国务院《城市市容和环境卫生管理条例》、建设部《城镇市容环境卫生劳动定额》、《城市生活垃圾管理办法》以及《城市容貌标准》的要求。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rPr>
              <w:t>一．服务期限：</w:t>
            </w:r>
          </w:p>
          <w:p>
            <w:pPr>
              <w:pStyle w:val="null3"/>
              <w:ind w:firstLine="480"/>
              <w:jc w:val="left"/>
            </w:pPr>
            <w:r>
              <w:rPr>
                <w:rFonts w:ascii="仿宋_GB2312" w:hAnsi="仿宋_GB2312" w:cs="仿宋_GB2312" w:eastAsia="仿宋_GB2312"/>
                <w:sz w:val="24"/>
              </w:rPr>
              <w:t>服务期限为</w:t>
            </w:r>
            <w:r>
              <w:rPr>
                <w:rFonts w:ascii="仿宋_GB2312" w:hAnsi="仿宋_GB2312" w:cs="仿宋_GB2312" w:eastAsia="仿宋_GB2312"/>
                <w:sz w:val="24"/>
              </w:rPr>
              <w:t>自合同签订之日起</w:t>
            </w:r>
            <w:r>
              <w:rPr>
                <w:rFonts w:ascii="仿宋_GB2312" w:hAnsi="仿宋_GB2312" w:cs="仿宋_GB2312" w:eastAsia="仿宋_GB2312"/>
                <w:sz w:val="24"/>
              </w:rPr>
              <w:t>3</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采购预算（最高限价）一年金额为</w:t>
            </w:r>
            <w:r>
              <w:rPr>
                <w:rFonts w:ascii="仿宋_GB2312" w:hAnsi="仿宋_GB2312" w:cs="仿宋_GB2312" w:eastAsia="仿宋_GB2312"/>
                <w:sz w:val="24"/>
              </w:rPr>
              <w:t>5604861.12</w:t>
            </w:r>
            <w:r>
              <w:rPr>
                <w:rFonts w:ascii="仿宋_GB2312" w:hAnsi="仿宋_GB2312" w:cs="仿宋_GB2312" w:eastAsia="仿宋_GB2312"/>
                <w:sz w:val="24"/>
              </w:rPr>
              <w:t>元，采购预算（最高限价）三年金额为</w:t>
            </w:r>
            <w:r>
              <w:rPr>
                <w:rFonts w:ascii="仿宋_GB2312" w:hAnsi="仿宋_GB2312" w:cs="仿宋_GB2312" w:eastAsia="仿宋_GB2312"/>
                <w:sz w:val="24"/>
              </w:rPr>
              <w:t>16814583.36</w:t>
            </w:r>
            <w:r>
              <w:rPr>
                <w:rFonts w:ascii="仿宋_GB2312" w:hAnsi="仿宋_GB2312" w:cs="仿宋_GB2312" w:eastAsia="仿宋_GB2312"/>
                <w:sz w:val="24"/>
              </w:rPr>
              <w:t>元。</w:t>
            </w:r>
          </w:p>
          <w:p>
            <w:pPr>
              <w:pStyle w:val="null3"/>
              <w:jc w:val="left"/>
            </w:pPr>
            <w:r>
              <w:rPr>
                <w:rFonts w:ascii="仿宋_GB2312" w:hAnsi="仿宋_GB2312" w:cs="仿宋_GB2312" w:eastAsia="仿宋_GB2312"/>
                <w:sz w:val="24"/>
              </w:rPr>
              <w:t>（注：本项目的中标单位需购买设备：240L垃圾桶1000个，660L垃圾桶200个，电动三轮保洁车20辆以及手推保洁车45个。）</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rPr>
        <w:t>服务范围：采购需求中所要求的全部内容</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带“★”条款为实质性条款，必须完全响应，不允许负偏离，否则作无效响应处理。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投标函 其他材料 投标（响应）报价明细表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服务期、服务地点须满足招标文件要求。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是否完全满足采购需求中所有标注★的指标及条款。</w:t>
            </w:r>
          </w:p>
        </w:tc>
        <w:tc>
          <w:tcPr>
            <w:tcW w:type="dxa" w:w="1661"/>
          </w:tcPr>
          <w:p>
            <w:pPr>
              <w:pStyle w:val="null3"/>
              <w:jc w:val="left"/>
            </w:pPr>
            <w:r>
              <w:rPr>
                <w:rFonts w:ascii="仿宋_GB2312" w:hAnsi="仿宋_GB2312" w:cs="仿宋_GB2312" w:eastAsia="仿宋_GB2312"/>
              </w:rPr>
              <w:t>商务应答表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技术部分80.00分</w:t>
            </w:r>
          </w:p>
          <w:p>
            <w:pPr>
              <w:pStyle w:val="null3"/>
              <w:jc w:val="both"/>
            </w:pPr>
            <w:r>
              <w:rPr>
                <w:rFonts w:ascii="仿宋_GB2312" w:hAnsi="仿宋_GB2312" w:cs="仿宋_GB2312" w:eastAsia="仿宋_GB2312"/>
              </w:rPr>
              <w:t>商务部分10.00分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项目理解</w:t>
            </w:r>
          </w:p>
        </w:tc>
        <w:tc>
          <w:tcPr>
            <w:tcW w:type="dxa" w:w="2492"/>
          </w:tcPr>
          <w:p>
            <w:pPr>
              <w:pStyle w:val="null3"/>
              <w:jc w:val="both"/>
            </w:pPr>
            <w:r>
              <w:rPr>
                <w:rFonts w:ascii="仿宋_GB2312" w:hAnsi="仿宋_GB2312" w:cs="仿宋_GB2312" w:eastAsia="仿宋_GB2312"/>
              </w:rPr>
              <w:t>根据投标人对项目服务内容和需求的认识和理解程度，以及对服务重点难点的理解程度进行比较： 1.认识全面、深入，理解到位，重点难点分析清晰、准确，应对解决办法内容完整、针对性、实用性最强，切实可行，符合项目特性，得9分； 2.认识较好，理解较到位，能分析出重点、难点，应对解决办法内容较完整，针对性、实用性较好，比较符合项目特性，得6分； 3.认识一般，重点难点分析一般，应对的措施内容一般，针对性、实用性一般，基本上符合项目特性，得3分； 4.认识浅薄，重点难点分析不准确，应对措施不明确，针对性、实用性较差，得1分； 5.不提供不得分。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项目管理架构及管理制度</w:t>
            </w:r>
          </w:p>
        </w:tc>
        <w:tc>
          <w:tcPr>
            <w:tcW w:type="dxa" w:w="2492"/>
          </w:tcPr>
          <w:p>
            <w:pPr>
              <w:pStyle w:val="null3"/>
              <w:jc w:val="both"/>
            </w:pPr>
            <w:r>
              <w:rPr>
                <w:rFonts w:ascii="仿宋_GB2312" w:hAnsi="仿宋_GB2312" w:cs="仿宋_GB2312" w:eastAsia="仿宋_GB2312"/>
              </w:rPr>
              <w:t>对投标人提供的项目管理架构和管理制度方案（内容包括但不限于：管理目标、管理模式、管理制度、人员配置及培训等定制服务）的完整性、合理性、可行性进行综合评审： 1.针对项目提供合理的明确的管理架构，构架完整，岗位职责分工明确，内部管理制度齐备完善，得9分； 2.管理构架比较合理明确的，构架比较完整，岗位职责分工比较明确，内部管理制度比较齐备完善，得6分； 3.管理构架一般，岗位职责分工一般，内部管理制度一般完善，得3分； 4.针对项目不能提供合理的明确的管理架构，构架差，分工差，运作流程不清晰，内部管理制度简单，得1分； 5.未提供方案不得分。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市政管理方案</w:t>
            </w:r>
          </w:p>
        </w:tc>
        <w:tc>
          <w:tcPr>
            <w:tcW w:type="dxa" w:w="2492"/>
          </w:tcPr>
          <w:p>
            <w:pPr>
              <w:pStyle w:val="null3"/>
              <w:jc w:val="both"/>
            </w:pPr>
            <w:r>
              <w:rPr>
                <w:rFonts w:ascii="仿宋_GB2312" w:hAnsi="仿宋_GB2312" w:cs="仿宋_GB2312" w:eastAsia="仿宋_GB2312"/>
              </w:rPr>
              <w:t>根据投标人提供的市政管理方案的完整性、合理性、可行性进行评分： 1. 市政管理方案措施科学详细，合理可行，针对性强，得9分； 2. 市政管理方案措施比较详细，比较合理可行，针对性比较强，得6分； 3. 市政管理方案措施一般详细，合理性和可行性一般、针对性一般，得3分； 4. 市政管理方案措施不详细，合理性和可行性差、针对性比较弱，得1分； 5.本项不提供不得分。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保洁作业方案</w:t>
            </w:r>
          </w:p>
        </w:tc>
        <w:tc>
          <w:tcPr>
            <w:tcW w:type="dxa" w:w="2492"/>
          </w:tcPr>
          <w:p>
            <w:pPr>
              <w:pStyle w:val="null3"/>
              <w:jc w:val="both"/>
            </w:pPr>
            <w:r>
              <w:rPr>
                <w:rFonts w:ascii="仿宋_GB2312" w:hAnsi="仿宋_GB2312" w:cs="仿宋_GB2312" w:eastAsia="仿宋_GB2312"/>
              </w:rPr>
              <w:t>对投标人提供的保洁作业方案（内容包括但不限于：清扫保洁、垃圾收集转运、小广告清理、周边交通护栏清洗等内容）的完整性、合理性、可行性进行综合评审： 1.投标人针对本项目实际情况所制定的保洁作业方案完全符合本项目采购需求，详细合理、具有可操作性的得9分； 2.投标人针对本项目实际情况所制定的保洁作业方案比较符合本项目采购需求，比较详细合理，比较具有可操作性的得6分； 3.投标人针对本项目实际情况所制定的保洁作业方案基本符合本项目采购需求，合理性、可操作性一般的得3分； 4.投标人针对本项目实际情况所制定的保洁作业方案基本符合本项目采购需求，合理性、可操性差的得1分； 5.未提供方案的不得分。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垃圾收运服务作业方案</w:t>
            </w:r>
          </w:p>
        </w:tc>
        <w:tc>
          <w:tcPr>
            <w:tcW w:type="dxa" w:w="2492"/>
          </w:tcPr>
          <w:p>
            <w:pPr>
              <w:pStyle w:val="null3"/>
              <w:jc w:val="both"/>
            </w:pPr>
            <w:r>
              <w:rPr>
                <w:rFonts w:ascii="仿宋_GB2312" w:hAnsi="仿宋_GB2312" w:cs="仿宋_GB2312" w:eastAsia="仿宋_GB2312"/>
              </w:rPr>
              <w:t>对投标人提供的垃圾收运服务作业方案（内容包括但不限于对服务区域的了解程度、服务人员技术力量配置计划、作业设备配置计划、服务质量保证措施、安全作业保证措施等）的完整性、合理性、可行性进行综合评审： 1.投标人针对本项目实际情况所制定的垃圾收运服务作业方案完全符合本项目采购需求，详细合理、具有可操作性的得9分； 2.投标人针对本项目实际情况所制定的垃圾收运服务作业方案比较符合本项目采购需求，比较详细合理，比较具有可操作性的得6分； 3.投标人针对本项目实际情况所制定的垃圾收运服务作业方案基本符合本项目采购需求，合理性、可操作性一般的得3分； 4.投标人针对本项目实际情况所制定的垃圾收运服务作业方案基本符合本项目采购需求，合理性、可操性差的得1分； 5.未提供方案的不得分。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渣土清理及管理与积水处理方案</w:t>
            </w:r>
          </w:p>
        </w:tc>
        <w:tc>
          <w:tcPr>
            <w:tcW w:type="dxa" w:w="2492"/>
          </w:tcPr>
          <w:p>
            <w:pPr>
              <w:pStyle w:val="null3"/>
              <w:jc w:val="both"/>
            </w:pPr>
            <w:r>
              <w:rPr>
                <w:rFonts w:ascii="仿宋_GB2312" w:hAnsi="仿宋_GB2312" w:cs="仿宋_GB2312" w:eastAsia="仿宋_GB2312"/>
              </w:rPr>
              <w:t>根据投标人的渣土清理及管理与积水处理方案（内容包括但不限于渣土清理、对造成渣土等车辆进行监管措施、管理制度、管理责任，积水处理的各项工作）进行评分： 1. 渣土清理及管理与积水处理方案完整，思路清晰，规范性强，得9分； 2. 渣土清理及管理与积水处理方案比较完整，思路比较清晰，规范性比较强，得6分； 3. 渣土清理及管理与积水处理方案一般完整，思路一般，规范性一般，得3分； 4. 渣土清理及管理与积水处理方案有方案，不完整，思路不清晰，规范性差，得1分； 5. 未提供方案的不得分。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安全生产管理方案</w:t>
            </w:r>
          </w:p>
        </w:tc>
        <w:tc>
          <w:tcPr>
            <w:tcW w:type="dxa" w:w="2492"/>
          </w:tcPr>
          <w:p>
            <w:pPr>
              <w:pStyle w:val="null3"/>
              <w:jc w:val="both"/>
            </w:pPr>
            <w:r>
              <w:rPr>
                <w:rFonts w:ascii="仿宋_GB2312" w:hAnsi="仿宋_GB2312" w:cs="仿宋_GB2312" w:eastAsia="仿宋_GB2312"/>
              </w:rPr>
              <w:t>根据投标人的安全管理的生产方针、管理措施、管理要求、管理制度、管理责任，各项工作实施方案进行评分： 1.安全生产管理方案完整，思路清晰，规范性强，得9分； 2.安全生产管理方案方案比较完整，思路比较清晰，规范性比较强，得6分； 3.安全生产管理方案方案一般完整，思路一般，规范性一般，得3分； 4.安全生产管理方案有方案，但方案不完整，思路不清晰，规范性差，得1分； 5. 未提供方案的不得分。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应急管理方案</w:t>
            </w:r>
          </w:p>
        </w:tc>
        <w:tc>
          <w:tcPr>
            <w:tcW w:type="dxa" w:w="2492"/>
          </w:tcPr>
          <w:p>
            <w:pPr>
              <w:pStyle w:val="null3"/>
              <w:jc w:val="both"/>
            </w:pPr>
            <w:r>
              <w:rPr>
                <w:rFonts w:ascii="仿宋_GB2312" w:hAnsi="仿宋_GB2312" w:cs="仿宋_GB2312" w:eastAsia="仿宋_GB2312"/>
              </w:rPr>
              <w:t>根据投标人的突发事件（包括不限于应急机构与职责，恶劣天气影响、重大迎检任务、重大节假日或活动中各项应急工作等）应急保障措施进行评分： 1.突发事件应急保障措施详细，合理可行，针对性强，得9分； 2.突发事件应急保障措施比较详细，比较合理可行，针对性比较强，得6分； 3.突发事件应急保障措施一般详细，合理性和可行性一般、针对性一般，得3分； 4.突发事件应急保障措施不详细，合理性和可行性差、针对性比较弱，得1分； 5. 未提供方案的不得分。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工作交接方案</w:t>
            </w:r>
          </w:p>
        </w:tc>
        <w:tc>
          <w:tcPr>
            <w:tcW w:type="dxa" w:w="2492"/>
          </w:tcPr>
          <w:p>
            <w:pPr>
              <w:pStyle w:val="null3"/>
              <w:jc w:val="both"/>
            </w:pPr>
            <w:r>
              <w:rPr>
                <w:rFonts w:ascii="仿宋_GB2312" w:hAnsi="仿宋_GB2312" w:cs="仿宋_GB2312" w:eastAsia="仿宋_GB2312"/>
              </w:rPr>
              <w:t>根据投标人的交接管理，中标后的平稳过渡工作方案的完整性、合理性、可行性进行评分： 1.工作交接方案措施详细，合理可行，针对性强，得8分； 2.工作交接方案措施比较详细，比较合理可行，针对性比较强，得6分； 3.工作交接方案措施一般详细，合理性和可行性一般、针对性一般，得3分； 4.工作交接方案措施不详细，合理性和可行性差、针对性比较弱，得1分； 5. 未提供方案的不得分。</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类似业绩经验</w:t>
            </w:r>
          </w:p>
        </w:tc>
        <w:tc>
          <w:tcPr>
            <w:tcW w:type="dxa" w:w="2492"/>
          </w:tcPr>
          <w:p>
            <w:pPr>
              <w:pStyle w:val="null3"/>
              <w:jc w:val="both"/>
            </w:pPr>
            <w:r>
              <w:rPr>
                <w:rFonts w:ascii="仿宋_GB2312" w:hAnsi="仿宋_GB2312" w:cs="仿宋_GB2312" w:eastAsia="仿宋_GB2312"/>
              </w:rPr>
              <w:t>供应商自2020年1月1日至今（以合同签订时间为准）承揽过类似项目，每提供一个满足条件的业绩合同得10分，本项最高得10分。 证明材料：投标人需提供中标通知书或有效的合同关键页复印件加盖公章，证明材料需体现相关内容，未提供或提供不全不得分。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HNZC2025-115-01</w:t>
      </w:r>
    </w:p>
    <w:p>
      <w:pPr>
        <w:pStyle w:val="null3"/>
        <w:jc w:val="left"/>
      </w:pPr>
      <w:r>
        <w:rPr>
          <w:rFonts w:ascii="仿宋_GB2312" w:hAnsi="仿宋_GB2312" w:cs="仿宋_GB2312" w:eastAsia="仿宋_GB2312"/>
        </w:rPr>
        <w:t>项目名称：</w:t>
      </w:r>
      <w:r>
        <w:rPr>
          <w:rFonts w:ascii="仿宋_GB2312" w:hAnsi="仿宋_GB2312" w:cs="仿宋_GB2312" w:eastAsia="仿宋_GB2312"/>
        </w:rPr>
        <w:t>万宁市东澳镇墟、旅游公路及各（居）村委会道路保洁、垃圾清运服务工程</w:t>
      </w:r>
    </w:p>
    <w:p>
      <w:pPr>
        <w:pStyle w:val="null3"/>
        <w:jc w:val="left"/>
      </w:pPr>
      <w:r>
        <w:rPr>
          <w:rFonts w:ascii="仿宋_GB2312" w:hAnsi="仿宋_GB2312" w:cs="仿宋_GB2312" w:eastAsia="仿宋_GB2312"/>
        </w:rPr>
        <w:t>采购包：</w:t>
      </w:r>
      <w:r>
        <w:rPr>
          <w:rFonts w:ascii="仿宋_GB2312" w:hAnsi="仿宋_GB2312" w:cs="仿宋_GB2312" w:eastAsia="仿宋_GB2312"/>
        </w:rPr>
        <w:t>万宁市东澳镇墟、旅游公路及各（居）村委会道路保洁、垃圾清运服务工程</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C07029900-其他生态环境治理服务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16814583.36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