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B2FC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宋体" w:hAnsi="宋体" w:eastAsia="宋体" w:cs="宋体"/>
          <w:b/>
          <w:bCs/>
          <w:sz w:val="44"/>
          <w:szCs w:val="44"/>
        </w:rPr>
      </w:pPr>
      <w:r>
        <w:rPr>
          <w:rFonts w:hint="eastAsia" w:ascii="宋体" w:hAnsi="宋体" w:eastAsia="宋体" w:cs="宋体"/>
          <w:b/>
          <w:bCs/>
          <w:sz w:val="44"/>
          <w:szCs w:val="44"/>
          <w:lang w:val="en-US" w:eastAsia="zh-CN"/>
        </w:rPr>
        <w:t>劳务外包</w:t>
      </w:r>
      <w:r>
        <w:rPr>
          <w:rFonts w:hint="eastAsia" w:ascii="宋体" w:hAnsi="宋体" w:eastAsia="宋体" w:cs="宋体"/>
          <w:b/>
          <w:bCs/>
          <w:sz w:val="44"/>
          <w:szCs w:val="44"/>
        </w:rPr>
        <w:t>合同</w:t>
      </w:r>
    </w:p>
    <w:p w14:paraId="3BC67F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3BF59A">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rPr>
          <w:rFonts w:hint="eastAsia" w:ascii="宋体" w:hAnsi="宋体" w:eastAsia="宋体" w:cs="宋体"/>
          <w:b/>
          <w:bCs/>
          <w:sz w:val="32"/>
          <w:szCs w:val="32"/>
        </w:rPr>
      </w:pPr>
      <w:r>
        <w:rPr>
          <w:rFonts w:hint="eastAsia" w:ascii="宋体" w:hAnsi="宋体" w:eastAsia="宋体" w:cs="宋体"/>
          <w:b/>
          <w:bCs/>
          <w:sz w:val="32"/>
          <w:szCs w:val="32"/>
        </w:rPr>
        <w:t>甲方(需求方)：</w:t>
      </w:r>
      <w:r>
        <w:rPr>
          <w:rFonts w:hint="eastAsia" w:ascii="宋体" w:hAnsi="宋体" w:eastAsia="宋体" w:cs="宋体"/>
          <w:b/>
          <w:bCs/>
          <w:sz w:val="32"/>
          <w:szCs w:val="32"/>
          <w:u w:val="single"/>
        </w:rPr>
        <w:t xml:space="preserve">文昌市林业局                          </w:t>
      </w:r>
      <w:r>
        <w:rPr>
          <w:rFonts w:hint="eastAsia" w:ascii="宋体" w:hAnsi="宋体" w:eastAsia="宋体" w:cs="宋体"/>
          <w:b/>
          <w:bCs/>
          <w:sz w:val="32"/>
          <w:szCs w:val="32"/>
        </w:rPr>
        <w:t xml:space="preserve">                          </w:t>
      </w:r>
    </w:p>
    <w:p w14:paraId="2D22ADB0">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rPr>
          <w:rFonts w:hint="eastAsia" w:ascii="宋体" w:hAnsi="宋体" w:eastAsia="宋体" w:cs="宋体"/>
          <w:b/>
          <w:bCs/>
          <w:sz w:val="32"/>
          <w:szCs w:val="32"/>
        </w:rPr>
      </w:pPr>
      <w:r>
        <w:rPr>
          <w:rFonts w:hint="eastAsia" w:ascii="宋体" w:hAnsi="宋体" w:eastAsia="宋体" w:cs="宋体"/>
          <w:b/>
          <w:bCs/>
          <w:sz w:val="32"/>
          <w:szCs w:val="32"/>
        </w:rPr>
        <w:t>地        址：</w:t>
      </w:r>
      <w:r>
        <w:rPr>
          <w:rFonts w:hint="eastAsia" w:ascii="宋体" w:hAnsi="宋体" w:eastAsia="宋体" w:cs="宋体"/>
          <w:b/>
          <w:bCs/>
          <w:sz w:val="32"/>
          <w:szCs w:val="32"/>
          <w:u w:val="single"/>
        </w:rPr>
        <w:t xml:space="preserve">文昌市                                </w:t>
      </w:r>
      <w:r>
        <w:rPr>
          <w:rFonts w:hint="eastAsia" w:ascii="宋体" w:hAnsi="宋体" w:eastAsia="宋体" w:cs="宋体"/>
          <w:b/>
          <w:bCs/>
          <w:sz w:val="32"/>
          <w:szCs w:val="32"/>
        </w:rPr>
        <w:t xml:space="preserve">                       </w:t>
      </w:r>
    </w:p>
    <w:p w14:paraId="4928B022">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rPr>
          <w:rFonts w:hint="eastAsia" w:ascii="宋体" w:hAnsi="宋体" w:eastAsia="宋体" w:cs="宋体"/>
          <w:b/>
          <w:bCs/>
          <w:sz w:val="32"/>
          <w:szCs w:val="32"/>
        </w:rPr>
      </w:pPr>
      <w:r>
        <w:rPr>
          <w:rFonts w:hint="eastAsia" w:ascii="宋体" w:hAnsi="宋体" w:eastAsia="宋体" w:cs="宋体"/>
          <w:b/>
          <w:bCs/>
          <w:sz w:val="32"/>
          <w:szCs w:val="32"/>
        </w:rPr>
        <w:t>乙方(供应商)：</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 xml:space="preserve">              </w:t>
      </w:r>
    </w:p>
    <w:p w14:paraId="18FA6015">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rPr>
          <w:rFonts w:hint="eastAsia" w:ascii="宋体" w:hAnsi="宋体" w:eastAsia="宋体" w:cs="宋体"/>
          <w:b/>
          <w:bCs/>
          <w:sz w:val="32"/>
          <w:szCs w:val="32"/>
        </w:rPr>
      </w:pPr>
      <w:r>
        <w:rPr>
          <w:rFonts w:hint="eastAsia" w:ascii="宋体" w:hAnsi="宋体" w:eastAsia="宋体" w:cs="宋体"/>
          <w:b/>
          <w:bCs/>
          <w:sz w:val="32"/>
          <w:szCs w:val="32"/>
        </w:rPr>
        <w:t>地        址：</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 xml:space="preserve">             </w:t>
      </w:r>
    </w:p>
    <w:p w14:paraId="36F32952">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rPr>
          <w:rFonts w:hint="eastAsia" w:ascii="仿宋" w:hAnsi="仿宋" w:eastAsia="仿宋" w:cs="仿宋"/>
          <w:sz w:val="30"/>
          <w:szCs w:val="30"/>
        </w:rPr>
      </w:pPr>
      <w:r>
        <w:rPr>
          <w:rFonts w:hint="eastAsia" w:ascii="宋体" w:hAnsi="宋体" w:eastAsia="宋体" w:cs="宋体"/>
          <w:b/>
          <w:bCs/>
          <w:sz w:val="32"/>
          <w:szCs w:val="32"/>
        </w:rPr>
        <w:t>电        话：</w:t>
      </w:r>
      <w:r>
        <w:rPr>
          <w:rFonts w:hint="eastAsia" w:ascii="宋体" w:hAnsi="宋体" w:eastAsia="宋体" w:cs="宋体"/>
          <w:b/>
          <w:bCs/>
          <w:sz w:val="32"/>
          <w:szCs w:val="32"/>
          <w:u w:val="single"/>
        </w:rPr>
        <w:t xml:space="preserve">   </w:t>
      </w:r>
      <w:r>
        <w:rPr>
          <w:rFonts w:hint="eastAsia" w:ascii="仿宋" w:hAnsi="仿宋" w:eastAsia="仿宋" w:cs="仿宋"/>
          <w:b/>
          <w:bCs/>
          <w:sz w:val="30"/>
          <w:szCs w:val="30"/>
          <w:u w:val="single"/>
        </w:rPr>
        <w:t xml:space="preserve">                         </w:t>
      </w:r>
      <w:r>
        <w:rPr>
          <w:rFonts w:hint="eastAsia" w:ascii="仿宋" w:hAnsi="仿宋" w:eastAsia="仿宋" w:cs="仿宋"/>
          <w:sz w:val="30"/>
          <w:szCs w:val="30"/>
        </w:rPr>
        <w:t xml:space="preserve">                        </w:t>
      </w:r>
    </w:p>
    <w:p w14:paraId="5A3325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2808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甲、乙双方根据《中华人民共和国劳动法》、《中华人民共和国劳动合同法实施条例》及其他相关法律法规，本着平等自愿、诚实信用的原则，经协商一致就甲方向乙方购买服务项目的有关事宜达成如下合同内容，供双方共同信守：</w:t>
      </w:r>
    </w:p>
    <w:p w14:paraId="59F05D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乙方根据甲方202</w:t>
      </w:r>
      <w:r>
        <w:rPr>
          <w:rFonts w:hint="eastAsia" w:ascii="仿宋" w:hAnsi="仿宋" w:eastAsia="仿宋" w:cs="仿宋"/>
          <w:sz w:val="30"/>
          <w:szCs w:val="30"/>
          <w:lang w:val="en-US" w:eastAsia="zh-CN"/>
        </w:rPr>
        <w:t>6</w:t>
      </w:r>
      <w:r>
        <w:rPr>
          <w:rFonts w:hint="eastAsia" w:ascii="仿宋" w:hAnsi="仿宋" w:eastAsia="仿宋" w:cs="仿宋"/>
          <w:sz w:val="30"/>
          <w:szCs w:val="30"/>
        </w:rPr>
        <w:t>-202</w:t>
      </w:r>
      <w:r>
        <w:rPr>
          <w:rFonts w:hint="eastAsia" w:ascii="仿宋" w:hAnsi="仿宋" w:eastAsia="仿宋" w:cs="仿宋"/>
          <w:sz w:val="30"/>
          <w:szCs w:val="30"/>
          <w:lang w:val="en-US" w:eastAsia="zh-CN"/>
        </w:rPr>
        <w:t>8</w:t>
      </w:r>
      <w:r>
        <w:rPr>
          <w:rFonts w:hint="eastAsia" w:ascii="仿宋" w:hAnsi="仿宋" w:eastAsia="仿宋" w:cs="仿宋"/>
          <w:sz w:val="30"/>
          <w:szCs w:val="30"/>
        </w:rPr>
        <w:t>年文昌市林业局购买劳务服务项目（项目编号：</w:t>
      </w:r>
      <w:r>
        <w:rPr>
          <w:rFonts w:hint="eastAsia" w:ascii="仿宋" w:hAnsi="仿宋" w:eastAsia="仿宋" w:cs="仿宋"/>
          <w:sz w:val="30"/>
          <w:szCs w:val="30"/>
          <w:lang w:val="en-US" w:eastAsia="zh-CN"/>
        </w:rPr>
        <w:t>HNYF</w:t>
      </w: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w:t>
      </w:r>
      <w:r>
        <w:rPr>
          <w:rFonts w:hint="eastAsia" w:ascii="仿宋" w:hAnsi="仿宋" w:eastAsia="仿宋" w:cs="仿宋"/>
          <w:sz w:val="30"/>
          <w:szCs w:val="30"/>
          <w:lang w:val="en-US" w:eastAsia="zh-CN"/>
        </w:rPr>
        <w:t>105</w:t>
      </w:r>
      <w:r>
        <w:rPr>
          <w:rFonts w:hint="eastAsia" w:ascii="仿宋" w:hAnsi="仿宋" w:eastAsia="仿宋" w:cs="仿宋"/>
          <w:sz w:val="30"/>
          <w:szCs w:val="30"/>
        </w:rPr>
        <w:t>）参加投标并按法律程序中标，中标服务标的为人民币(¥</w:t>
      </w:r>
      <w:r>
        <w:rPr>
          <w:rFonts w:hint="eastAsia" w:ascii="仿宋" w:hAnsi="仿宋" w:eastAsia="仿宋" w:cs="仿宋"/>
          <w:sz w:val="30"/>
          <w:szCs w:val="30"/>
          <w:lang w:val="en-US" w:eastAsia="zh-CN"/>
        </w:rPr>
        <w:t>00</w:t>
      </w:r>
      <w:r>
        <w:rPr>
          <w:rFonts w:hint="eastAsia" w:ascii="仿宋" w:hAnsi="仿宋" w:eastAsia="仿宋" w:cs="仿宋"/>
          <w:sz w:val="30"/>
          <w:szCs w:val="30"/>
        </w:rPr>
        <w:t>.</w:t>
      </w:r>
      <w:r>
        <w:rPr>
          <w:rFonts w:hint="eastAsia" w:ascii="仿宋" w:hAnsi="仿宋" w:eastAsia="仿宋" w:cs="仿宋"/>
          <w:sz w:val="30"/>
          <w:szCs w:val="30"/>
          <w:lang w:val="en-US" w:eastAsia="zh-CN"/>
        </w:rPr>
        <w:t>00</w:t>
      </w:r>
      <w:r>
        <w:rPr>
          <w:rFonts w:hint="eastAsia" w:ascii="仿宋" w:hAnsi="仿宋" w:eastAsia="仿宋" w:cs="仿宋"/>
          <w:sz w:val="30"/>
          <w:szCs w:val="30"/>
        </w:rPr>
        <w:t>元 ) 。甲</w:t>
      </w:r>
      <w:bookmarkStart w:id="0" w:name="_GoBack"/>
      <w:bookmarkEnd w:id="0"/>
      <w:r>
        <w:rPr>
          <w:rFonts w:hint="eastAsia" w:ascii="仿宋" w:hAnsi="仿宋" w:eastAsia="仿宋" w:cs="仿宋"/>
          <w:sz w:val="30"/>
          <w:szCs w:val="30"/>
        </w:rPr>
        <w:t>方向乙方购买服务的岗位为</w:t>
      </w:r>
      <w:r>
        <w:rPr>
          <w:rFonts w:hint="eastAsia" w:ascii="仿宋" w:hAnsi="仿宋" w:eastAsia="仿宋" w:cs="仿宋"/>
          <w:sz w:val="30"/>
          <w:szCs w:val="30"/>
          <w:lang w:val="en-US" w:eastAsia="zh-CN"/>
        </w:rPr>
        <w:t>80</w:t>
      </w:r>
      <w:r>
        <w:rPr>
          <w:rFonts w:hint="eastAsia" w:ascii="仿宋" w:hAnsi="仿宋" w:eastAsia="仿宋" w:cs="仿宋"/>
          <w:sz w:val="30"/>
          <w:szCs w:val="30"/>
        </w:rPr>
        <w:t>个（其中</w:t>
      </w:r>
      <w:r>
        <w:rPr>
          <w:rFonts w:hint="eastAsia" w:ascii="仿宋" w:hAnsi="仿宋" w:eastAsia="仿宋" w:cs="仿宋"/>
          <w:sz w:val="30"/>
          <w:szCs w:val="30"/>
          <w:lang w:val="en-US" w:eastAsia="zh-CN"/>
        </w:rPr>
        <w:t>专职生态护林员 45名、专职管理人员 19名、专职技术人员 16 名</w:t>
      </w:r>
      <w:r>
        <w:rPr>
          <w:rFonts w:hint="eastAsia" w:ascii="仿宋" w:hAnsi="仿宋" w:eastAsia="仿宋" w:cs="仿宋"/>
          <w:sz w:val="30"/>
          <w:szCs w:val="30"/>
        </w:rPr>
        <w:t>）。</w:t>
      </w:r>
    </w:p>
    <w:p w14:paraId="021342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A980B4">
      <w:pPr>
        <w:keepNext w:val="0"/>
        <w:keepLines w:val="0"/>
        <w:pageBreakBefore w:val="0"/>
        <w:widowControl w:val="0"/>
        <w:kinsoku/>
        <w:wordWrap/>
        <w:overflowPunct/>
        <w:topLinePunct w:val="0"/>
        <w:autoSpaceDE/>
        <w:autoSpaceDN/>
        <w:bidi w:val="0"/>
        <w:adjustRightInd/>
        <w:snapToGrid/>
        <w:spacing w:line="520" w:lineRule="exact"/>
        <w:jc w:val="both"/>
        <w:textAlignment w:val="auto"/>
        <w:outlineLvl w:val="1"/>
        <w:rPr>
          <w:rFonts w:hint="eastAsia" w:ascii="仿宋" w:hAnsi="仿宋" w:eastAsia="仿宋" w:cs="仿宋"/>
          <w:b/>
          <w:bCs/>
          <w:sz w:val="30"/>
          <w:szCs w:val="30"/>
        </w:rPr>
      </w:pPr>
      <w:r>
        <w:rPr>
          <w:rFonts w:hint="eastAsia" w:ascii="仿宋" w:hAnsi="仿宋" w:eastAsia="仿宋" w:cs="仿宋"/>
          <w:b/>
          <w:bCs/>
          <w:sz w:val="30"/>
          <w:szCs w:val="30"/>
        </w:rPr>
        <w:t>一</w:t>
      </w:r>
      <w:r>
        <w:rPr>
          <w:rFonts w:hint="eastAsia" w:ascii="仿宋" w:hAnsi="仿宋" w:eastAsia="仿宋" w:cs="仿宋"/>
          <w:b/>
          <w:bCs/>
          <w:sz w:val="30"/>
          <w:szCs w:val="30"/>
          <w:lang w:eastAsia="zh-CN"/>
        </w:rPr>
        <w:t>、</w:t>
      </w:r>
      <w:r>
        <w:rPr>
          <w:rFonts w:hint="eastAsia" w:ascii="仿宋" w:hAnsi="仿宋" w:eastAsia="仿宋" w:cs="仿宋"/>
          <w:b/>
          <w:bCs/>
          <w:sz w:val="30"/>
          <w:szCs w:val="30"/>
        </w:rPr>
        <w:t>服务内容及期限</w:t>
      </w:r>
    </w:p>
    <w:p w14:paraId="718FC9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outlineLvl w:val="2"/>
        <w:rPr>
          <w:rFonts w:hint="eastAsia" w:ascii="仿宋" w:hAnsi="仿宋" w:eastAsia="仿宋" w:cs="仿宋"/>
          <w:sz w:val="30"/>
          <w:szCs w:val="30"/>
        </w:rPr>
      </w:pPr>
      <w:r>
        <w:rPr>
          <w:rFonts w:hint="eastAsia" w:ascii="仿宋" w:hAnsi="仿宋" w:eastAsia="仿宋" w:cs="仿宋"/>
          <w:sz w:val="30"/>
          <w:szCs w:val="30"/>
        </w:rPr>
        <w:t>（一）服务内容</w:t>
      </w:r>
    </w:p>
    <w:p w14:paraId="0BDD5B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根据甲方需要，乙方负责向甲方提供从事临时性、辅助性或者替代性岗位工作所需的服务人员，甲方根据本合同约定向乙方支付服务费。</w:t>
      </w:r>
    </w:p>
    <w:p w14:paraId="50129A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outlineLvl w:val="2"/>
        <w:rPr>
          <w:rFonts w:hint="eastAsia" w:ascii="仿宋" w:hAnsi="仿宋" w:eastAsia="仿宋" w:cs="仿宋"/>
          <w:sz w:val="30"/>
          <w:szCs w:val="30"/>
        </w:rPr>
      </w:pPr>
      <w:r>
        <w:rPr>
          <w:rFonts w:hint="eastAsia" w:ascii="仿宋" w:hAnsi="仿宋" w:eastAsia="仿宋" w:cs="仿宋"/>
          <w:sz w:val="30"/>
          <w:szCs w:val="30"/>
        </w:rPr>
        <w:t>（二）购买期限</w:t>
      </w:r>
    </w:p>
    <w:p w14:paraId="3DA5E1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日起至20</w:t>
      </w:r>
      <w:r>
        <w:rPr>
          <w:rFonts w:hint="eastAsia" w:ascii="仿宋" w:hAnsi="仿宋" w:eastAsia="仿宋" w:cs="仿宋"/>
          <w:sz w:val="30"/>
          <w:szCs w:val="30"/>
          <w:lang w:val="en-US" w:eastAsia="zh-CN"/>
        </w:rPr>
        <w:t>29</w:t>
      </w: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日止。    </w:t>
      </w:r>
    </w:p>
    <w:p w14:paraId="71C888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EF9233">
      <w:pPr>
        <w:keepNext w:val="0"/>
        <w:keepLines w:val="0"/>
        <w:pageBreakBefore w:val="0"/>
        <w:widowControl w:val="0"/>
        <w:kinsoku/>
        <w:wordWrap/>
        <w:overflowPunct/>
        <w:topLinePunct w:val="0"/>
        <w:autoSpaceDE/>
        <w:autoSpaceDN/>
        <w:bidi w:val="0"/>
        <w:adjustRightInd/>
        <w:snapToGrid/>
        <w:spacing w:line="520" w:lineRule="exact"/>
        <w:jc w:val="both"/>
        <w:textAlignment w:val="auto"/>
        <w:outlineLvl w:val="1"/>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二、项目情况及岗位</w:t>
      </w:r>
    </w:p>
    <w:p w14:paraId="2D47E4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为保障我市林业资源管理工作扎实高效开展，确保各项工作任务有效落实，规范编外人员管理，以政府采购方式解决我局护林工作人员用工问题。用工岗位：专职生态护林员 45名、专职管理人员 19名、专职技术人员 16 名（按采购人岗位实际情况调整人数）</w:t>
      </w:r>
    </w:p>
    <w:p w14:paraId="6E41DAE2">
      <w:pPr>
        <w:keepNext w:val="0"/>
        <w:keepLines w:val="0"/>
        <w:pageBreakBefore w:val="0"/>
        <w:widowControl w:val="0"/>
        <w:kinsoku/>
        <w:wordWrap/>
        <w:overflowPunct/>
        <w:topLinePunct w:val="0"/>
        <w:autoSpaceDE/>
        <w:autoSpaceDN/>
        <w:bidi w:val="0"/>
        <w:adjustRightInd/>
        <w:snapToGrid/>
        <w:spacing w:line="520" w:lineRule="exact"/>
        <w:jc w:val="both"/>
        <w:textAlignment w:val="auto"/>
        <w:outlineLvl w:val="1"/>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三、岗位职责</w:t>
      </w:r>
    </w:p>
    <w:p w14:paraId="74B103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（一）专职管理人员 </w:t>
      </w:r>
    </w:p>
    <w:p w14:paraId="634E5F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履行相关法律法规规定的职责和义务，负责对监管责任区域内森林和红树林湿地资源的巡护管护工作进行监管，确保森林、林木（古树名木）、林地、红树林湿地及野生动植物等资源不受破坏。接受市林业主管部门组织的培训、检查、绩效考核以及监督指导。</w:t>
      </w:r>
    </w:p>
    <w:p w14:paraId="006568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新聘用的专职管理人员未经岗前培训不得上岗。</w:t>
      </w:r>
    </w:p>
    <w:p w14:paraId="64B1FE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1.学习掌握并积极宣传、贯彻林业法律法规和政策，提高周边群众的森林和红树林湿地资源保护意识。</w:t>
      </w:r>
    </w:p>
    <w:p w14:paraId="6EA092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规划和组织好监管责任区内森林和红树林湿地资源的护林员巡护管护工作；负责对监管责任区护林员日常工作的管理、检查、监督；对护林员报告的盗砍滥伐、乱捕滥猎、侵占林地（红树林湿地）等事件要立即汇报给市林业主管部门，并及时深入调查，配合建立档案；组织护林员召开每月管护人员例会；组织并参与巡山清山；按月检查、指导护林员的巡护记录，重点检查巡护出勤情况，每月对每个护林员出勤抽查应不少于5次，并做好检查记录，为年终考评提供依据。</w:t>
      </w:r>
    </w:p>
    <w:p w14:paraId="172C64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认真做好森林防灭火工作，组织专职护林员开展巡山查烟禁火活动，严查林区野外违规用火，杜绝火灾隐患；配合做好林业有害生物、陆生野生动物疫源疫病监测预测预报和防控工作，做到早发现、早防控、早消灭。</w:t>
      </w:r>
    </w:p>
    <w:p w14:paraId="0B0CBA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4.协助市林业主管部门对监管责任区内的荒山、疏林地和林中空地等，限期造林，恢复森林植被；对生态功能低下的疏林、残次林林分和林地进行补植和抚育，逐步提高公益林和天然林的生态功能。</w:t>
      </w:r>
    </w:p>
    <w:p w14:paraId="7ADF3E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5.协助有关部门查处监管责任区内各种破坏森林和红树林湿地资源的涉林案件和调处林权纠纷。</w:t>
      </w:r>
    </w:p>
    <w:p w14:paraId="6F2A84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6.统筹督促做好监管责任区内的森林和红树林湿地资源监测和档案管理工作。</w:t>
      </w:r>
    </w:p>
    <w:p w14:paraId="12AD0A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7.组织、协助、配合开展科研监测、科普宣教、自然教育等工作。</w:t>
      </w:r>
    </w:p>
    <w:p w14:paraId="7EED9D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8.定期向市林业主管部门汇报监管责任区内的森林和红树林湿地保护和建设工作。</w:t>
      </w:r>
    </w:p>
    <w:p w14:paraId="7D8365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9.积极完成市林业主管部门交办的其他工作任务。</w:t>
      </w:r>
    </w:p>
    <w:p w14:paraId="0F3120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依据本协议获得管护劳务报酬，依法享受法定节假日等。专职管理人员认真履行协议，如市林业主管部门不按时发放管护劳务报酬的，专职管理人员有权向市林业主管部门上级主管部门反映、或终止劳务协议、或依法向当地劳动争议仲裁委员会进行申诉。</w:t>
      </w:r>
    </w:p>
    <w:p w14:paraId="5FD0C8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（二）专职技术人员</w:t>
      </w:r>
    </w:p>
    <w:p w14:paraId="10AF3F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履行相关法律法规规定的职责和义务，负责对监管责任区域内森林和红树林湿地资源的巡护管护工作进行专业性技术指导，确保森林、林木（古树名木）、林地、红树林湿地及野生动植物等资源不受破坏。接受市林业主管部门组织的培训、检查、绩效考核以及监督指导。</w:t>
      </w:r>
    </w:p>
    <w:p w14:paraId="0DA6C8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新聘用的专职技术人员未经岗前培训不得上岗。</w:t>
      </w:r>
    </w:p>
    <w:p w14:paraId="697B77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1.学习掌握并积极宣传、贯彻林业法律法规和政策，提高周边群众的森林和红树林湿地资源保护意识。</w:t>
      </w:r>
    </w:p>
    <w:p w14:paraId="3EDABA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负责对监管责任区护林员日常工作的专业性技术指导；对护林员报告的盗砍滥伐、乱捕滥猎、侵占林地（红树林湿地）等事件要及时深入调查，建立档案；参加管护人员每月例会及其它护林活动；制定巡护方案，将森林防灭火、野生动植物保护日常巡护、林业有害生物（特别是松材线虫）监测防控、陆生野生动物疫源疫病监测防控等纳入巡护要求；合理制定巡护路线，并分析总结巡护效果，因地制宜优化调整。</w:t>
      </w:r>
    </w:p>
    <w:p w14:paraId="0152C9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3.做好监管责任区内森林和红树林湿地资源的监测、信息档案建立与管理工作；并开展野生动物及其栖息地调查、建立档案。</w:t>
      </w:r>
    </w:p>
    <w:p w14:paraId="6D6638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参与做好森林防灭火工作，组织专职护林员开展巡山查烟禁火活动，严查林区野外违规用火，杜绝火灾隐患；参与做好林业有害生物、陆生野生动物疫源疫病监测预测预报和防控工作，做到早发现、早防控、早消灭。</w:t>
      </w:r>
    </w:p>
    <w:p w14:paraId="39CFB8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5.协助市林业主管部门对监管责任区内的荒山、疏林地和林中空地等，限期造林，恢复森林植被；对生态功能低下的疏林、残次林林分和林地应当进行补植和抚育，逐步提高公益林和天然林的防护功能等级。</w:t>
      </w:r>
    </w:p>
    <w:p w14:paraId="5E1D8E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6.协助市林业主管部门开展造林经营规划、调查设计、检查验收和技术指导等工作；</w:t>
      </w:r>
    </w:p>
    <w:p w14:paraId="553143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7.协助有关部门查处监管责任区内各种破坏森林和红树林湿地资源的涉林案件和调处林权纠纷。</w:t>
      </w:r>
    </w:p>
    <w:p w14:paraId="643103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8.参与、协助、配合开展科研监测、科普宣教、自然教育等工作；</w:t>
      </w:r>
    </w:p>
    <w:p w14:paraId="419675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9.积极完成市林业主管部门交办的其他工作任务。</w:t>
      </w:r>
    </w:p>
    <w:p w14:paraId="02839B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依据本协议获得管护劳务报酬，依法享受法定节假日等。专职技术人员要认真履行协议，如市林业主管部门不按时发放管护劳务报酬的，专职技术人员有权向市林业主管部门上级主管部门反映、或终止劳务协议、或依法向当地劳动争议仲裁委员会进行申诉。</w:t>
      </w:r>
    </w:p>
    <w:p w14:paraId="2895D5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（三）专职生态护林员</w:t>
      </w:r>
    </w:p>
    <w:p w14:paraId="3B7FAB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履行相关法律法规规定的职责和义务，做好管护网格责任区域内的森林和红树林湿地资源巡护管护工作，确保森林、林木（古树名木）、林地、红树林湿地及野生动植物等资源不受破坏；接受市林业主管部门组织的培训、检查、绩效考核以及专职技术人员、管理人员的监督指导。</w:t>
      </w:r>
    </w:p>
    <w:p w14:paraId="617E1B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新聘用的专职生态护林员未经岗前培训不得上岗。</w:t>
      </w:r>
    </w:p>
    <w:p w14:paraId="471992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1.学习掌握并积极宣传、贯彻林业法律法规和政策，提高周边群众的森林和红树林湿地资源保护意识。</w:t>
      </w:r>
    </w:p>
    <w:p w14:paraId="60479D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在市林业主管部门统一部署安排下，按照划定的网格责任区开展日常巡护工作，巡护相关工作含防火值班、参加培训及管护协议规定的工作内容。每月出勤不少于22天，在高火险天气及重要时间节点，加大巡山护林频次，并认真做好巡护出勤登记和规范填写巡护情况记录。</w:t>
      </w:r>
    </w:p>
    <w:p w14:paraId="21DCCE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发现和制止各类破坏森林和红树林湿地及古树名木资源违法行为的发生和蔓延，发现森林火灾、林业有害生物灾害、陆生野生动物疫源疫病、以及林木采伐或迹地更新等异常情况，应第一时间向采购人报告，并采取适当措施控制或者处理，同时向所在区域的乡镇（街道）林长或者村（社区）林长报告：</w:t>
      </w:r>
    </w:p>
    <w:p w14:paraId="6B1AEB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加强日常巡护管护，发现有盗砍滥伐、乱采滥挖、乱捕滥猎、毁林或非法侵占林地（开垦、采石、采砂、采土等或排放有毒污水污泥）、采脂、打树枝、铲草及地表植物、开矿、筑坟、建房舍（工棚）或育苗基地、破坏古树名木和珍贵树木及其生存的自然环境、以及在幼林地和特种用途林内砍柴、毁苗、放牧等破坏资源行为的，要及时制止、并第一时间报告。</w:t>
      </w:r>
    </w:p>
    <w:p w14:paraId="77BB56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加强林区野外违规用火管控，制止各类违规用火行为；在重要时间节点，及森林防火期、农事用火高峰期、高森林火险天气和禁火令发布期间，应坚持每日巡查，及时消除火灾隐患，并向市林业主管部门汇报当日巡查情况；发现森林火情，要第一时间报告，并及时参与组织扑救。</w:t>
      </w:r>
    </w:p>
    <w:p w14:paraId="69B55B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（3）加强野生动物栖息地保护，开展野生动物保护救助工作，清套、清夹、清网，发现或接收到野生动物受伤遇险情况，要第一时间报告，并及时参与救助工作。</w:t>
      </w:r>
    </w:p>
    <w:p w14:paraId="6D0FD9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4.协助有关林权调查、纠纷调处、森林防灭火、林业有害生物灾害防治、涉林案件查处、采伐监督等工作。</w:t>
      </w:r>
    </w:p>
    <w:p w14:paraId="578C1C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5.协助有关单位开展责任区内的森林和红树林湿地资源检查验收、资源监测、调查普查、林业科研和科技推广以及封山育林、林分修复、造林、补植、抚育等工作。</w:t>
      </w:r>
    </w:p>
    <w:p w14:paraId="5E6F3C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6.协助、配合开展科研监测、科普宣教、自然教育等工作。</w:t>
      </w:r>
    </w:p>
    <w:p w14:paraId="297CE2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7.协助市林业主管部门完善并保护基础设施。发现擅自移动或者损坏林业宣传牌、标志牌、界桩、界碑、围栏、监控监测设备等保护标志设施设备的行为，予以制止，并第一时间报告市林业主管部门。</w:t>
      </w:r>
    </w:p>
    <w:p w14:paraId="736CF5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8.熟悉掌握责任区的山情、林情和民情，并参加管护人员每月例会及其它护林活动，汇报当月的管护情况。</w:t>
      </w:r>
    </w:p>
    <w:p w14:paraId="47FDC7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9.积极完成市林业主管部门交办的其他工作任务。</w:t>
      </w:r>
    </w:p>
    <w:p w14:paraId="30D004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依据本协议获得管护劳务报酬，依法享受法定节假日等。专职生态护林员要认真履行协议，如市林业主管部门不按时发放管护劳务报酬的，专职生态护林员有权向市林业主管部门上级主管部门反映、或终止劳务协议、或依法向当地劳动争议仲裁委员会进行申诉。</w:t>
      </w:r>
    </w:p>
    <w:p w14:paraId="516EBEC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四、服务人员条件及要求</w:t>
      </w:r>
    </w:p>
    <w:p w14:paraId="0B7A95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1.具有中华人民共和国国籍； </w:t>
      </w:r>
    </w:p>
    <w:p w14:paraId="71E4CC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2.热爱祖国，遵纪守法，品行端正，作风正派，责任心强，能秉公办事，无违法违纪行为；</w:t>
      </w:r>
    </w:p>
    <w:p w14:paraId="3EFBE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3.身体健康，吃苦耐劳，身体条件能胜任野外巡护工作；</w:t>
      </w:r>
    </w:p>
    <w:p w14:paraId="2A6E81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4.热爱护林工作，群众基础好，熟悉周边山情、林情、民情；</w:t>
      </w:r>
    </w:p>
    <w:p w14:paraId="3DED2F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5.招聘年龄：男性18~45周岁，女性18~40周岁，脱贫人口生态护林员年龄可适当放宽至法定退休年龄，管理人员、技术人员年龄可放宽至50周岁；</w:t>
      </w:r>
    </w:p>
    <w:p w14:paraId="4C1A47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6.文化程度：专职生态护林员须具有初中以上文化程度，管理人员须具有高中或中专（含）以上文化程度，技术人员须具有大专（含）以上文化程度。</w:t>
      </w:r>
    </w:p>
    <w:p w14:paraId="364E0F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同等条件下，本科（含）以上学历、林业相关专业毕业生、从事过林业相关人员、退伍军人、以及建档立卡脱贫户和监测对象可以优先选聘相应岗位。</w:t>
      </w:r>
    </w:p>
    <w:p w14:paraId="39E9760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五、用工方式</w:t>
      </w:r>
    </w:p>
    <w:p w14:paraId="335036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（一）原有人员 </w:t>
      </w:r>
    </w:p>
    <w:p w14:paraId="4FFA8E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中标人按照采购人拟定的岗位条件要求，以个人所在岗位的职责和按照《海南省基层林业管护人员管理办法》、《文昌市林业局重点公益林专职管护人员管理办法》为标准实行考核。中标人与考核通过人员签订劳动合同，服务人员档案、社会保险、住房公积金、工资等均由中标人负责管理、发放。 </w:t>
      </w:r>
    </w:p>
    <w:p w14:paraId="6595DE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（二）新指派人员 </w:t>
      </w:r>
    </w:p>
    <w:p w14:paraId="6C0BD2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根据文昌市林业局聘用需求，经公告、申请、审核、测试、公示、体检、聘用等考核程序，合格人员推荐指派至文昌市林业局。 </w:t>
      </w:r>
    </w:p>
    <w:p w14:paraId="4D1729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（三）中标人与采购人签定《采购服务合同》后，以政府采购形式为采购人提供服务。 </w:t>
      </w:r>
    </w:p>
    <w:p w14:paraId="6F2E74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（四）中标人负责服务人员劳动人事关系管理职能工作，其中包括办理入职手续、人事档案管理、缴交各种社会保险、劳资纠纷和工伤意外处理等人事管理工作。 </w:t>
      </w:r>
    </w:p>
    <w:p w14:paraId="4EE009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（五）按照“谁使用、谁管理、谁负责”原则，由采购方负责服务人员的日常管理。</w:t>
      </w:r>
    </w:p>
    <w:p w14:paraId="73BC5E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（六）人员考核 </w:t>
      </w:r>
    </w:p>
    <w:p w14:paraId="2B5975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考核是对服务人员德、能、勤、绩、廉的综合考评，是服务人员敬业精神、专业水平和工作实绩的客观反映。考核以服务人员岗位职责和所承担工作为基本依据，主要内容如下： </w:t>
      </w:r>
    </w:p>
    <w:p w14:paraId="64B9F6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1.思想政治、道德品质等方面表现； </w:t>
      </w:r>
    </w:p>
    <w:p w14:paraId="5083F4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2.业务知识和工作能力等方面表现； </w:t>
      </w:r>
    </w:p>
    <w:p w14:paraId="3C1172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3.工作态度、出勤情况、勤奋敬业等方面的表现； </w:t>
      </w:r>
    </w:p>
    <w:p w14:paraId="06530B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4.完成工作的数量、质量、效率等工作实绩情况； </w:t>
      </w:r>
    </w:p>
    <w:p w14:paraId="476AF3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5.遵纪守法、廉洁自律等方面的表现；</w:t>
      </w:r>
    </w:p>
    <w:p w14:paraId="1B2FBA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6、考核工作由采购方进行考核。</w:t>
      </w:r>
    </w:p>
    <w:p w14:paraId="01A52FE8">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注：本合同仅做参考，其余未尽事宜甲乙双方自行约定。</w:t>
      </w:r>
    </w:p>
    <w:p w14:paraId="1D9ADE1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14:paraId="1BD24EE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甲方（单位盖章）：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乙方（单位盖章）：</w:t>
      </w:r>
    </w:p>
    <w:p w14:paraId="264B38D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甲方法定代表人或授权人：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乙方法定代表人：</w:t>
      </w:r>
    </w:p>
    <w:p w14:paraId="3B1126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96428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AF83A">
    <w:pPr>
      <w:pStyle w:val="5"/>
      <w:pBdr>
        <w:bottom w:val="thickThinSmallGap" w:color="auto" w:sz="12" w:space="1"/>
      </w:pBdr>
      <w:jc w:val="right"/>
      <w:rPr>
        <w:rFonts w:hint="default" w:eastAsiaTheme="minorEastAsia"/>
        <w:sz w:val="21"/>
        <w:szCs w:val="21"/>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ZDE3YzgwOTVlYWI2ODdhZDFjMDkwNjQyZjYxYzIifQ=="/>
  </w:docVars>
  <w:rsids>
    <w:rsidRoot w:val="16113050"/>
    <w:rsid w:val="03F65CBE"/>
    <w:rsid w:val="05B30808"/>
    <w:rsid w:val="0C795F30"/>
    <w:rsid w:val="0F8E6586"/>
    <w:rsid w:val="112C6057"/>
    <w:rsid w:val="16113050"/>
    <w:rsid w:val="21A55059"/>
    <w:rsid w:val="227710FC"/>
    <w:rsid w:val="2F4C0592"/>
    <w:rsid w:val="3B3E21F9"/>
    <w:rsid w:val="5B624CA4"/>
    <w:rsid w:val="5ECE3876"/>
    <w:rsid w:val="69CE0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next w:val="1"/>
    <w:link w:val="8"/>
    <w:semiHidden/>
    <w:unhideWhenUsed/>
    <w:qFormat/>
    <w:uiPriority w:val="0"/>
    <w:pPr>
      <w:keepNext/>
      <w:keepLines/>
      <w:spacing w:beforeLines="0" w:beforeAutospacing="0" w:afterLines="0" w:afterAutospacing="0" w:line="560" w:lineRule="exact"/>
      <w:ind w:firstLine="894" w:firstLineChars="200"/>
      <w:outlineLvl w:val="2"/>
    </w:pPr>
    <w:rPr>
      <w:rFonts w:ascii="仿宋_GB2312" w:hAnsi="仿宋_GB2312" w:eastAsia="仿宋_GB2312" w:cs="仿宋_GB2312"/>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qFormat/>
    <w:uiPriority w:val="0"/>
    <w:pPr>
      <w:spacing w:line="560" w:lineRule="exact"/>
      <w:ind w:firstLine="630" w:firstLineChars="200"/>
      <w:jc w:val="both"/>
    </w:pPr>
    <w:rPr>
      <w:rFonts w:ascii="仿宋_GB2312" w:hAnsi="仿宋_GB2312" w:eastAsia="仿宋_GB2312" w:cs="仿宋_GB2312"/>
      <w:spacing w:val="-6"/>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3 Char"/>
    <w:link w:val="2"/>
    <w:qFormat/>
    <w:uiPriority w:val="0"/>
    <w:rPr>
      <w:rFonts w:ascii="仿宋_GB2312" w:hAnsi="仿宋_GB2312" w:eastAsia="仿宋_GB2312" w:cs="仿宋_GB2312"/>
      <w:sz w:val="32"/>
      <w:szCs w:val="3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2793</Words>
  <Characters>2873</Characters>
  <Lines>0</Lines>
  <Paragraphs>0</Paragraphs>
  <TotalTime>4</TotalTime>
  <ScaleCrop>false</ScaleCrop>
  <LinksUpToDate>false</LinksUpToDate>
  <CharactersWithSpaces>3182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2023-01-04T09:20:00Z</dcterms:created>
  <dc:creator>DELL1</dc:creator>
  <cp:lastModifiedBy>Boom</cp:lastModifiedBy>
  <dcterms:modified xsi:type="dcterms:W3CDTF">2026-02-09T09:08:48Z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74275863AB1E4A2DB92F229108B2FD26</vt:lpwstr>
  </property>
  <property fmtid="{D5CDD505-2E9C-101B-9397-08002B2CF9AE}" pid="4" name="KSOTemplateDocerSaveRecord">
    <vt:lpwstr>eyJoZGlkIjoiZjY3N2MyNzA4MjM4OWEyZDBmNTg2ZTlhNzRkY2Q3MjEiLCJ1c2VySWQiOiI1MzY5NDAwNTkifQ==</vt:lpwstr>
  </property>
</Properties>
</file>