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文昌市纪委监委办公大院2025年度物业管理服务项目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HNGP2025-89</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文昌市机关事务服务中心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文昌市机关事务服务中心</w:t>
      </w:r>
      <w:r>
        <w:rPr>
          <w:rFonts w:ascii="仿宋_GB2312" w:hAnsi="仿宋_GB2312" w:cs="仿宋_GB2312" w:eastAsia="仿宋_GB2312"/>
        </w:rPr>
        <w:t xml:space="preserve"> 委托， </w:t>
      </w:r>
      <w:r>
        <w:rPr>
          <w:rFonts w:ascii="仿宋_GB2312" w:hAnsi="仿宋_GB2312" w:cs="仿宋_GB2312" w:eastAsia="仿宋_GB2312"/>
        </w:rPr>
        <w:t>海南省政府采购中心</w:t>
      </w:r>
      <w:r>
        <w:rPr>
          <w:rFonts w:ascii="仿宋_GB2312" w:hAnsi="仿宋_GB2312" w:cs="仿宋_GB2312" w:eastAsia="仿宋_GB2312"/>
        </w:rPr>
        <w:t xml:space="preserve"> 对 </w:t>
      </w:r>
      <w:r>
        <w:rPr>
          <w:rFonts w:ascii="仿宋_GB2312" w:hAnsi="仿宋_GB2312" w:cs="仿宋_GB2312" w:eastAsia="仿宋_GB2312"/>
        </w:rPr>
        <w:t>文昌市纪委监委办公大院2025年度物业管理服务项目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HNGP2025-89</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文昌市纪委监委办公大院2025年度物业管理服务项目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5,487,336.00元</w:t>
      </w:r>
      <w:r>
        <w:rPr>
          <w:rFonts w:ascii="仿宋_GB2312" w:hAnsi="仿宋_GB2312" w:cs="仿宋_GB2312" w:eastAsia="仿宋_GB2312"/>
        </w:rPr>
        <w:t>伍佰肆拾捌万柒仟叁佰叁拾陆元整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详见“第三章 采购需求 ”</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属于专门面向中小企业采购，预留比例为100%。</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1、参加政府采购活动前三年内，无环保类行政处罚记录。提供无环保类行政处罚记录声明函，加盖公章。：参加政府采购活动前三年内，无环保类行政处罚记录。提供无环保类行政处罚记录声明函，加盖公章。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请投标人（供应商）详阅本文件中《政府采购电子招标投标活动须知》，并自行在海南省政府采购智慧云平台-下载专区查看相应的系统操作指南，严格按照操作指南要求进行系统操作。 2.本项目不接受联合体投标。</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文昌市机关事务服务中心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文昌市文城镇清澜惠民路112号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571339</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郭松</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63330774</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海南省政府采购中心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海口市美兰区大英山西二街政务二期大楼二楼208房（原省政府政务服务中心大楼北侧）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姚嘉</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0898-65321653</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采购包1：5,487,336.00元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投标有效期为从递交投标文件的截止之日起60个日历日，有效期短于此规定的投标文件将被视为无效。 2在特殊情况下，采购中心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本项目不收取代理服务费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采购单位授权评标委员会按照采购文件规定的方式确定中标（成交）供应商。</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本项目可兼投1包，本项目可兼中1包</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标人（供应商）如对采购文件中“供应商资格要求”、“采购需求”及“详细评审标准”部分有质疑的，应直接向采购人提出。2.本项目评审过程中如有价格修正、澄清、谈判/磋商/协商(二次报价)等环节，供应商需要按照海南省政府采购智慧云平台操作要求进行线上响应，不存在人为通知供应商上述所需响应的环节.根据《电子交易操作手册(供应商)》第四章评审中“供应商应当在项目评审过程中，在评审等候大厅关注评审委员会工作动态，及时做好响应评审有关准备”之规定，如供应商未在评审委员会设置的响应时间内进行线上响应，产生的一切后果由供应商自行承担。3.投标人使用智慧云平台系统遇到问题可致电技术支持：4001691288。</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联系人：郭松</w:t>
      </w:r>
    </w:p>
    <w:p>
      <w:pPr>
        <w:pStyle w:val="null3"/>
        <w:jc w:val="left"/>
      </w:pPr>
      <w:r>
        <w:rPr>
          <w:rFonts w:ascii="仿宋_GB2312" w:hAnsi="仿宋_GB2312" w:cs="仿宋_GB2312" w:eastAsia="仿宋_GB2312"/>
        </w:rPr>
        <w:t>联系电话：63330774</w:t>
      </w:r>
    </w:p>
    <w:p>
      <w:pPr>
        <w:pStyle w:val="null3"/>
        <w:jc w:val="left"/>
      </w:pPr>
      <w:r>
        <w:rPr>
          <w:rFonts w:ascii="仿宋_GB2312" w:hAnsi="仿宋_GB2312" w:cs="仿宋_GB2312" w:eastAsia="仿宋_GB2312"/>
        </w:rPr>
        <w:t>地址：文昌市文城镇清澜惠民路112号</w:t>
      </w:r>
    </w:p>
    <w:p>
      <w:pPr>
        <w:pStyle w:val="null3"/>
        <w:jc w:val="left"/>
      </w:pPr>
      <w:r>
        <w:rPr>
          <w:rFonts w:ascii="仿宋_GB2312" w:hAnsi="仿宋_GB2312" w:cs="仿宋_GB2312" w:eastAsia="仿宋_GB2312"/>
        </w:rPr>
        <w:t>邮编：571339</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联系人：姚女士</w:t>
      </w:r>
    </w:p>
    <w:p>
      <w:pPr>
        <w:pStyle w:val="null3"/>
        <w:jc w:val="left"/>
      </w:pPr>
      <w:r>
        <w:rPr>
          <w:rFonts w:ascii="仿宋_GB2312" w:hAnsi="仿宋_GB2312" w:cs="仿宋_GB2312" w:eastAsia="仿宋_GB2312"/>
        </w:rPr>
        <w:t>联系电话：089865321653</w:t>
      </w:r>
    </w:p>
    <w:p>
      <w:pPr>
        <w:pStyle w:val="null3"/>
        <w:jc w:val="left"/>
      </w:pPr>
      <w:r>
        <w:rPr>
          <w:rFonts w:ascii="仿宋_GB2312" w:hAnsi="仿宋_GB2312" w:cs="仿宋_GB2312" w:eastAsia="仿宋_GB2312"/>
        </w:rPr>
        <w:t>地址：海口市美兰区大英山西二街政务二期大楼二楼208房（原省政府政务服务中心大楼北侧）</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shd w:fill="FFFFFF" w:val="clear"/>
        </w:rPr>
        <w:t>1.物业类型：文昌市纪委监委</w:t>
      </w:r>
      <w:r>
        <w:rPr>
          <w:rFonts w:ascii="仿宋_GB2312" w:hAnsi="仿宋_GB2312" w:cs="仿宋_GB2312" w:eastAsia="仿宋_GB2312"/>
          <w:sz w:val="24"/>
          <w:shd w:fill="FFFFFF" w:val="clear"/>
        </w:rPr>
        <w:t>2025年度</w:t>
      </w:r>
      <w:r>
        <w:rPr>
          <w:rFonts w:ascii="仿宋_GB2312" w:hAnsi="仿宋_GB2312" w:cs="仿宋_GB2312" w:eastAsia="仿宋_GB2312"/>
          <w:sz w:val="24"/>
          <w:shd w:fill="FFFFFF" w:val="clear"/>
        </w:rPr>
        <w:t>办公大院物业管理服务项目，包括但不限于安保、绿化、保洁、会务、音控、水电</w:t>
      </w:r>
      <w:r>
        <w:rPr>
          <w:rFonts w:ascii="仿宋_GB2312" w:hAnsi="仿宋_GB2312" w:cs="仿宋_GB2312" w:eastAsia="仿宋_GB2312"/>
          <w:sz w:val="24"/>
          <w:shd w:fill="FFFFFF" w:val="clear"/>
        </w:rPr>
        <w:t>等管理服务</w:t>
      </w:r>
      <w:r>
        <w:rPr>
          <w:rFonts w:ascii="仿宋_GB2312" w:hAnsi="仿宋_GB2312" w:cs="仿宋_GB2312" w:eastAsia="仿宋_GB2312"/>
          <w:sz w:val="24"/>
          <w:shd w:fill="FFFFFF" w:val="clear"/>
        </w:rPr>
        <w:t>。</w:t>
      </w:r>
    </w:p>
    <w:p>
      <w:pPr>
        <w:pStyle w:val="null3"/>
        <w:ind w:firstLine="480"/>
        <w:jc w:val="left"/>
      </w:pPr>
      <w:r>
        <w:rPr>
          <w:rFonts w:ascii="仿宋_GB2312" w:hAnsi="仿宋_GB2312" w:cs="仿宋_GB2312" w:eastAsia="仿宋_GB2312"/>
          <w:sz w:val="24"/>
          <w:shd w:fill="FFFFFF" w:val="clear"/>
        </w:rPr>
        <w:t>2.座落位置：海南省文昌市文清大道。</w:t>
      </w:r>
    </w:p>
    <w:p>
      <w:pPr>
        <w:pStyle w:val="null3"/>
        <w:ind w:firstLine="480"/>
        <w:jc w:val="left"/>
      </w:pPr>
      <w:r>
        <w:rPr>
          <w:rFonts w:ascii="仿宋_GB2312" w:hAnsi="仿宋_GB2312" w:cs="仿宋_GB2312" w:eastAsia="仿宋_GB2312"/>
          <w:sz w:val="24"/>
          <w:shd w:fill="FFFFFF" w:val="clear"/>
        </w:rPr>
        <w:t>3.项目规模：文昌市纪律检查委员会、文昌市监察委员会办公大院物业管理服务项目占地约4.5亩，建筑面积约2750平方；楼层共有6层，电梯一台；一楼为办案大厅，二楼设有1个圆形会议室，六楼设有1个报告厅和1个视频会议室。办公大院配有1个集供电、供水和发电机房；大院内共有65套，总功率为110KW/h的空调机。</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5,487,336.00</w:t>
      </w:r>
    </w:p>
    <w:p>
      <w:pPr>
        <w:pStyle w:val="null3"/>
        <w:jc w:val="left"/>
      </w:pPr>
      <w:r>
        <w:rPr>
          <w:rFonts w:ascii="仿宋_GB2312" w:hAnsi="仿宋_GB2312" w:cs="仿宋_GB2312" w:eastAsia="仿宋_GB2312"/>
        </w:rPr>
        <w:t>采购包最高限价（元）: 5,487,336.00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C99000000-其他服务</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5,487,336.00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物业管理</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C99000000-其他服务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5,487,336.00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标的名称：C99000000-其他服务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482"/>
              <w:jc w:val="left"/>
            </w:pPr>
            <w:r>
              <w:rPr>
                <w:rFonts w:ascii="仿宋_GB2312" w:hAnsi="仿宋_GB2312" w:cs="仿宋_GB2312" w:eastAsia="仿宋_GB2312"/>
                <w:sz w:val="24"/>
                <w:b/>
                <w:shd w:fill="FFFFFF" w:val="clear"/>
              </w:rPr>
              <w:t>管理服务的内容</w:t>
            </w:r>
          </w:p>
          <w:p>
            <w:pPr>
              <w:pStyle w:val="null3"/>
              <w:ind w:left="15" w:firstLine="458"/>
              <w:jc w:val="left"/>
            </w:pPr>
            <w:r>
              <w:rPr>
                <w:rFonts w:ascii="仿宋_GB2312" w:hAnsi="仿宋_GB2312" w:cs="仿宋_GB2312" w:eastAsia="仿宋_GB2312"/>
                <w:sz w:val="24"/>
                <w:shd w:fill="FFFFFF" w:val="clear"/>
              </w:rPr>
              <w:t>1．办公区房屋建筑共用部位巡查，包括：楼盖、屋顶、外墙面、承重结构、楼梯间、走廊通道、门厅等。</w:t>
            </w:r>
          </w:p>
          <w:p>
            <w:pPr>
              <w:pStyle w:val="null3"/>
              <w:ind w:left="15" w:firstLine="458"/>
              <w:jc w:val="left"/>
            </w:pPr>
            <w:r>
              <w:rPr>
                <w:rFonts w:ascii="仿宋_GB2312" w:hAnsi="仿宋_GB2312" w:cs="仿宋_GB2312" w:eastAsia="仿宋_GB2312"/>
                <w:sz w:val="24"/>
                <w:shd w:fill="FFFFFF" w:val="clear"/>
              </w:rPr>
              <w:t>2．公用设施和附属建筑物、构筑物的巡查，包括院区内道路、沟渠、池、井。</w:t>
            </w:r>
          </w:p>
          <w:p>
            <w:pPr>
              <w:pStyle w:val="null3"/>
              <w:ind w:left="15" w:firstLine="458"/>
              <w:jc w:val="left"/>
            </w:pPr>
            <w:r>
              <w:rPr>
                <w:rFonts w:ascii="仿宋_GB2312" w:hAnsi="仿宋_GB2312" w:cs="仿宋_GB2312" w:eastAsia="仿宋_GB2312"/>
                <w:sz w:val="24"/>
                <w:shd w:fill="FFFFFF" w:val="clear"/>
              </w:rPr>
              <w:t>3．会议与培训共用设施、设备的养护和运行管理，包括：话筒、投影机、空放机、音响喇叭、扩音器等。</w:t>
            </w:r>
          </w:p>
          <w:p>
            <w:pPr>
              <w:pStyle w:val="null3"/>
              <w:ind w:left="15" w:firstLine="458"/>
              <w:jc w:val="left"/>
            </w:pPr>
            <w:r>
              <w:rPr>
                <w:rFonts w:ascii="仿宋_GB2312" w:hAnsi="仿宋_GB2312" w:cs="仿宋_GB2312" w:eastAsia="仿宋_GB2312"/>
                <w:sz w:val="24"/>
                <w:shd w:fill="FFFFFF" w:val="clear"/>
              </w:rPr>
              <w:t>4.公用场地、绿地、花木等的养护管理和卫生管理。</w:t>
            </w:r>
          </w:p>
          <w:p>
            <w:pPr>
              <w:pStyle w:val="null3"/>
              <w:ind w:left="15" w:firstLine="458"/>
              <w:jc w:val="left"/>
            </w:pPr>
            <w:r>
              <w:rPr>
                <w:rFonts w:ascii="仿宋_GB2312" w:hAnsi="仿宋_GB2312" w:cs="仿宋_GB2312" w:eastAsia="仿宋_GB2312"/>
                <w:sz w:val="24"/>
                <w:shd w:fill="FFFFFF" w:val="clear"/>
              </w:rPr>
              <w:t>5.环境卫生管理，包括办公楼的公共场所、公共区域的清洁卫生、垃圾的收</w:t>
            </w:r>
          </w:p>
          <w:p>
            <w:pPr>
              <w:pStyle w:val="null3"/>
              <w:ind w:left="15" w:firstLine="458"/>
              <w:jc w:val="left"/>
            </w:pPr>
            <w:r>
              <w:rPr>
                <w:rFonts w:ascii="仿宋_GB2312" w:hAnsi="仿宋_GB2312" w:cs="仿宋_GB2312" w:eastAsia="仿宋_GB2312"/>
                <w:sz w:val="24"/>
                <w:shd w:fill="FFFFFF" w:val="clear"/>
              </w:rPr>
              <w:t>集；服务区域内的</w:t>
            </w:r>
            <w:r>
              <w:rPr>
                <w:rFonts w:ascii="仿宋_GB2312" w:hAnsi="仿宋_GB2312" w:cs="仿宋_GB2312" w:eastAsia="仿宋_GB2312"/>
                <w:sz w:val="24"/>
                <w:shd w:fill="FFFFFF" w:val="clear"/>
              </w:rPr>
              <w:t>“四害”消杀。</w:t>
            </w:r>
          </w:p>
          <w:p>
            <w:pPr>
              <w:pStyle w:val="null3"/>
              <w:ind w:left="15" w:firstLine="458"/>
              <w:jc w:val="left"/>
            </w:pPr>
            <w:r>
              <w:rPr>
                <w:rFonts w:ascii="仿宋_GB2312" w:hAnsi="仿宋_GB2312" w:cs="仿宋_GB2312" w:eastAsia="仿宋_GB2312"/>
                <w:sz w:val="24"/>
                <w:shd w:fill="FFFFFF" w:val="clear"/>
              </w:rPr>
              <w:t>6.办公楼区域内交通车辆停放秩序的管理。</w:t>
            </w:r>
          </w:p>
          <w:p>
            <w:pPr>
              <w:pStyle w:val="null3"/>
              <w:ind w:left="15" w:firstLine="458"/>
              <w:jc w:val="left"/>
            </w:pPr>
            <w:r>
              <w:rPr>
                <w:rFonts w:ascii="仿宋_GB2312" w:hAnsi="仿宋_GB2312" w:cs="仿宋_GB2312" w:eastAsia="仿宋_GB2312"/>
                <w:sz w:val="24"/>
                <w:shd w:fill="FFFFFF" w:val="clear"/>
              </w:rPr>
              <w:t>7.维持公共秩序，包括门岗执勤、主楼楼层安检检查、外围巡查，组织防火防风防水防盗等。</w:t>
            </w:r>
          </w:p>
          <w:p>
            <w:pPr>
              <w:pStyle w:val="null3"/>
              <w:ind w:left="15" w:firstLine="458"/>
              <w:jc w:val="left"/>
            </w:pPr>
            <w:r>
              <w:rPr>
                <w:rFonts w:ascii="仿宋_GB2312" w:hAnsi="仿宋_GB2312" w:cs="仿宋_GB2312" w:eastAsia="仿宋_GB2312"/>
                <w:sz w:val="24"/>
                <w:shd w:fill="FFFFFF" w:val="clear"/>
              </w:rPr>
              <w:t>8.会务管理，领导办公室、会议室、视频会议室、多功能厅的清洁卫生和会议期间的服务接待，包括迎宾、会场安排与整理、倒茶倒水等。</w:t>
            </w:r>
          </w:p>
          <w:p>
            <w:pPr>
              <w:pStyle w:val="null3"/>
              <w:ind w:left="15" w:firstLine="458"/>
              <w:jc w:val="left"/>
            </w:pPr>
            <w:r>
              <w:rPr>
                <w:rFonts w:ascii="仿宋_GB2312" w:hAnsi="仿宋_GB2312" w:cs="仿宋_GB2312" w:eastAsia="仿宋_GB2312"/>
                <w:sz w:val="24"/>
                <w:shd w:fill="FFFFFF" w:val="clear"/>
              </w:rPr>
              <w:t>9.管理与物业相关的工程图纸、竣工验收资料。</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4"/>
                <w:b/>
                <w:shd w:fill="FFFFFF" w:val="clear"/>
              </w:rPr>
              <w:t>物业管理服务工作标准</w:t>
            </w:r>
          </w:p>
          <w:p>
            <w:pPr>
              <w:pStyle w:val="null3"/>
              <w:spacing w:after="150"/>
              <w:jc w:val="both"/>
            </w:pPr>
            <w:r>
              <w:rPr>
                <w:rFonts w:ascii="仿宋_GB2312" w:hAnsi="仿宋_GB2312" w:cs="仿宋_GB2312" w:eastAsia="仿宋_GB2312"/>
                <w:sz w:val="24"/>
                <w:b/>
              </w:rPr>
              <w:t>1、保安管理工作与标准</w:t>
            </w:r>
          </w:p>
          <w:tbl>
            <w:tblPr>
              <w:tblBorders>
                <w:top w:val="none" w:color="000000" w:sz="4"/>
                <w:left w:val="none" w:color="000000" w:sz="4"/>
                <w:bottom w:val="none" w:color="000000" w:sz="4"/>
                <w:right w:val="none" w:color="000000" w:sz="4"/>
                <w:insideH w:val="none"/>
                <w:insideV w:val="none"/>
              </w:tblBorders>
            </w:tblPr>
            <w:tblGrid>
              <w:gridCol w:w="221"/>
              <w:gridCol w:w="446"/>
              <w:gridCol w:w="1880"/>
            </w:tblGrid>
            <w:tr>
              <w:tc>
                <w:tcPr>
                  <w:tcW w:type="dxa" w:w="2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4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事</w:t>
                  </w:r>
                  <w:r>
                    <w:rPr>
                      <w:rFonts w:ascii="仿宋_GB2312" w:hAnsi="仿宋_GB2312" w:cs="仿宋_GB2312" w:eastAsia="仿宋_GB2312"/>
                      <w:sz w:val="24"/>
                      <w:b/>
                    </w:rPr>
                    <w:t xml:space="preserve">  </w:t>
                  </w:r>
                  <w:r>
                    <w:rPr>
                      <w:rFonts w:ascii="仿宋_GB2312" w:hAnsi="仿宋_GB2312" w:cs="仿宋_GB2312" w:eastAsia="仿宋_GB2312"/>
                      <w:sz w:val="24"/>
                      <w:b/>
                    </w:rPr>
                    <w:t>项</w:t>
                  </w:r>
                </w:p>
              </w:tc>
              <w:tc>
                <w:tcPr>
                  <w:tcW w:type="dxa" w:w="18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要</w:t>
                  </w:r>
                  <w:r>
                    <w:rPr>
                      <w:rFonts w:ascii="仿宋_GB2312" w:hAnsi="仿宋_GB2312" w:cs="仿宋_GB2312" w:eastAsia="仿宋_GB2312"/>
                      <w:sz w:val="24"/>
                      <w:b/>
                    </w:rPr>
                    <w:t xml:space="preserve">     </w:t>
                  </w:r>
                  <w:r>
                    <w:rPr>
                      <w:rFonts w:ascii="仿宋_GB2312" w:hAnsi="仿宋_GB2312" w:cs="仿宋_GB2312" w:eastAsia="仿宋_GB2312"/>
                      <w:sz w:val="24"/>
                      <w:b/>
                    </w:rPr>
                    <w:t>求</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门岗</w:t>
                  </w:r>
                </w:p>
              </w:tc>
              <w:tc>
                <w:tcPr>
                  <w:tcW w:type="dxa" w:w="1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门岗</w:t>
                  </w:r>
                  <w:r>
                    <w:rPr>
                      <w:rFonts w:ascii="仿宋_GB2312" w:hAnsi="仿宋_GB2312" w:cs="仿宋_GB2312" w:eastAsia="仿宋_GB2312"/>
                      <w:sz w:val="24"/>
                    </w:rPr>
                    <w:t>24小时执勤，上下班时间及有客人来访时间立岗值班。</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楼层安检岗</w:t>
                  </w:r>
                </w:p>
              </w:tc>
              <w:tc>
                <w:tcPr>
                  <w:tcW w:type="dxa" w:w="1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未经领导同意，访客不得入内；负责访客盘问、登记、检查，对访客引领工作。</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巡查</w:t>
                  </w:r>
                </w:p>
              </w:tc>
              <w:tc>
                <w:tcPr>
                  <w:tcW w:type="dxa" w:w="1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甲方上班时间外巡逻，重点部位巡查每两小时不少于一次。</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安全防范警示标志</w:t>
                  </w:r>
                </w:p>
              </w:tc>
              <w:tc>
                <w:tcPr>
                  <w:tcW w:type="dxa" w:w="1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协助</w:t>
                  </w:r>
                  <w:r>
                    <w:rPr>
                      <w:rFonts w:ascii="仿宋_GB2312" w:hAnsi="仿宋_GB2312" w:cs="仿宋_GB2312" w:eastAsia="仿宋_GB2312"/>
                      <w:sz w:val="24"/>
                    </w:rPr>
                    <w:t>业主做好</w:t>
                  </w:r>
                  <w:r>
                    <w:rPr>
                      <w:rFonts w:ascii="仿宋_GB2312" w:hAnsi="仿宋_GB2312" w:cs="仿宋_GB2312" w:eastAsia="仿宋_GB2312"/>
                      <w:sz w:val="24"/>
                    </w:rPr>
                    <w:t>设备房、</w:t>
                  </w:r>
                  <w:r>
                    <w:rPr>
                      <w:rFonts w:ascii="仿宋_GB2312" w:hAnsi="仿宋_GB2312" w:cs="仿宋_GB2312" w:eastAsia="仿宋_GB2312"/>
                      <w:sz w:val="24"/>
                    </w:rPr>
                    <w:t>楼</w:t>
                  </w:r>
                  <w:r>
                    <w:rPr>
                      <w:rFonts w:ascii="仿宋_GB2312" w:hAnsi="仿宋_GB2312" w:cs="仿宋_GB2312" w:eastAsia="仿宋_GB2312"/>
                      <w:sz w:val="24"/>
                    </w:rPr>
                    <w:t>顶天台等危险部位</w:t>
                  </w:r>
                  <w:r>
                    <w:rPr>
                      <w:rFonts w:ascii="仿宋_GB2312" w:hAnsi="仿宋_GB2312" w:cs="仿宋_GB2312" w:eastAsia="仿宋_GB2312"/>
                      <w:sz w:val="24"/>
                    </w:rPr>
                    <w:t>的</w:t>
                  </w:r>
                  <w:r>
                    <w:rPr>
                      <w:rFonts w:ascii="仿宋_GB2312" w:hAnsi="仿宋_GB2312" w:cs="仿宋_GB2312" w:eastAsia="仿宋_GB2312"/>
                      <w:sz w:val="24"/>
                    </w:rPr>
                    <w:t>安全防范警示标志。</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外来人员</w:t>
                  </w:r>
                </w:p>
              </w:tc>
              <w:tc>
                <w:tcPr>
                  <w:tcW w:type="dxa" w:w="1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进出各区域的装修工、临时服务人员实施发放临时出入证管理；对外来人员作盘问、登记管理；对访客登记、指引行走路径。</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车辆管理</w:t>
                  </w:r>
                </w:p>
              </w:tc>
              <w:tc>
                <w:tcPr>
                  <w:tcW w:type="dxa" w:w="1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内部车辆，凭证出入；外来车辆禁止入内。</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突发事件</w:t>
                  </w:r>
                </w:p>
              </w:tc>
              <w:tc>
                <w:tcPr>
                  <w:tcW w:type="dxa" w:w="1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火灾、水浸、刑事、地震、人员上访等突发事件有应急处理预案（每年预演一次）。</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危险品</w:t>
                  </w:r>
                </w:p>
              </w:tc>
              <w:tc>
                <w:tcPr>
                  <w:tcW w:type="dxa" w:w="1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严格审查，未经同意禁止入内。</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大件物品</w:t>
                  </w:r>
                </w:p>
              </w:tc>
              <w:tc>
                <w:tcPr>
                  <w:tcW w:type="dxa" w:w="1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大件物品凭证放行；未经确认，一律扣留。</w:t>
                  </w:r>
                </w:p>
              </w:tc>
            </w:tr>
          </w:tbl>
          <w:p>
            <w:pPr>
              <w:pStyle w:val="null3"/>
              <w:jc w:val="left"/>
            </w:pPr>
            <w:r>
              <w:rPr>
                <w:rFonts w:ascii="仿宋_GB2312" w:hAnsi="仿宋_GB2312" w:cs="仿宋_GB2312" w:eastAsia="仿宋_GB2312"/>
                <w:sz w:val="24"/>
                <w:b/>
              </w:rPr>
              <w:t>2、保洁工作频次及标准</w:t>
            </w:r>
          </w:p>
          <w:tbl>
            <w:tblPr>
              <w:tblBorders>
                <w:top w:val="none" w:color="000000" w:sz="4"/>
                <w:left w:val="none" w:color="000000" w:sz="4"/>
                <w:bottom w:val="none" w:color="000000" w:sz="4"/>
                <w:right w:val="none" w:color="000000" w:sz="4"/>
                <w:insideH w:val="none"/>
                <w:insideV w:val="none"/>
              </w:tblBorders>
            </w:tblPr>
            <w:tblGrid>
              <w:gridCol w:w="255"/>
              <w:gridCol w:w="527"/>
              <w:gridCol w:w="361"/>
              <w:gridCol w:w="331"/>
              <w:gridCol w:w="340"/>
              <w:gridCol w:w="723"/>
            </w:tblGrid>
            <w:tr>
              <w:tc>
                <w:tcPr>
                  <w:tcW w:type="dxa" w:w="25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区域</w:t>
                  </w:r>
                </w:p>
              </w:tc>
              <w:tc>
                <w:tcPr>
                  <w:tcW w:type="dxa" w:w="52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清洁项目</w:t>
                  </w:r>
                </w:p>
              </w:tc>
              <w:tc>
                <w:tcPr>
                  <w:tcW w:type="dxa" w:w="1032"/>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工作频次</w:t>
                  </w:r>
                </w:p>
              </w:tc>
              <w:tc>
                <w:tcPr>
                  <w:tcW w:type="dxa" w:w="72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工作标准</w:t>
                  </w:r>
                </w:p>
              </w:tc>
            </w:tr>
            <w:tr>
              <w:tc>
                <w:tcPr>
                  <w:tcW w:type="dxa" w:w="255"/>
                  <w:vMerge/>
                  <w:tcBorders>
                    <w:top w:val="single" w:color="000000" w:sz="4"/>
                    <w:left w:val="single" w:color="000000" w:sz="4"/>
                    <w:bottom w:val="single" w:color="000000" w:sz="4"/>
                    <w:right w:val="single" w:color="000000" w:sz="4"/>
                  </w:tcBorders>
                </w:tcPr>
                <w:p/>
              </w:tc>
              <w:tc>
                <w:tcPr>
                  <w:tcW w:type="dxa" w:w="527"/>
                  <w:vMerge/>
                  <w:tcBorders>
                    <w:top w:val="single" w:color="000000" w:sz="4"/>
                    <w:left w:val="single" w:color="000000" w:sz="4"/>
                    <w:bottom w:val="single" w:color="000000" w:sz="4"/>
                    <w:right w:val="single" w:color="000000" w:sz="4"/>
                  </w:tcBorders>
                </w:tcP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每日</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每周</w:t>
                  </w:r>
                </w:p>
              </w:tc>
              <w:tc>
                <w:tcPr>
                  <w:tcW w:type="dxa" w:w="3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每月</w:t>
                  </w:r>
                </w:p>
              </w:tc>
              <w:tc>
                <w:tcPr>
                  <w:tcW w:type="dxa" w:w="723"/>
                  <w:vMerge/>
                  <w:tcBorders>
                    <w:top w:val="single" w:color="000000" w:sz="4"/>
                    <w:left w:val="single" w:color="000000" w:sz="4"/>
                    <w:bottom w:val="single" w:color="000000" w:sz="4"/>
                    <w:right w:val="single" w:color="000000" w:sz="4"/>
                  </w:tcBorders>
                </w:tcPr>
                <w:p/>
              </w:tc>
            </w:tr>
            <w:tr>
              <w:tc>
                <w:tcPr>
                  <w:tcW w:type="dxa" w:w="2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br/>
                  </w:r>
                  <w:r>
                    <w:rPr>
                      <w:rFonts w:ascii="仿宋_GB2312" w:hAnsi="仿宋_GB2312" w:cs="仿宋_GB2312" w:eastAsia="仿宋_GB2312"/>
                      <w:sz w:val="24"/>
                    </w:rPr>
                    <w:t>培</w:t>
                  </w:r>
                  <w:r>
                    <w:br/>
                  </w:r>
                  <w:r>
                    <w:rPr>
                      <w:rFonts w:ascii="仿宋_GB2312" w:hAnsi="仿宋_GB2312" w:cs="仿宋_GB2312" w:eastAsia="仿宋_GB2312"/>
                      <w:sz w:val="24"/>
                    </w:rPr>
                    <w:t>训</w:t>
                  </w:r>
                  <w:r>
                    <w:br/>
                  </w:r>
                  <w:r>
                    <w:rPr>
                      <w:rFonts w:ascii="仿宋_GB2312" w:hAnsi="仿宋_GB2312" w:cs="仿宋_GB2312" w:eastAsia="仿宋_GB2312"/>
                      <w:sz w:val="24"/>
                    </w:rPr>
                    <w:t>室</w:t>
                  </w:r>
                </w:p>
                <w:p>
                  <w:pPr>
                    <w:pStyle w:val="null3"/>
                    <w:jc w:val="center"/>
                  </w:pPr>
                  <w:r>
                    <w:rPr>
                      <w:rFonts w:ascii="仿宋_GB2312" w:hAnsi="仿宋_GB2312" w:cs="仿宋_GB2312" w:eastAsia="仿宋_GB2312"/>
                      <w:sz w:val="24"/>
                    </w:rPr>
                    <w:t>、</w:t>
                  </w:r>
                </w:p>
                <w:p>
                  <w:pPr>
                    <w:pStyle w:val="null3"/>
                    <w:jc w:val="center"/>
                  </w:pPr>
                  <w:r>
                    <w:rPr>
                      <w:rFonts w:ascii="仿宋_GB2312" w:hAnsi="仿宋_GB2312" w:cs="仿宋_GB2312" w:eastAsia="仿宋_GB2312"/>
                      <w:sz w:val="24"/>
                    </w:rPr>
                    <w:t>会</w:t>
                  </w:r>
                  <w:r>
                    <w:br/>
                  </w:r>
                  <w:r>
                    <w:rPr>
                      <w:rFonts w:ascii="仿宋_GB2312" w:hAnsi="仿宋_GB2312" w:cs="仿宋_GB2312" w:eastAsia="仿宋_GB2312"/>
                      <w:sz w:val="24"/>
                    </w:rPr>
                    <w:t>议</w:t>
                  </w:r>
                  <w:r>
                    <w:br/>
                  </w:r>
                  <w:r>
                    <w:rPr>
                      <w:rFonts w:ascii="仿宋_GB2312" w:hAnsi="仿宋_GB2312" w:cs="仿宋_GB2312" w:eastAsia="仿宋_GB2312"/>
                      <w:sz w:val="24"/>
                    </w:rPr>
                    <w:t>室</w:t>
                  </w:r>
                  <w:r>
                    <w:br/>
                  </w:r>
                  <w:r>
                    <w:rPr>
                      <w:rFonts w:ascii="仿宋_GB2312" w:hAnsi="仿宋_GB2312" w:cs="仿宋_GB2312" w:eastAsia="仿宋_GB2312"/>
                      <w:sz w:val="24"/>
                    </w:rPr>
                    <w:t>、</w:t>
                  </w:r>
                  <w:r>
                    <w:br/>
                  </w:r>
                  <w:r>
                    <w:rPr>
                      <w:rFonts w:ascii="仿宋_GB2312" w:hAnsi="仿宋_GB2312" w:cs="仿宋_GB2312" w:eastAsia="仿宋_GB2312"/>
                      <w:sz w:val="24"/>
                    </w:rPr>
                    <w:t>多</w:t>
                  </w:r>
                  <w:r>
                    <w:br/>
                  </w:r>
                  <w:r>
                    <w:rPr>
                      <w:rFonts w:ascii="仿宋_GB2312" w:hAnsi="仿宋_GB2312" w:cs="仿宋_GB2312" w:eastAsia="仿宋_GB2312"/>
                      <w:sz w:val="24"/>
                    </w:rPr>
                    <w:t>功</w:t>
                  </w:r>
                  <w:r>
                    <w:br/>
                  </w:r>
                  <w:r>
                    <w:rPr>
                      <w:rFonts w:ascii="仿宋_GB2312" w:hAnsi="仿宋_GB2312" w:cs="仿宋_GB2312" w:eastAsia="仿宋_GB2312"/>
                      <w:sz w:val="24"/>
                    </w:rPr>
                    <w:t>能</w:t>
                  </w:r>
                  <w:r>
                    <w:br/>
                  </w:r>
                  <w:r>
                    <w:rPr>
                      <w:rFonts w:ascii="仿宋_GB2312" w:hAnsi="仿宋_GB2312" w:cs="仿宋_GB2312" w:eastAsia="仿宋_GB2312"/>
                      <w:sz w:val="24"/>
                    </w:rPr>
                    <w:t>厅</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地面</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1次</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无灰尘、无污渍</w:t>
                  </w:r>
                </w:p>
              </w:tc>
            </w:tr>
            <w:tr>
              <w:tc>
                <w:tcPr>
                  <w:tcW w:type="dxa" w:w="255"/>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墙壁低位（</w:t>
                  </w:r>
                  <w:r>
                    <w:rPr>
                      <w:rFonts w:ascii="仿宋_GB2312" w:hAnsi="仿宋_GB2312" w:cs="仿宋_GB2312" w:eastAsia="仿宋_GB2312"/>
                      <w:sz w:val="24"/>
                    </w:rPr>
                    <w:t>1.5M以下）</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清洁</w:t>
                  </w:r>
                  <w:r>
                    <w:rPr>
                      <w:rFonts w:ascii="仿宋_GB2312" w:hAnsi="仿宋_GB2312" w:cs="仿宋_GB2312" w:eastAsia="仿宋_GB2312"/>
                      <w:sz w:val="24"/>
                    </w:rPr>
                    <w:t>1次</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无灰尘、无污渍</w:t>
                  </w:r>
                </w:p>
              </w:tc>
            </w:tr>
            <w:tr>
              <w:tc>
                <w:tcPr>
                  <w:tcW w:type="dxa" w:w="255"/>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墙壁高位（</w:t>
                  </w:r>
                  <w:r>
                    <w:rPr>
                      <w:rFonts w:ascii="仿宋_GB2312" w:hAnsi="仿宋_GB2312" w:cs="仿宋_GB2312" w:eastAsia="仿宋_GB2312"/>
                      <w:sz w:val="24"/>
                    </w:rPr>
                    <w:t>1.5M以上）</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掸尘</w:t>
                  </w:r>
                  <w:r>
                    <w:rPr>
                      <w:rFonts w:ascii="仿宋_GB2312" w:hAnsi="仿宋_GB2312" w:cs="仿宋_GB2312" w:eastAsia="仿宋_GB2312"/>
                      <w:sz w:val="24"/>
                    </w:rPr>
                    <w:t>1次</w:t>
                  </w: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无积尘、无污渍、无蛛网</w:t>
                  </w:r>
                </w:p>
              </w:tc>
            </w:tr>
            <w:tr>
              <w:tc>
                <w:tcPr>
                  <w:tcW w:type="dxa" w:w="255"/>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门、窗、窗台</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1次</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无积尘、无污渍</w:t>
                  </w:r>
                </w:p>
              </w:tc>
            </w:tr>
            <w:tr>
              <w:tc>
                <w:tcPr>
                  <w:tcW w:type="dxa" w:w="255"/>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天花、风口、灯饰、牌</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1次</w:t>
                  </w: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无积尘、无污渍、无蛛网</w:t>
                  </w:r>
                </w:p>
              </w:tc>
            </w:tr>
            <w:tr>
              <w:tc>
                <w:tcPr>
                  <w:tcW w:type="dxa" w:w="255"/>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玻璃</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刮洗</w:t>
                  </w:r>
                  <w:r>
                    <w:rPr>
                      <w:rFonts w:ascii="仿宋_GB2312" w:hAnsi="仿宋_GB2312" w:cs="仿宋_GB2312" w:eastAsia="仿宋_GB2312"/>
                      <w:sz w:val="24"/>
                    </w:rPr>
                    <w:t>1次</w:t>
                  </w: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无积尘、无污渍、光亮</w:t>
                  </w:r>
                </w:p>
              </w:tc>
            </w:tr>
            <w:tr>
              <w:tc>
                <w:tcPr>
                  <w:tcW w:type="dxa" w:w="255"/>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墙壁附属设施</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1次</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无积尘、无污渍</w:t>
                  </w:r>
                </w:p>
              </w:tc>
            </w:tr>
            <w:tr>
              <w:tc>
                <w:tcPr>
                  <w:tcW w:type="dxa" w:w="255"/>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电脑、桌椅</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3次</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无积尘、无污渍</w:t>
                  </w:r>
                </w:p>
              </w:tc>
            </w:tr>
            <w:tr>
              <w:tc>
                <w:tcPr>
                  <w:tcW w:type="dxa" w:w="2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br/>
                  </w:r>
                  <w:r>
                    <w:br/>
                  </w:r>
                  <w:r>
                    <w:br/>
                  </w:r>
                  <w:r>
                    <w:br/>
                  </w:r>
                  <w:r>
                    <w:br/>
                  </w:r>
                  <w:r>
                    <w:rPr>
                      <w:rFonts w:ascii="仿宋_GB2312" w:hAnsi="仿宋_GB2312" w:cs="仿宋_GB2312" w:eastAsia="仿宋_GB2312"/>
                      <w:sz w:val="24"/>
                    </w:rPr>
                    <w:t>大</w:t>
                  </w:r>
                  <w:r>
                    <w:br/>
                  </w:r>
                  <w:r>
                    <w:rPr>
                      <w:rFonts w:ascii="仿宋_GB2312" w:hAnsi="仿宋_GB2312" w:cs="仿宋_GB2312" w:eastAsia="仿宋_GB2312"/>
                      <w:sz w:val="24"/>
                    </w:rPr>
                    <w:t>堂</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大理石地面</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随时保洁</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保养</w:t>
                  </w:r>
                  <w:r>
                    <w:rPr>
                      <w:rFonts w:ascii="仿宋_GB2312" w:hAnsi="仿宋_GB2312" w:cs="仿宋_GB2312" w:eastAsia="仿宋_GB2312"/>
                      <w:sz w:val="24"/>
                    </w:rPr>
                    <w:t>1次</w:t>
                  </w: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无灰尘、无污渍，显湿地效应</w:t>
                  </w:r>
                </w:p>
              </w:tc>
            </w:tr>
            <w:tr>
              <w:tc>
                <w:tcPr>
                  <w:tcW w:type="dxa" w:w="255"/>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墙面</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随时保洁</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全面清洁</w:t>
                  </w:r>
                  <w:r>
                    <w:rPr>
                      <w:rFonts w:ascii="仿宋_GB2312" w:hAnsi="仿宋_GB2312" w:cs="仿宋_GB2312" w:eastAsia="仿宋_GB2312"/>
                      <w:sz w:val="24"/>
                    </w:rPr>
                    <w:t>1次</w:t>
                  </w: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无灰尘、无污渍，无蛛网</w:t>
                  </w:r>
                </w:p>
              </w:tc>
            </w:tr>
            <w:tr>
              <w:tc>
                <w:tcPr>
                  <w:tcW w:type="dxa" w:w="255"/>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门、玻璃</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1次</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无灰尘、无污渍、无水迹、光亮</w:t>
                  </w:r>
                </w:p>
              </w:tc>
            </w:tr>
            <w:tr>
              <w:tc>
                <w:tcPr>
                  <w:tcW w:type="dxa" w:w="255"/>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台阶</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随时保洁</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清洗</w:t>
                  </w:r>
                  <w:r>
                    <w:rPr>
                      <w:rFonts w:ascii="仿宋_GB2312" w:hAnsi="仿宋_GB2312" w:cs="仿宋_GB2312" w:eastAsia="仿宋_GB2312"/>
                      <w:sz w:val="24"/>
                    </w:rPr>
                    <w:t>2次</w:t>
                  </w: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无灰尘、无污渍</w:t>
                  </w:r>
                </w:p>
              </w:tc>
            </w:tr>
            <w:tr>
              <w:tc>
                <w:tcPr>
                  <w:tcW w:type="dxa" w:w="255"/>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天花、风口，悬挂灯饰、牌</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1次</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无积尘、无污渍</w:t>
                  </w:r>
                </w:p>
              </w:tc>
            </w:tr>
            <w:tr>
              <w:tc>
                <w:tcPr>
                  <w:tcW w:type="dxa" w:w="255"/>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接待台</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1次</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无灰尘、无污渍</w:t>
                  </w:r>
                </w:p>
              </w:tc>
            </w:tr>
            <w:tr>
              <w:tc>
                <w:tcPr>
                  <w:tcW w:type="dxa" w:w="255"/>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垃圾桶</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2次</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无积尘、无污渍、无异味</w:t>
                  </w:r>
                </w:p>
              </w:tc>
            </w:tr>
            <w:tr>
              <w:tc>
                <w:tcPr>
                  <w:tcW w:type="dxa" w:w="255"/>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花卉植物</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1次</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干净鲜活，无积尘、无污渍</w:t>
                  </w:r>
                </w:p>
              </w:tc>
            </w:tr>
            <w:tr>
              <w:tc>
                <w:tcPr>
                  <w:tcW w:type="dxa" w:w="255"/>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装饰物</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1次</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无灰尘、无污渍</w:t>
                  </w:r>
                </w:p>
              </w:tc>
            </w:tr>
            <w:tr>
              <w:tc>
                <w:tcPr>
                  <w:tcW w:type="dxa" w:w="2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br/>
                  </w:r>
                  <w:r>
                    <w:br/>
                  </w:r>
                  <w:r>
                    <w:br/>
                  </w:r>
                  <w:r>
                    <w:rPr>
                      <w:rFonts w:ascii="仿宋_GB2312" w:hAnsi="仿宋_GB2312" w:cs="仿宋_GB2312" w:eastAsia="仿宋_GB2312"/>
                      <w:sz w:val="24"/>
                    </w:rPr>
                    <w:t>电</w:t>
                  </w:r>
                  <w:r>
                    <w:br/>
                  </w:r>
                  <w:r>
                    <w:rPr>
                      <w:rFonts w:ascii="仿宋_GB2312" w:hAnsi="仿宋_GB2312" w:cs="仿宋_GB2312" w:eastAsia="仿宋_GB2312"/>
                      <w:sz w:val="24"/>
                    </w:rPr>
                    <w:t>梯</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电梯门</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随时保洁</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洁净光亮、油面均匀</w:t>
                  </w:r>
                </w:p>
              </w:tc>
            </w:tr>
            <w:tr>
              <w:tc>
                <w:tcPr>
                  <w:tcW w:type="dxa" w:w="255"/>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电梯轿厢</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随时保洁</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洁净光亮、无异味</w:t>
                  </w:r>
                </w:p>
              </w:tc>
            </w:tr>
            <w:tr>
              <w:tc>
                <w:tcPr>
                  <w:tcW w:type="dxa" w:w="255"/>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顶灯</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1次</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明亮、无尘、无蛛网</w:t>
                  </w:r>
                </w:p>
              </w:tc>
            </w:tr>
            <w:tr>
              <w:tc>
                <w:tcPr>
                  <w:tcW w:type="dxa" w:w="255"/>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踏板接缝</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清理</w:t>
                  </w:r>
                  <w:r>
                    <w:rPr>
                      <w:rFonts w:ascii="仿宋_GB2312" w:hAnsi="仿宋_GB2312" w:cs="仿宋_GB2312" w:eastAsia="仿宋_GB2312"/>
                      <w:sz w:val="24"/>
                    </w:rPr>
                    <w:t>1次</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无灰尘、无污渍</w:t>
                  </w:r>
                </w:p>
              </w:tc>
            </w:tr>
            <w:tr>
              <w:tc>
                <w:tcPr>
                  <w:tcW w:type="dxa" w:w="255"/>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地垫</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1次</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无垃圾、无污渍</w:t>
                  </w:r>
                </w:p>
              </w:tc>
            </w:tr>
            <w:tr>
              <w:tc>
                <w:tcPr>
                  <w:tcW w:type="dxa" w:w="2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区域</w:t>
                  </w:r>
                </w:p>
              </w:tc>
              <w:tc>
                <w:tcPr>
                  <w:tcW w:type="dxa" w:w="5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清洁项目</w:t>
                  </w:r>
                </w:p>
              </w:tc>
              <w:tc>
                <w:tcPr>
                  <w:tcW w:type="dxa" w:w="1032"/>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工作频次</w:t>
                  </w:r>
                </w:p>
              </w:tc>
              <w:tc>
                <w:tcPr>
                  <w:tcW w:type="dxa" w:w="7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工作标准</w:t>
                  </w:r>
                </w:p>
              </w:tc>
            </w:tr>
            <w:tr>
              <w:tc>
                <w:tcPr>
                  <w:tcW w:type="dxa" w:w="255"/>
                  <w:vMerge/>
                  <w:tcBorders>
                    <w:top w:val="none" w:color="000000" w:sz="4"/>
                    <w:left w:val="single" w:color="000000" w:sz="4"/>
                    <w:bottom w:val="single" w:color="000000" w:sz="4"/>
                    <w:right w:val="single" w:color="000000" w:sz="4"/>
                  </w:tcBorders>
                </w:tcPr>
                <w:p/>
              </w:tc>
              <w:tc>
                <w:tcPr>
                  <w:tcW w:type="dxa" w:w="527"/>
                  <w:vMerge/>
                  <w:tcBorders>
                    <w:top w:val="none" w:color="000000" w:sz="4"/>
                    <w:left w:val="single" w:color="000000" w:sz="4"/>
                    <w:bottom w:val="single" w:color="000000" w:sz="4"/>
                    <w:right w:val="single" w:color="000000" w:sz="4"/>
                  </w:tcBorders>
                </w:tcP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每日</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每周</w:t>
                  </w:r>
                </w:p>
              </w:tc>
              <w:tc>
                <w:tcPr>
                  <w:tcW w:type="dxa" w:w="3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每月</w:t>
                  </w:r>
                </w:p>
              </w:tc>
              <w:tc>
                <w:tcPr>
                  <w:tcW w:type="dxa" w:w="723"/>
                  <w:vMerge/>
                  <w:tcBorders>
                    <w:top w:val="none" w:color="000000" w:sz="4"/>
                    <w:left w:val="single" w:color="000000" w:sz="4"/>
                    <w:bottom w:val="single" w:color="000000" w:sz="4"/>
                    <w:right w:val="single" w:color="000000" w:sz="4"/>
                  </w:tcBorders>
                </w:tcPr>
                <w:p/>
              </w:tc>
            </w:tr>
            <w:tr>
              <w:tc>
                <w:tcPr>
                  <w:tcW w:type="dxa" w:w="2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br/>
                  </w:r>
                  <w:r>
                    <w:br/>
                  </w:r>
                  <w:r>
                    <w:br/>
                  </w:r>
                  <w:r>
                    <w:rPr>
                      <w:rFonts w:ascii="仿宋_GB2312" w:hAnsi="仿宋_GB2312" w:cs="仿宋_GB2312" w:eastAsia="仿宋_GB2312"/>
                      <w:sz w:val="24"/>
                    </w:rPr>
                    <w:t>消</w:t>
                  </w:r>
                  <w:r>
                    <w:br/>
                  </w:r>
                  <w:r>
                    <w:rPr>
                      <w:rFonts w:ascii="仿宋_GB2312" w:hAnsi="仿宋_GB2312" w:cs="仿宋_GB2312" w:eastAsia="仿宋_GB2312"/>
                      <w:sz w:val="24"/>
                    </w:rPr>
                    <w:t>防</w:t>
                  </w:r>
                  <w:r>
                    <w:br/>
                  </w:r>
                  <w:r>
                    <w:rPr>
                      <w:rFonts w:ascii="仿宋_GB2312" w:hAnsi="仿宋_GB2312" w:cs="仿宋_GB2312" w:eastAsia="仿宋_GB2312"/>
                      <w:sz w:val="24"/>
                    </w:rPr>
                    <w:t>通</w:t>
                  </w:r>
                  <w:r>
                    <w:br/>
                  </w:r>
                  <w:r>
                    <w:rPr>
                      <w:rFonts w:ascii="仿宋_GB2312" w:hAnsi="仿宋_GB2312" w:cs="仿宋_GB2312" w:eastAsia="仿宋_GB2312"/>
                      <w:sz w:val="24"/>
                    </w:rPr>
                    <w:t>道</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平台地面、踏步</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1次</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拖洗</w:t>
                  </w:r>
                  <w:r>
                    <w:rPr>
                      <w:rFonts w:ascii="仿宋_GB2312" w:hAnsi="仿宋_GB2312" w:cs="仿宋_GB2312" w:eastAsia="仿宋_GB2312"/>
                      <w:sz w:val="24"/>
                    </w:rPr>
                    <w:t>2次</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清洗</w:t>
                  </w:r>
                  <w:r>
                    <w:rPr>
                      <w:rFonts w:ascii="仿宋_GB2312" w:hAnsi="仿宋_GB2312" w:cs="仿宋_GB2312" w:eastAsia="仿宋_GB2312"/>
                      <w:sz w:val="24"/>
                    </w:rPr>
                    <w:t>1次</w:t>
                  </w: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无积尘、无污渍</w:t>
                  </w:r>
                </w:p>
              </w:tc>
            </w:tr>
            <w:tr>
              <w:tc>
                <w:tcPr>
                  <w:tcW w:type="dxa" w:w="255"/>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墙壁低位（</w:t>
                  </w:r>
                  <w:r>
                    <w:rPr>
                      <w:rFonts w:ascii="仿宋_GB2312" w:hAnsi="仿宋_GB2312" w:cs="仿宋_GB2312" w:eastAsia="仿宋_GB2312"/>
                      <w:sz w:val="24"/>
                    </w:rPr>
                    <w:t>1.5M以下）</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清洁</w:t>
                  </w:r>
                  <w:r>
                    <w:rPr>
                      <w:rFonts w:ascii="仿宋_GB2312" w:hAnsi="仿宋_GB2312" w:cs="仿宋_GB2312" w:eastAsia="仿宋_GB2312"/>
                      <w:sz w:val="24"/>
                    </w:rPr>
                    <w:t>1次</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无灰尘、无污渍</w:t>
                  </w:r>
                </w:p>
              </w:tc>
            </w:tr>
            <w:tr>
              <w:tc>
                <w:tcPr>
                  <w:tcW w:type="dxa" w:w="255"/>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墙壁高位（</w:t>
                  </w:r>
                  <w:r>
                    <w:rPr>
                      <w:rFonts w:ascii="仿宋_GB2312" w:hAnsi="仿宋_GB2312" w:cs="仿宋_GB2312" w:eastAsia="仿宋_GB2312"/>
                      <w:sz w:val="24"/>
                    </w:rPr>
                    <w:t>1.5M以上）</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掸尘</w:t>
                  </w:r>
                  <w:r>
                    <w:rPr>
                      <w:rFonts w:ascii="仿宋_GB2312" w:hAnsi="仿宋_GB2312" w:cs="仿宋_GB2312" w:eastAsia="仿宋_GB2312"/>
                      <w:sz w:val="24"/>
                    </w:rPr>
                    <w:t>1次</w:t>
                  </w: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无积尘、无污渍、无蛛网</w:t>
                  </w:r>
                </w:p>
              </w:tc>
            </w:tr>
            <w:tr>
              <w:tc>
                <w:tcPr>
                  <w:tcW w:type="dxa" w:w="255"/>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门、窗、窗台</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清洁</w:t>
                  </w:r>
                  <w:r>
                    <w:rPr>
                      <w:rFonts w:ascii="仿宋_GB2312" w:hAnsi="仿宋_GB2312" w:cs="仿宋_GB2312" w:eastAsia="仿宋_GB2312"/>
                      <w:sz w:val="24"/>
                    </w:rPr>
                    <w:t>1次</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无积尘、无污渍</w:t>
                  </w:r>
                </w:p>
              </w:tc>
            </w:tr>
            <w:tr>
              <w:tc>
                <w:tcPr>
                  <w:tcW w:type="dxa" w:w="255"/>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天花、风口、灯饰、牌</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1次</w:t>
                  </w: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无积尘、无污渍、无蛛网</w:t>
                  </w:r>
                </w:p>
              </w:tc>
            </w:tr>
            <w:tr>
              <w:tc>
                <w:tcPr>
                  <w:tcW w:type="dxa" w:w="255"/>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玻璃内面</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刮洗</w:t>
                  </w:r>
                  <w:r>
                    <w:rPr>
                      <w:rFonts w:ascii="仿宋_GB2312" w:hAnsi="仿宋_GB2312" w:cs="仿宋_GB2312" w:eastAsia="仿宋_GB2312"/>
                      <w:sz w:val="24"/>
                    </w:rPr>
                    <w:t>2次</w:t>
                  </w: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无积尘、无污渍、光亮</w:t>
                  </w:r>
                </w:p>
              </w:tc>
            </w:tr>
            <w:tr>
              <w:tc>
                <w:tcPr>
                  <w:tcW w:type="dxa" w:w="255"/>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垃圾桶</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2次</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无积尘、无污渍、无异味</w:t>
                  </w:r>
                </w:p>
              </w:tc>
            </w:tr>
            <w:tr>
              <w:tc>
                <w:tcPr>
                  <w:tcW w:type="dxa" w:w="255"/>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地脚线</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1次</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无积尘、无污渍</w:t>
                  </w:r>
                </w:p>
              </w:tc>
            </w:tr>
            <w:tr>
              <w:tc>
                <w:tcPr>
                  <w:tcW w:type="dxa" w:w="255"/>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墙壁附属设施</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1次</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无积尘、无污渍</w:t>
                  </w:r>
                </w:p>
              </w:tc>
            </w:tr>
            <w:tr>
              <w:tc>
                <w:tcPr>
                  <w:tcW w:type="dxa" w:w="255"/>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扶手</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1次</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无灰尘、无污渍</w:t>
                  </w:r>
                </w:p>
              </w:tc>
            </w:tr>
            <w:tr>
              <w:tc>
                <w:tcPr>
                  <w:tcW w:type="dxa" w:w="255"/>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扶手铁翼</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1次</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无积尘、无污渍</w:t>
                  </w:r>
                </w:p>
              </w:tc>
            </w:tr>
            <w:tr>
              <w:tc>
                <w:tcPr>
                  <w:tcW w:type="dxa" w:w="2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br/>
                  </w:r>
                  <w:r>
                    <w:br/>
                  </w:r>
                  <w:r>
                    <w:br/>
                  </w:r>
                  <w:r>
                    <w:br/>
                  </w:r>
                  <w:r>
                    <w:rPr>
                      <w:rFonts w:ascii="仿宋_GB2312" w:hAnsi="仿宋_GB2312" w:cs="仿宋_GB2312" w:eastAsia="仿宋_GB2312"/>
                      <w:sz w:val="24"/>
                    </w:rPr>
                    <w:t>楼</w:t>
                  </w:r>
                  <w:r>
                    <w:br/>
                  </w:r>
                  <w:r>
                    <w:rPr>
                      <w:rFonts w:ascii="仿宋_GB2312" w:hAnsi="仿宋_GB2312" w:cs="仿宋_GB2312" w:eastAsia="仿宋_GB2312"/>
                      <w:sz w:val="24"/>
                    </w:rPr>
                    <w:t>层</w:t>
                  </w:r>
                  <w:r>
                    <w:br/>
                  </w:r>
                  <w:r>
                    <w:rPr>
                      <w:rFonts w:ascii="仿宋_GB2312" w:hAnsi="仿宋_GB2312" w:cs="仿宋_GB2312" w:eastAsia="仿宋_GB2312"/>
                      <w:sz w:val="24"/>
                    </w:rPr>
                    <w:t>走</w:t>
                  </w:r>
                  <w:r>
                    <w:br/>
                  </w:r>
                  <w:r>
                    <w:rPr>
                      <w:rFonts w:ascii="仿宋_GB2312" w:hAnsi="仿宋_GB2312" w:cs="仿宋_GB2312" w:eastAsia="仿宋_GB2312"/>
                      <w:sz w:val="24"/>
                    </w:rPr>
                    <w:t>廊</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大理石地面</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随时保洁</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晶面处理</w:t>
                  </w:r>
                  <w:r>
                    <w:rPr>
                      <w:rFonts w:ascii="仿宋_GB2312" w:hAnsi="仿宋_GB2312" w:cs="仿宋_GB2312" w:eastAsia="仿宋_GB2312"/>
                      <w:sz w:val="24"/>
                    </w:rPr>
                    <w:t>1次</w:t>
                  </w: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无灰尘、无污渍，显湿地效应</w:t>
                  </w:r>
                </w:p>
              </w:tc>
            </w:tr>
            <w:tr>
              <w:tc>
                <w:tcPr>
                  <w:tcW w:type="dxa" w:w="255"/>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墙壁低位（</w:t>
                  </w:r>
                  <w:r>
                    <w:rPr>
                      <w:rFonts w:ascii="仿宋_GB2312" w:hAnsi="仿宋_GB2312" w:cs="仿宋_GB2312" w:eastAsia="仿宋_GB2312"/>
                      <w:sz w:val="24"/>
                    </w:rPr>
                    <w:t>1.5M以下）</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1次</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无灰尘、无污渍</w:t>
                  </w:r>
                </w:p>
              </w:tc>
            </w:tr>
            <w:tr>
              <w:tc>
                <w:tcPr>
                  <w:tcW w:type="dxa" w:w="255"/>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墙壁高位（</w:t>
                  </w:r>
                  <w:r>
                    <w:rPr>
                      <w:rFonts w:ascii="仿宋_GB2312" w:hAnsi="仿宋_GB2312" w:cs="仿宋_GB2312" w:eastAsia="仿宋_GB2312"/>
                      <w:sz w:val="24"/>
                    </w:rPr>
                    <w:t>1.5M以上）</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掸尘</w:t>
                  </w:r>
                  <w:r>
                    <w:rPr>
                      <w:rFonts w:ascii="仿宋_GB2312" w:hAnsi="仿宋_GB2312" w:cs="仿宋_GB2312" w:eastAsia="仿宋_GB2312"/>
                      <w:sz w:val="24"/>
                    </w:rPr>
                    <w:t>1次</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无积尘、无污渍、无蛛网</w:t>
                  </w:r>
                </w:p>
              </w:tc>
            </w:tr>
            <w:tr>
              <w:tc>
                <w:tcPr>
                  <w:tcW w:type="dxa" w:w="255"/>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门、窗、窗台</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清洁</w:t>
                  </w:r>
                  <w:r>
                    <w:rPr>
                      <w:rFonts w:ascii="仿宋_GB2312" w:hAnsi="仿宋_GB2312" w:cs="仿宋_GB2312" w:eastAsia="仿宋_GB2312"/>
                      <w:sz w:val="24"/>
                    </w:rPr>
                    <w:t>1次</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无灰尘、无污渍</w:t>
                  </w:r>
                </w:p>
              </w:tc>
            </w:tr>
            <w:tr>
              <w:tc>
                <w:tcPr>
                  <w:tcW w:type="dxa" w:w="255"/>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天花、风口，悬挂灯饰、牌</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2次</w:t>
                  </w: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无积尘、无污渍、无蛛网</w:t>
                  </w:r>
                </w:p>
              </w:tc>
            </w:tr>
            <w:tr>
              <w:tc>
                <w:tcPr>
                  <w:tcW w:type="dxa" w:w="255"/>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玻璃</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刮洗</w:t>
                  </w:r>
                  <w:r>
                    <w:rPr>
                      <w:rFonts w:ascii="仿宋_GB2312" w:hAnsi="仿宋_GB2312" w:cs="仿宋_GB2312" w:eastAsia="仿宋_GB2312"/>
                      <w:sz w:val="24"/>
                    </w:rPr>
                    <w:t>1次</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无积尘、无污渍、光亮</w:t>
                  </w:r>
                </w:p>
              </w:tc>
            </w:tr>
            <w:tr>
              <w:tc>
                <w:tcPr>
                  <w:tcW w:type="dxa" w:w="255"/>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烟灰桶</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2次</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无积尘、无污渍、石米干净</w:t>
                  </w:r>
                </w:p>
              </w:tc>
            </w:tr>
            <w:tr>
              <w:tc>
                <w:tcPr>
                  <w:tcW w:type="dxa" w:w="255"/>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地脚线</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2次</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无积尘、无污渍</w:t>
                  </w:r>
                </w:p>
              </w:tc>
            </w:tr>
            <w:tr>
              <w:tc>
                <w:tcPr>
                  <w:tcW w:type="dxa" w:w="255"/>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墙壁附属设施</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2次</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无积尘、无污渍</w:t>
                  </w:r>
                </w:p>
              </w:tc>
            </w:tr>
          </w:tbl>
          <w:tbl>
            <w:tblPr>
              <w:tblBorders>
                <w:top w:val="none" w:color="000000" w:sz="4"/>
                <w:left w:val="none" w:color="000000" w:sz="4"/>
                <w:bottom w:val="none" w:color="000000" w:sz="4"/>
                <w:right w:val="none" w:color="000000" w:sz="4"/>
                <w:insideH w:val="none"/>
                <w:insideV w:val="none"/>
              </w:tblBorders>
            </w:tblPr>
            <w:tblGrid>
              <w:gridCol w:w="259"/>
              <w:gridCol w:w="527"/>
              <w:gridCol w:w="365"/>
              <w:gridCol w:w="323"/>
              <w:gridCol w:w="344"/>
              <w:gridCol w:w="719"/>
            </w:tblGrid>
            <w:tr>
              <w:tc>
                <w:tcPr>
                  <w:tcW w:type="dxa" w:w="25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区域</w:t>
                  </w:r>
                </w:p>
              </w:tc>
              <w:tc>
                <w:tcPr>
                  <w:tcW w:type="dxa" w:w="52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清洁项目</w:t>
                  </w:r>
                </w:p>
              </w:tc>
              <w:tc>
                <w:tcPr>
                  <w:tcW w:type="dxa" w:w="1032"/>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工作频次</w:t>
                  </w:r>
                </w:p>
              </w:tc>
              <w:tc>
                <w:tcPr>
                  <w:tcW w:type="dxa" w:w="71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工作标准</w:t>
                  </w:r>
                </w:p>
              </w:tc>
            </w:tr>
            <w:tr>
              <w:tc>
                <w:tcPr>
                  <w:tcW w:type="dxa" w:w="259"/>
                  <w:vMerge/>
                  <w:tcBorders>
                    <w:top w:val="single" w:color="000000" w:sz="4"/>
                    <w:left w:val="single" w:color="000000" w:sz="4"/>
                    <w:bottom w:val="single" w:color="000000" w:sz="4"/>
                    <w:right w:val="single" w:color="000000" w:sz="4"/>
                  </w:tcBorders>
                </w:tcPr>
                <w:p/>
              </w:tc>
              <w:tc>
                <w:tcPr>
                  <w:tcW w:type="dxa" w:w="527"/>
                  <w:vMerge/>
                  <w:tcBorders>
                    <w:top w:val="single" w:color="000000" w:sz="4"/>
                    <w:left w:val="single" w:color="000000" w:sz="4"/>
                    <w:bottom w:val="single" w:color="000000" w:sz="4"/>
                    <w:right w:val="single" w:color="000000" w:sz="4"/>
                  </w:tcBorders>
                </w:tc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每日</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每周</w:t>
                  </w:r>
                </w:p>
              </w:tc>
              <w:tc>
                <w:tcPr>
                  <w:tcW w:type="dxa" w:w="3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每月</w:t>
                  </w:r>
                </w:p>
              </w:tc>
              <w:tc>
                <w:tcPr>
                  <w:tcW w:type="dxa" w:w="719"/>
                  <w:vMerge/>
                  <w:tcBorders>
                    <w:top w:val="single" w:color="000000" w:sz="4"/>
                    <w:left w:val="single" w:color="000000" w:sz="4"/>
                    <w:bottom w:val="single" w:color="000000" w:sz="4"/>
                    <w:right w:val="single" w:color="000000" w:sz="4"/>
                  </w:tcBorders>
                </w:tcPr>
                <w:p/>
              </w:tc>
            </w:tr>
            <w:tr>
              <w:tc>
                <w:tcPr>
                  <w:tcW w:type="dxa" w:w="2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w:t>
                  </w:r>
                  <w:r>
                    <w:br/>
                  </w:r>
                  <w:r>
                    <w:rPr>
                      <w:rFonts w:ascii="仿宋_GB2312" w:hAnsi="仿宋_GB2312" w:cs="仿宋_GB2312" w:eastAsia="仿宋_GB2312"/>
                      <w:sz w:val="24"/>
                    </w:rPr>
                    <w:t>备</w:t>
                  </w:r>
                  <w:r>
                    <w:br/>
                  </w:r>
                  <w:r>
                    <w:rPr>
                      <w:rFonts w:ascii="仿宋_GB2312" w:hAnsi="仿宋_GB2312" w:cs="仿宋_GB2312" w:eastAsia="仿宋_GB2312"/>
                      <w:sz w:val="24"/>
                    </w:rPr>
                    <w:t>室</w:t>
                  </w:r>
                </w:p>
                <w:p>
                  <w:pPr>
                    <w:pStyle w:val="null3"/>
                    <w:jc w:val="center"/>
                  </w:pPr>
                  <w:r>
                    <w:rPr>
                      <w:rFonts w:ascii="仿宋_GB2312" w:hAnsi="仿宋_GB2312" w:cs="仿宋_GB2312" w:eastAsia="仿宋_GB2312"/>
                      <w:sz w:val="24"/>
                    </w:rPr>
                    <w:t>闲</w:t>
                  </w:r>
                  <w:r>
                    <w:br/>
                  </w:r>
                  <w:r>
                    <w:rPr>
                      <w:rFonts w:ascii="仿宋_GB2312" w:hAnsi="仿宋_GB2312" w:cs="仿宋_GB2312" w:eastAsia="仿宋_GB2312"/>
                      <w:sz w:val="24"/>
                    </w:rPr>
                    <w:t>置</w:t>
                  </w:r>
                  <w:r>
                    <w:br/>
                  </w:r>
                  <w:r>
                    <w:rPr>
                      <w:rFonts w:ascii="仿宋_GB2312" w:hAnsi="仿宋_GB2312" w:cs="仿宋_GB2312" w:eastAsia="仿宋_GB2312"/>
                      <w:sz w:val="24"/>
                    </w:rPr>
                    <w:t>房</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地面</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1次</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无积尘、无污渍</w:t>
                  </w:r>
                </w:p>
              </w:tc>
            </w:tr>
            <w:tr>
              <w:tc>
                <w:tcPr>
                  <w:tcW w:type="dxa" w:w="259"/>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墙面、天花、照明灯</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1次</w:t>
                  </w: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无积尘、无蛛网</w:t>
                  </w:r>
                </w:p>
              </w:tc>
            </w:tr>
            <w:tr>
              <w:tc>
                <w:tcPr>
                  <w:tcW w:type="dxa" w:w="259"/>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门窗、玻璃</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1次</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明亮、无积尘、无污渍</w:t>
                  </w:r>
                </w:p>
              </w:tc>
            </w:tr>
            <w:tr>
              <w:tc>
                <w:tcPr>
                  <w:tcW w:type="dxa" w:w="259"/>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踏板接缝</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按要求</w:t>
                  </w:r>
                </w:p>
              </w:tc>
            </w:tr>
            <w:tr>
              <w:tc>
                <w:tcPr>
                  <w:tcW w:type="dxa" w:w="2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br/>
                  </w:r>
                  <w:r>
                    <w:br/>
                  </w:r>
                  <w:r>
                    <w:br/>
                  </w:r>
                  <w:r>
                    <w:br/>
                  </w:r>
                  <w:r>
                    <w:br/>
                  </w:r>
                  <w:r>
                    <w:br/>
                  </w:r>
                  <w:r>
                    <w:rPr>
                      <w:rFonts w:ascii="仿宋_GB2312" w:hAnsi="仿宋_GB2312" w:cs="仿宋_GB2312" w:eastAsia="仿宋_GB2312"/>
                      <w:sz w:val="24"/>
                    </w:rPr>
                    <w:t>洗</w:t>
                  </w:r>
                </w:p>
                <w:p>
                  <w:pPr>
                    <w:pStyle w:val="null3"/>
                    <w:jc w:val="center"/>
                  </w:pPr>
                  <w:r>
                    <w:rPr>
                      <w:rFonts w:ascii="仿宋_GB2312" w:hAnsi="仿宋_GB2312" w:cs="仿宋_GB2312" w:eastAsia="仿宋_GB2312"/>
                      <w:sz w:val="24"/>
                    </w:rPr>
                    <w:t>手</w:t>
                  </w:r>
                </w:p>
                <w:p>
                  <w:pPr>
                    <w:pStyle w:val="null3"/>
                    <w:jc w:val="center"/>
                  </w:pPr>
                  <w:r>
                    <w:rPr>
                      <w:rFonts w:ascii="仿宋_GB2312" w:hAnsi="仿宋_GB2312" w:cs="仿宋_GB2312" w:eastAsia="仿宋_GB2312"/>
                      <w:sz w:val="24"/>
                    </w:rPr>
                    <w:t>间</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地面</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随时保洁</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无灰尘、无污渍、无积水</w:t>
                  </w:r>
                </w:p>
              </w:tc>
            </w:tr>
            <w:tr>
              <w:tc>
                <w:tcPr>
                  <w:tcW w:type="dxa" w:w="259"/>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隔板、墙面</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1次</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清洁</w:t>
                  </w:r>
                  <w:r>
                    <w:rPr>
                      <w:rFonts w:ascii="仿宋_GB2312" w:hAnsi="仿宋_GB2312" w:cs="仿宋_GB2312" w:eastAsia="仿宋_GB2312"/>
                      <w:sz w:val="24"/>
                    </w:rPr>
                    <w:t>3次</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洁净、无污渍</w:t>
                  </w:r>
                </w:p>
              </w:tc>
            </w:tr>
            <w:tr>
              <w:tc>
                <w:tcPr>
                  <w:tcW w:type="dxa" w:w="259"/>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理容镜</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随时保洁</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洁净、无污渍、光亮</w:t>
                  </w:r>
                </w:p>
              </w:tc>
            </w:tr>
            <w:tr>
              <w:tc>
                <w:tcPr>
                  <w:tcW w:type="dxa" w:w="259"/>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门、窗、窗台</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1次</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无积尘、无污渍</w:t>
                  </w:r>
                </w:p>
              </w:tc>
            </w:tr>
            <w:tr>
              <w:tc>
                <w:tcPr>
                  <w:tcW w:type="dxa" w:w="259"/>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天花、风口、灯饰、牌</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1次</w:t>
                  </w: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无积尘、无污渍、无蛛网</w:t>
                  </w:r>
                </w:p>
              </w:tc>
            </w:tr>
            <w:tr>
              <w:tc>
                <w:tcPr>
                  <w:tcW w:type="dxa" w:w="259"/>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窗玻璃内面</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刮洗</w:t>
                  </w:r>
                  <w:r>
                    <w:rPr>
                      <w:rFonts w:ascii="仿宋_GB2312" w:hAnsi="仿宋_GB2312" w:cs="仿宋_GB2312" w:eastAsia="仿宋_GB2312"/>
                      <w:sz w:val="24"/>
                    </w:rPr>
                    <w:t>2次</w:t>
                  </w: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无积尘、无污渍、光亮</w:t>
                  </w:r>
                </w:p>
              </w:tc>
            </w:tr>
            <w:tr>
              <w:tc>
                <w:tcPr>
                  <w:tcW w:type="dxa" w:w="259"/>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垃圾桶</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随时保洁</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无严重污渍、垃圾不超过</w:t>
                  </w:r>
                  <w:r>
                    <w:rPr>
                      <w:rFonts w:ascii="仿宋_GB2312" w:hAnsi="仿宋_GB2312" w:cs="仿宋_GB2312" w:eastAsia="仿宋_GB2312"/>
                      <w:sz w:val="24"/>
                    </w:rPr>
                    <w:t>2/3</w:t>
                  </w:r>
                </w:p>
              </w:tc>
            </w:tr>
            <w:tr>
              <w:tc>
                <w:tcPr>
                  <w:tcW w:type="dxa" w:w="259"/>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厕位</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随时保洁</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更换香球</w:t>
                  </w:r>
                  <w:r>
                    <w:rPr>
                      <w:rFonts w:ascii="仿宋_GB2312" w:hAnsi="仿宋_GB2312" w:cs="仿宋_GB2312" w:eastAsia="仿宋_GB2312"/>
                      <w:sz w:val="24"/>
                    </w:rPr>
                    <w:t>1次</w:t>
                  </w: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洁净、无污渍、无积水</w:t>
                  </w:r>
                </w:p>
              </w:tc>
            </w:tr>
            <w:tr>
              <w:tc>
                <w:tcPr>
                  <w:tcW w:type="dxa" w:w="259"/>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小便池</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随时保洁</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更换香球</w:t>
                  </w:r>
                  <w:r>
                    <w:rPr>
                      <w:rFonts w:ascii="仿宋_GB2312" w:hAnsi="仿宋_GB2312" w:cs="仿宋_GB2312" w:eastAsia="仿宋_GB2312"/>
                      <w:sz w:val="24"/>
                    </w:rPr>
                    <w:t>1次</w:t>
                  </w: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无灰尘、无污渍、无积水</w:t>
                  </w:r>
                </w:p>
              </w:tc>
            </w:tr>
            <w:tr>
              <w:tc>
                <w:tcPr>
                  <w:tcW w:type="dxa" w:w="259"/>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空气清新剂</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随时喷洒</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无异味，空气清新</w:t>
                  </w:r>
                </w:p>
              </w:tc>
            </w:tr>
            <w:tr>
              <w:tc>
                <w:tcPr>
                  <w:tcW w:type="dxa" w:w="2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br/>
                  </w:r>
                  <w:r>
                    <w:br/>
                  </w:r>
                  <w:r>
                    <w:br/>
                  </w:r>
                  <w:r>
                    <w:rPr>
                      <w:rFonts w:ascii="仿宋_GB2312" w:hAnsi="仿宋_GB2312" w:cs="仿宋_GB2312" w:eastAsia="仿宋_GB2312"/>
                      <w:sz w:val="24"/>
                    </w:rPr>
                    <w:t>领</w:t>
                  </w:r>
                  <w:r>
                    <w:br/>
                  </w:r>
                  <w:r>
                    <w:rPr>
                      <w:rFonts w:ascii="仿宋_GB2312" w:hAnsi="仿宋_GB2312" w:cs="仿宋_GB2312" w:eastAsia="仿宋_GB2312"/>
                      <w:sz w:val="24"/>
                    </w:rPr>
                    <w:t>导</w:t>
                  </w:r>
                  <w:r>
                    <w:br/>
                  </w:r>
                  <w:r>
                    <w:rPr>
                      <w:rFonts w:ascii="仿宋_GB2312" w:hAnsi="仿宋_GB2312" w:cs="仿宋_GB2312" w:eastAsia="仿宋_GB2312"/>
                      <w:sz w:val="24"/>
                    </w:rPr>
                    <w:t>办</w:t>
                  </w:r>
                  <w:r>
                    <w:br/>
                  </w:r>
                  <w:r>
                    <w:rPr>
                      <w:rFonts w:ascii="仿宋_GB2312" w:hAnsi="仿宋_GB2312" w:cs="仿宋_GB2312" w:eastAsia="仿宋_GB2312"/>
                      <w:sz w:val="24"/>
                    </w:rPr>
                    <w:t>公</w:t>
                  </w:r>
                  <w:r>
                    <w:br/>
                  </w:r>
                  <w:r>
                    <w:rPr>
                      <w:rFonts w:ascii="仿宋_GB2312" w:hAnsi="仿宋_GB2312" w:cs="仿宋_GB2312" w:eastAsia="仿宋_GB2312"/>
                      <w:sz w:val="24"/>
                    </w:rPr>
                    <w:t>室</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地面</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2次</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无灰尘、无污渍</w:t>
                  </w:r>
                </w:p>
              </w:tc>
            </w:tr>
            <w:tr>
              <w:tc>
                <w:tcPr>
                  <w:tcW w:type="dxa" w:w="259"/>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墙壁低位（</w:t>
                  </w:r>
                  <w:r>
                    <w:rPr>
                      <w:rFonts w:ascii="仿宋_GB2312" w:hAnsi="仿宋_GB2312" w:cs="仿宋_GB2312" w:eastAsia="仿宋_GB2312"/>
                      <w:sz w:val="24"/>
                    </w:rPr>
                    <w:t>1.5M以下）</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清洁</w:t>
                  </w:r>
                  <w:r>
                    <w:rPr>
                      <w:rFonts w:ascii="仿宋_GB2312" w:hAnsi="仿宋_GB2312" w:cs="仿宋_GB2312" w:eastAsia="仿宋_GB2312"/>
                      <w:sz w:val="24"/>
                    </w:rPr>
                    <w:t>3次</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无灰尘、无污渍</w:t>
                  </w:r>
                </w:p>
              </w:tc>
            </w:tr>
            <w:tr>
              <w:tc>
                <w:tcPr>
                  <w:tcW w:type="dxa" w:w="259"/>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墙壁高位（</w:t>
                  </w:r>
                  <w:r>
                    <w:rPr>
                      <w:rFonts w:ascii="仿宋_GB2312" w:hAnsi="仿宋_GB2312" w:cs="仿宋_GB2312" w:eastAsia="仿宋_GB2312"/>
                      <w:sz w:val="24"/>
                    </w:rPr>
                    <w:t>1.5M以上）</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掸尘</w:t>
                  </w:r>
                  <w:r>
                    <w:rPr>
                      <w:rFonts w:ascii="仿宋_GB2312" w:hAnsi="仿宋_GB2312" w:cs="仿宋_GB2312" w:eastAsia="仿宋_GB2312"/>
                      <w:sz w:val="24"/>
                    </w:rPr>
                    <w:t>1次</w:t>
                  </w: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无积尘、无污渍、无蛛网</w:t>
                  </w:r>
                </w:p>
              </w:tc>
            </w:tr>
            <w:tr>
              <w:tc>
                <w:tcPr>
                  <w:tcW w:type="dxa" w:w="259"/>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门、窗、窗台</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2次</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无积尘、无污渍</w:t>
                  </w:r>
                </w:p>
              </w:tc>
            </w:tr>
            <w:tr>
              <w:tc>
                <w:tcPr>
                  <w:tcW w:type="dxa" w:w="259"/>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天花、风口、灯饰、牌、玻璃</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1次</w:t>
                  </w: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无积尘、无污渍、无蛛网、光亮</w:t>
                  </w:r>
                </w:p>
              </w:tc>
            </w:tr>
            <w:tr>
              <w:tc>
                <w:tcPr>
                  <w:tcW w:type="dxa" w:w="259"/>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墙壁附属设施</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2次</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无积尘、无污渍</w:t>
                  </w:r>
                </w:p>
              </w:tc>
            </w:tr>
            <w:tr>
              <w:tc>
                <w:tcPr>
                  <w:tcW w:type="dxa" w:w="259"/>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电脑、桌椅</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2次</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无积尘、无污渍</w:t>
                  </w:r>
                </w:p>
                <w:p>
                  <w:pPr>
                    <w:pStyle w:val="null3"/>
                    <w:jc w:val="center"/>
                  </w:pPr>
                </w:p>
              </w:tc>
            </w:tr>
          </w:tbl>
          <w:tbl>
            <w:tblPr>
              <w:tblBorders>
                <w:top w:val="none" w:color="000000" w:sz="4"/>
                <w:left w:val="none" w:color="000000" w:sz="4"/>
                <w:bottom w:val="none" w:color="000000" w:sz="4"/>
                <w:right w:val="none" w:color="000000" w:sz="4"/>
                <w:insideH w:val="none"/>
                <w:insideV w:val="none"/>
              </w:tblBorders>
            </w:tblPr>
            <w:tblGrid>
              <w:gridCol w:w="259"/>
              <w:gridCol w:w="527"/>
              <w:gridCol w:w="365"/>
              <w:gridCol w:w="323"/>
              <w:gridCol w:w="344"/>
              <w:gridCol w:w="719"/>
            </w:tblGrid>
            <w:tr>
              <w:tc>
                <w:tcPr>
                  <w:tcW w:type="dxa" w:w="25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区域</w:t>
                  </w:r>
                </w:p>
              </w:tc>
              <w:tc>
                <w:tcPr>
                  <w:tcW w:type="dxa" w:w="52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清洁项目</w:t>
                  </w:r>
                </w:p>
              </w:tc>
              <w:tc>
                <w:tcPr>
                  <w:tcW w:type="dxa" w:w="1032"/>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工作频次</w:t>
                  </w:r>
                </w:p>
              </w:tc>
              <w:tc>
                <w:tcPr>
                  <w:tcW w:type="dxa" w:w="71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工作标准</w:t>
                  </w:r>
                </w:p>
              </w:tc>
            </w:tr>
            <w:tr>
              <w:tc>
                <w:tcPr>
                  <w:tcW w:type="dxa" w:w="259"/>
                  <w:vMerge/>
                  <w:tcBorders>
                    <w:top w:val="single" w:color="000000" w:sz="4"/>
                    <w:left w:val="single" w:color="000000" w:sz="4"/>
                    <w:bottom w:val="single" w:color="000000" w:sz="4"/>
                    <w:right w:val="single" w:color="000000" w:sz="4"/>
                  </w:tcBorders>
                </w:tcPr>
                <w:p/>
              </w:tc>
              <w:tc>
                <w:tcPr>
                  <w:tcW w:type="dxa" w:w="527"/>
                  <w:vMerge/>
                  <w:tcBorders>
                    <w:top w:val="single" w:color="000000" w:sz="4"/>
                    <w:left w:val="single" w:color="000000" w:sz="4"/>
                    <w:bottom w:val="single" w:color="000000" w:sz="4"/>
                    <w:right w:val="single" w:color="000000" w:sz="4"/>
                  </w:tcBorders>
                </w:tc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每日</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每周</w:t>
                  </w:r>
                </w:p>
              </w:tc>
              <w:tc>
                <w:tcPr>
                  <w:tcW w:type="dxa" w:w="3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每月</w:t>
                  </w:r>
                </w:p>
              </w:tc>
              <w:tc>
                <w:tcPr>
                  <w:tcW w:type="dxa" w:w="719"/>
                  <w:vMerge/>
                  <w:tcBorders>
                    <w:top w:val="single" w:color="000000" w:sz="4"/>
                    <w:left w:val="single" w:color="000000" w:sz="4"/>
                    <w:bottom w:val="single" w:color="000000" w:sz="4"/>
                    <w:right w:val="single" w:color="000000" w:sz="4"/>
                  </w:tcBorders>
                </w:tcPr>
                <w:p/>
              </w:tc>
            </w:tr>
            <w:tr>
              <w:tc>
                <w:tcPr>
                  <w:tcW w:type="dxa" w:w="2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br/>
                  </w:r>
                  <w:r>
                    <w:br/>
                  </w:r>
                </w:p>
                <w:p>
                  <w:pPr>
                    <w:pStyle w:val="null3"/>
                    <w:jc w:val="center"/>
                  </w:pPr>
                  <w:r>
                    <w:rPr>
                      <w:rFonts w:ascii="仿宋_GB2312" w:hAnsi="仿宋_GB2312" w:cs="仿宋_GB2312" w:eastAsia="仿宋_GB2312"/>
                      <w:sz w:val="24"/>
                    </w:rPr>
                    <w:t>外</w:t>
                  </w:r>
                  <w:r>
                    <w:br/>
                  </w:r>
                  <w:r>
                    <w:rPr>
                      <w:rFonts w:ascii="仿宋_GB2312" w:hAnsi="仿宋_GB2312" w:cs="仿宋_GB2312" w:eastAsia="仿宋_GB2312"/>
                      <w:sz w:val="24"/>
                    </w:rPr>
                    <w:t>环</w:t>
                  </w:r>
                  <w:r>
                    <w:br/>
                  </w:r>
                  <w:r>
                    <w:rPr>
                      <w:rFonts w:ascii="仿宋_GB2312" w:hAnsi="仿宋_GB2312" w:cs="仿宋_GB2312" w:eastAsia="仿宋_GB2312"/>
                      <w:sz w:val="24"/>
                    </w:rPr>
                    <w:t>境</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路面、停车场</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2次</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无垃圾、无积水</w:t>
                  </w:r>
                </w:p>
              </w:tc>
            </w:tr>
            <w:tr>
              <w:tc>
                <w:tcPr>
                  <w:tcW w:type="dxa" w:w="259"/>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绿化带、花池沿</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1次</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无垃圾、无积水</w:t>
                  </w:r>
                </w:p>
              </w:tc>
            </w:tr>
            <w:tr>
              <w:tc>
                <w:tcPr>
                  <w:tcW w:type="dxa" w:w="259"/>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指示牌、铭牌、标示等</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1次</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无积尘、无污渍</w:t>
                  </w:r>
                </w:p>
                <w:p>
                  <w:pPr>
                    <w:pStyle w:val="null3"/>
                    <w:jc w:val="center"/>
                  </w:pPr>
                </w:p>
              </w:tc>
            </w:tr>
            <w:tr>
              <w:tc>
                <w:tcPr>
                  <w:tcW w:type="dxa" w:w="259"/>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墙壁低位（</w:t>
                  </w:r>
                  <w:r>
                    <w:rPr>
                      <w:rFonts w:ascii="仿宋_GB2312" w:hAnsi="仿宋_GB2312" w:cs="仿宋_GB2312" w:eastAsia="仿宋_GB2312"/>
                      <w:sz w:val="24"/>
                    </w:rPr>
                    <w:t>1.5M以下）</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2次</w:t>
                  </w: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无积尘、无污渍</w:t>
                  </w:r>
                </w:p>
                <w:p>
                  <w:pPr>
                    <w:pStyle w:val="null3"/>
                    <w:jc w:val="center"/>
                  </w:pPr>
                </w:p>
              </w:tc>
            </w:tr>
            <w:tr>
              <w:tc>
                <w:tcPr>
                  <w:tcW w:type="dxa" w:w="259"/>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漏沙井、排水沟</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2次</w:t>
                  </w: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无堵塞、无垃圾</w:t>
                  </w:r>
                </w:p>
              </w:tc>
            </w:tr>
            <w:tr>
              <w:tc>
                <w:tcPr>
                  <w:tcW w:type="dxa" w:w="259"/>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高位灯饰等</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1次</w:t>
                  </w: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无积尘、无污渍、无蛛网</w:t>
                  </w:r>
                </w:p>
                <w:p>
                  <w:pPr>
                    <w:pStyle w:val="null3"/>
                    <w:jc w:val="center"/>
                  </w:pPr>
                </w:p>
              </w:tc>
            </w:tr>
            <w:tr>
              <w:tc>
                <w:tcPr>
                  <w:tcW w:type="dxa" w:w="259"/>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门岗房、电动门</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1次</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无积尘、无污渍</w:t>
                  </w:r>
                </w:p>
                <w:p>
                  <w:pPr>
                    <w:pStyle w:val="null3"/>
                    <w:jc w:val="center"/>
                  </w:pPr>
                </w:p>
              </w:tc>
            </w:tr>
            <w:tr>
              <w:tc>
                <w:tcPr>
                  <w:tcW w:type="dxa" w:w="259"/>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垃圾中转站清洁</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2次</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无积水、无异味</w:t>
                  </w:r>
                </w:p>
              </w:tc>
            </w:tr>
            <w:tr>
              <w:tc>
                <w:tcPr>
                  <w:tcW w:type="dxa" w:w="259"/>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公共活动场所清扫</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2次</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无垃圾、无污迹</w:t>
                  </w:r>
                </w:p>
              </w:tc>
            </w:tr>
            <w:tr>
              <w:tc>
                <w:tcPr>
                  <w:tcW w:type="dxa" w:w="259"/>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区内公共雨、污水管道清洁</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1次</w:t>
                  </w: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无堵塞、无垃圾</w:t>
                  </w:r>
                </w:p>
              </w:tc>
            </w:tr>
            <w:tr>
              <w:tc>
                <w:tcPr>
                  <w:tcW w:type="dxa" w:w="2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br/>
                  </w:r>
                  <w:r>
                    <w:rPr>
                      <w:rFonts w:ascii="仿宋_GB2312" w:hAnsi="仿宋_GB2312" w:cs="仿宋_GB2312" w:eastAsia="仿宋_GB2312"/>
                      <w:sz w:val="24"/>
                    </w:rPr>
                    <w:t>其他</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化粪池</w:t>
                  </w:r>
                </w:p>
              </w:tc>
              <w:tc>
                <w:tcPr>
                  <w:tcW w:type="dxa" w:w="1032"/>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每年清运一次</w:t>
                  </w: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需要时，服务费另计</w:t>
                  </w:r>
                </w:p>
              </w:tc>
            </w:tr>
            <w:tr>
              <w:tc>
                <w:tcPr>
                  <w:tcW w:type="dxa" w:w="259"/>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外墙清洗</w:t>
                  </w:r>
                </w:p>
              </w:tc>
              <w:tc>
                <w:tcPr>
                  <w:tcW w:type="dxa" w:w="1032"/>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按甲方要求</w:t>
                  </w: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需要时，服务费另计</w:t>
                  </w:r>
                </w:p>
              </w:tc>
            </w:tr>
          </w:tbl>
          <w:p>
            <w:pPr>
              <w:pStyle w:val="null3"/>
              <w:jc w:val="both"/>
            </w:pPr>
            <w:r>
              <w:rPr>
                <w:rFonts w:ascii="仿宋_GB2312" w:hAnsi="仿宋_GB2312" w:cs="仿宋_GB2312" w:eastAsia="仿宋_GB2312"/>
                <w:sz w:val="24"/>
                <w:b/>
              </w:rPr>
              <w:t>3、绿化工作频次及标准</w:t>
            </w:r>
          </w:p>
          <w:p>
            <w:pPr>
              <w:pStyle w:val="null3"/>
              <w:spacing w:after="150"/>
              <w:jc w:val="both"/>
            </w:pPr>
            <w:r>
              <w:rPr>
                <w:rFonts w:ascii="仿宋_GB2312" w:hAnsi="仿宋_GB2312" w:cs="仿宋_GB2312" w:eastAsia="仿宋_GB2312"/>
                <w:sz w:val="24"/>
                <w:b/>
              </w:rPr>
              <w:t>（</w:t>
            </w:r>
            <w:r>
              <w:rPr>
                <w:rFonts w:ascii="仿宋_GB2312" w:hAnsi="仿宋_GB2312" w:cs="仿宋_GB2312" w:eastAsia="仿宋_GB2312"/>
                <w:sz w:val="24"/>
                <w:b/>
              </w:rPr>
              <w:t>1）草坪管理</w:t>
            </w:r>
          </w:p>
          <w:tbl>
            <w:tblPr>
              <w:tblBorders>
                <w:top w:val="none" w:color="000000" w:sz="4"/>
                <w:left w:val="none" w:color="000000" w:sz="4"/>
                <w:bottom w:val="none" w:color="000000" w:sz="4"/>
                <w:right w:val="none" w:color="000000" w:sz="4"/>
                <w:insideH w:val="none"/>
                <w:insideV w:val="none"/>
              </w:tblBorders>
            </w:tblPr>
            <w:tblGrid>
              <w:gridCol w:w="368"/>
              <w:gridCol w:w="1117"/>
              <w:gridCol w:w="529"/>
              <w:gridCol w:w="529"/>
            </w:tblGrid>
            <w:tr>
              <w:tc>
                <w:tcPr>
                  <w:tcW w:type="dxa" w:w="3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工作内容</w:t>
                  </w:r>
                </w:p>
              </w:tc>
              <w:tc>
                <w:tcPr>
                  <w:tcW w:type="dxa" w:w="11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工作标准</w:t>
                  </w:r>
                </w:p>
              </w:tc>
              <w:tc>
                <w:tcPr>
                  <w:tcW w:type="dxa" w:w="5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服务频次</w:t>
                  </w:r>
                </w:p>
              </w:tc>
              <w:tc>
                <w:tcPr>
                  <w:tcW w:type="dxa" w:w="5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质量</w:t>
                  </w:r>
                </w:p>
                <w:p>
                  <w:pPr>
                    <w:pStyle w:val="null3"/>
                    <w:jc w:val="center"/>
                  </w:pPr>
                  <w:r>
                    <w:rPr>
                      <w:rFonts w:ascii="仿宋_GB2312" w:hAnsi="仿宋_GB2312" w:cs="仿宋_GB2312" w:eastAsia="仿宋_GB2312"/>
                      <w:sz w:val="24"/>
                      <w:b/>
                    </w:rPr>
                    <w:t>标准</w:t>
                  </w: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1、浇水</w:t>
                  </w:r>
                </w:p>
              </w:tc>
              <w:tc>
                <w:tcPr>
                  <w:tcW w:type="dxa" w:w="1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草坪生长正常无</w:t>
                  </w:r>
                  <w:r>
                    <w:rPr>
                      <w:rFonts w:ascii="仿宋_GB2312" w:hAnsi="仿宋_GB2312" w:cs="仿宋_GB2312" w:eastAsia="仿宋_GB2312"/>
                      <w:sz w:val="24"/>
                    </w:rPr>
                    <w:t>“旱象”</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据</w:t>
                  </w:r>
                  <w:r>
                    <w:rPr>
                      <w:rFonts w:ascii="仿宋_GB2312" w:hAnsi="仿宋_GB2312" w:cs="仿宋_GB2312" w:eastAsia="仿宋_GB2312"/>
                      <w:sz w:val="24"/>
                    </w:rPr>
                    <w:t>实</w:t>
                  </w:r>
                </w:p>
              </w:tc>
              <w:tc>
                <w:tcPr>
                  <w:tcW w:type="dxa" w:w="5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草种纯度</w:t>
                  </w:r>
                  <w:r>
                    <w:rPr>
                      <w:rFonts w:ascii="仿宋_GB2312" w:hAnsi="仿宋_GB2312" w:cs="仿宋_GB2312" w:eastAsia="仿宋_GB2312"/>
                      <w:sz w:val="24"/>
                    </w:rPr>
                    <w:t>90%以上，颜色茵绿，生长高度一致，不结堆</w:t>
                  </w: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2、施肥</w:t>
                  </w:r>
                </w:p>
              </w:tc>
              <w:tc>
                <w:tcPr>
                  <w:tcW w:type="dxa" w:w="1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均匀撒施</w:t>
                  </w:r>
                  <w:r>
                    <w:rPr>
                      <w:rFonts w:ascii="仿宋_GB2312" w:hAnsi="仿宋_GB2312" w:cs="仿宋_GB2312" w:eastAsia="仿宋_GB2312"/>
                      <w:sz w:val="24"/>
                    </w:rPr>
                    <w:t>25克/m2，施后浇水或雨后进行</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每季度一次</w:t>
                  </w:r>
                </w:p>
              </w:tc>
              <w:tc>
                <w:tcPr>
                  <w:tcW w:type="dxa" w:w="529"/>
                  <w:vMerge/>
                  <w:tcBorders>
                    <w:top w:val="none" w:color="000000" w:sz="4"/>
                    <w:left w:val="single" w:color="000000" w:sz="4"/>
                    <w:bottom w:val="single" w:color="000000" w:sz="4"/>
                    <w:right w:val="single" w:color="000000" w:sz="4"/>
                  </w:tcBorders>
                </w:tc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3、除杂草</w:t>
                  </w:r>
                </w:p>
              </w:tc>
              <w:tc>
                <w:tcPr>
                  <w:tcW w:type="dxa" w:w="1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杂草不超过</w:t>
                  </w:r>
                  <w:r>
                    <w:rPr>
                      <w:rFonts w:ascii="仿宋_GB2312" w:hAnsi="仿宋_GB2312" w:cs="仿宋_GB2312" w:eastAsia="仿宋_GB2312"/>
                      <w:sz w:val="24"/>
                    </w:rPr>
                    <w:t>1/10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不分季节时间</w:t>
                  </w:r>
                </w:p>
              </w:tc>
              <w:tc>
                <w:tcPr>
                  <w:tcW w:type="dxa" w:w="529"/>
                  <w:vMerge/>
                  <w:tcBorders>
                    <w:top w:val="none" w:color="000000" w:sz="4"/>
                    <w:left w:val="single" w:color="000000" w:sz="4"/>
                    <w:bottom w:val="single" w:color="000000" w:sz="4"/>
                    <w:right w:val="single" w:color="000000" w:sz="4"/>
                  </w:tcBorders>
                </w:tc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4、修剪</w:t>
                  </w:r>
                </w:p>
              </w:tc>
              <w:tc>
                <w:tcPr>
                  <w:tcW w:type="dxa" w:w="1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草高度</w:t>
                  </w:r>
                  <w:r>
                    <w:rPr>
                      <w:rFonts w:ascii="仿宋_GB2312" w:hAnsi="仿宋_GB2312" w:cs="仿宋_GB2312" w:eastAsia="仿宋_GB2312"/>
                      <w:sz w:val="24"/>
                    </w:rPr>
                    <w:t>10厘米</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每季度一次</w:t>
                  </w:r>
                </w:p>
              </w:tc>
              <w:tc>
                <w:tcPr>
                  <w:tcW w:type="dxa" w:w="529"/>
                  <w:vMerge/>
                  <w:tcBorders>
                    <w:top w:val="none" w:color="000000" w:sz="4"/>
                    <w:left w:val="single" w:color="000000" w:sz="4"/>
                    <w:bottom w:val="single" w:color="000000" w:sz="4"/>
                    <w:right w:val="single" w:color="000000" w:sz="4"/>
                  </w:tcBorders>
                </w:tcPr>
                <w:p/>
              </w:tc>
            </w:tr>
            <w:tr>
              <w:tc>
                <w:tcPr>
                  <w:tcW w:type="dxa" w:w="36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5、补植</w:t>
                  </w:r>
                </w:p>
              </w:tc>
              <w:tc>
                <w:tcPr>
                  <w:tcW w:type="dxa" w:w="1117"/>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死亡率</w:t>
                  </w:r>
                  <w:r>
                    <w:rPr>
                      <w:rFonts w:ascii="仿宋_GB2312" w:hAnsi="仿宋_GB2312" w:cs="仿宋_GB2312" w:eastAsia="仿宋_GB2312"/>
                      <w:sz w:val="24"/>
                    </w:rPr>
                    <w:t>60%面积达2 m2需同类草皮补植；死亡率50%且具生长活力的可围养，同时做好标识；因荫蔽原因草死亡无须补植</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即有即做</w:t>
                  </w:r>
                </w:p>
              </w:tc>
              <w:tc>
                <w:tcPr>
                  <w:tcW w:type="dxa" w:w="529"/>
                  <w:vMerge/>
                  <w:tcBorders>
                    <w:top w:val="none" w:color="000000" w:sz="4"/>
                    <w:left w:val="single" w:color="000000" w:sz="4"/>
                    <w:bottom w:val="single" w:color="000000" w:sz="4"/>
                    <w:right w:val="single" w:color="000000" w:sz="4"/>
                  </w:tcBorders>
                </w:tcPr>
                <w:p/>
              </w:tc>
            </w:tr>
            <w:tr>
              <w:tc>
                <w:tcPr>
                  <w:tcW w:type="dxa" w:w="3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6、病虫害</w:t>
                  </w:r>
                </w:p>
              </w:tc>
              <w:tc>
                <w:tcPr>
                  <w:tcW w:type="dxa" w:w="11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地下害虫人工扑捉或药物防治</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既有即治</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适时用药、对症下药、安全用药</w:t>
                  </w: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7、清洁</w:t>
                  </w:r>
                </w:p>
              </w:tc>
              <w:tc>
                <w:tcPr>
                  <w:tcW w:type="dxa" w:w="1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垃圾、杂物收集</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随时清运</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无垃圾、无杂物</w:t>
                  </w:r>
                </w:p>
              </w:tc>
            </w:tr>
          </w:tbl>
          <w:p>
            <w:pPr>
              <w:pStyle w:val="null3"/>
              <w:spacing w:after="150"/>
              <w:jc w:val="both"/>
            </w:pPr>
            <w:r>
              <w:rPr>
                <w:rFonts w:ascii="仿宋_GB2312" w:hAnsi="仿宋_GB2312" w:cs="仿宋_GB2312" w:eastAsia="仿宋_GB2312"/>
                <w:sz w:val="24"/>
                <w:b/>
              </w:rPr>
              <w:t>(2)绿篱管理</w:t>
            </w:r>
          </w:p>
          <w:tbl>
            <w:tblPr>
              <w:tblBorders>
                <w:top w:val="none" w:color="000000" w:sz="4"/>
                <w:left w:val="none" w:color="000000" w:sz="4"/>
                <w:bottom w:val="none" w:color="000000" w:sz="4"/>
                <w:right w:val="none" w:color="000000" w:sz="4"/>
                <w:insideH w:val="none"/>
                <w:insideV w:val="none"/>
              </w:tblBorders>
            </w:tblPr>
            <w:tblGrid>
              <w:gridCol w:w="358"/>
              <w:gridCol w:w="1129"/>
              <w:gridCol w:w="532"/>
              <w:gridCol w:w="528"/>
            </w:tblGrid>
            <w:tr>
              <w:tc>
                <w:tcPr>
                  <w:tcW w:type="dxa" w:w="3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工作内容</w:t>
                  </w:r>
                </w:p>
              </w:tc>
              <w:tc>
                <w:tcPr>
                  <w:tcW w:type="dxa" w:w="11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工作标准</w:t>
                  </w:r>
                </w:p>
              </w:tc>
              <w:tc>
                <w:tcPr>
                  <w:tcW w:type="dxa" w:w="5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服务频次</w:t>
                  </w:r>
                </w:p>
              </w:tc>
              <w:tc>
                <w:tcPr>
                  <w:tcW w:type="dxa" w:w="5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质量标准</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1、修整</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60厘米≤高度≤120厘米</w:t>
                  </w:r>
                </w:p>
                <w:p>
                  <w:pPr>
                    <w:pStyle w:val="null3"/>
                    <w:jc w:val="both"/>
                  </w:pPr>
                  <w:r>
                    <w:rPr>
                      <w:rFonts w:ascii="仿宋_GB2312" w:hAnsi="仿宋_GB2312" w:cs="仿宋_GB2312" w:eastAsia="仿宋_GB2312"/>
                      <w:sz w:val="24"/>
                    </w:rPr>
                    <w:t>50厘米≤高度≤80厘米</w:t>
                  </w:r>
                </w:p>
                <w:p>
                  <w:pPr>
                    <w:pStyle w:val="null3"/>
                    <w:jc w:val="both"/>
                  </w:pPr>
                  <w:r>
                    <w:rPr>
                      <w:rFonts w:ascii="仿宋_GB2312" w:hAnsi="仿宋_GB2312" w:cs="仿宋_GB2312" w:eastAsia="仿宋_GB2312"/>
                      <w:sz w:val="24"/>
                    </w:rPr>
                    <w:t>高度一致，修剪平整，棱角分明</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每季一次</w:t>
                  </w:r>
                </w:p>
              </w:tc>
              <w:tc>
                <w:tcPr>
                  <w:tcW w:type="dxa" w:w="5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长势旺盛，高度一致，整齐美观，不断段、不缺口</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2、浇水</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w:t>
                  </w:r>
                  <w:r>
                    <w:rPr>
                      <w:rFonts w:ascii="仿宋_GB2312" w:hAnsi="仿宋_GB2312" w:cs="仿宋_GB2312" w:eastAsia="仿宋_GB2312"/>
                      <w:sz w:val="24"/>
                    </w:rPr>
                    <w:t>“旱象”，浇水渗入土壤15cm以上</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据实按需</w:t>
                  </w:r>
                </w:p>
              </w:tc>
              <w:tc>
                <w:tcPr>
                  <w:tcW w:type="dxa" w:w="528"/>
                  <w:vMerge/>
                  <w:tcBorders>
                    <w:top w:val="none" w:color="000000" w:sz="4"/>
                    <w:left w:val="single" w:color="000000" w:sz="4"/>
                    <w:bottom w:val="single" w:color="000000" w:sz="4"/>
                    <w:right w:val="single" w:color="000000" w:sz="4"/>
                  </w:tcBorders>
                </w:tcP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3、除草松土</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修剪后应除草、松土</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每季一次</w:t>
                  </w:r>
                </w:p>
              </w:tc>
              <w:tc>
                <w:tcPr>
                  <w:tcW w:type="dxa" w:w="528"/>
                  <w:vMerge/>
                  <w:tcBorders>
                    <w:top w:val="none" w:color="000000" w:sz="4"/>
                    <w:left w:val="single" w:color="000000" w:sz="4"/>
                    <w:bottom w:val="single" w:color="000000" w:sz="4"/>
                    <w:right w:val="single" w:color="000000" w:sz="4"/>
                  </w:tcBorders>
                </w:tcP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4、修整</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松土后株行间开</w:t>
                  </w:r>
                  <w:r>
                    <w:rPr>
                      <w:rFonts w:ascii="仿宋_GB2312" w:hAnsi="仿宋_GB2312" w:cs="仿宋_GB2312" w:eastAsia="仿宋_GB2312"/>
                      <w:sz w:val="24"/>
                    </w:rPr>
                    <w:t>10厘米沟或挖施复合肥，50克/ m2，施后覆盖。不能用沟穴施的用撒施。</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每季一次</w:t>
                  </w:r>
                </w:p>
              </w:tc>
              <w:tc>
                <w:tcPr>
                  <w:tcW w:type="dxa" w:w="528"/>
                  <w:vMerge/>
                  <w:tcBorders>
                    <w:top w:val="none" w:color="000000" w:sz="4"/>
                    <w:left w:val="single" w:color="000000" w:sz="4"/>
                    <w:bottom w:val="single" w:color="000000" w:sz="4"/>
                    <w:right w:val="single" w:color="000000" w:sz="4"/>
                  </w:tcBorders>
                </w:tcP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5、补植</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缺口</w:t>
                  </w:r>
                  <w:r>
                    <w:rPr>
                      <w:rFonts w:ascii="仿宋_GB2312" w:hAnsi="仿宋_GB2312" w:cs="仿宋_GB2312" w:eastAsia="仿宋_GB2312"/>
                      <w:sz w:val="24"/>
                    </w:rPr>
                    <w:t>1米，同高度苗木补植压实，浇足定根水</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即做即</w:t>
                  </w:r>
                  <w:r>
                    <w:rPr>
                      <w:rFonts w:ascii="仿宋_GB2312" w:hAnsi="仿宋_GB2312" w:cs="仿宋_GB2312" w:eastAsia="仿宋_GB2312"/>
                      <w:sz w:val="24"/>
                    </w:rPr>
                    <w:t>种</w:t>
                  </w:r>
                </w:p>
              </w:tc>
              <w:tc>
                <w:tcPr>
                  <w:tcW w:type="dxa" w:w="528"/>
                  <w:vMerge/>
                  <w:tcBorders>
                    <w:top w:val="none" w:color="000000" w:sz="4"/>
                    <w:left w:val="single" w:color="000000" w:sz="4"/>
                    <w:bottom w:val="single" w:color="000000" w:sz="4"/>
                    <w:right w:val="single" w:color="000000" w:sz="4"/>
                  </w:tcBorders>
                </w:tcP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6、病虫害防治</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一经发现及时施药防治</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即有即治</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适时用药、对症下药、安全用药</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7、清洁</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垃圾、杂物收集</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及时清运</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无垃圾、无杂物</w:t>
                  </w:r>
                </w:p>
              </w:tc>
            </w:tr>
          </w:tbl>
          <w:p>
            <w:pPr>
              <w:pStyle w:val="null3"/>
              <w:spacing w:after="150"/>
              <w:jc w:val="both"/>
            </w:pPr>
            <w:r>
              <w:rPr>
                <w:rFonts w:ascii="仿宋_GB2312" w:hAnsi="仿宋_GB2312" w:cs="仿宋_GB2312" w:eastAsia="仿宋_GB2312"/>
                <w:sz w:val="24"/>
                <w:b/>
              </w:rPr>
              <w:t>(3)花木管理</w:t>
            </w:r>
          </w:p>
          <w:tbl>
            <w:tblPr>
              <w:tblBorders>
                <w:top w:val="none" w:color="000000" w:sz="4"/>
                <w:left w:val="none" w:color="000000" w:sz="4"/>
                <w:bottom w:val="none" w:color="000000" w:sz="4"/>
                <w:right w:val="none" w:color="000000" w:sz="4"/>
                <w:insideH w:val="none"/>
                <w:insideV w:val="none"/>
              </w:tblBorders>
            </w:tblPr>
            <w:tblGrid>
              <w:gridCol w:w="353"/>
              <w:gridCol w:w="1127"/>
              <w:gridCol w:w="536"/>
              <w:gridCol w:w="531"/>
            </w:tblGrid>
            <w:tr>
              <w:tc>
                <w:tcPr>
                  <w:tcW w:type="dxa" w:w="3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1"/>
                    <w:jc w:val="center"/>
                  </w:pPr>
                  <w:r>
                    <w:rPr>
                      <w:rFonts w:ascii="仿宋_GB2312" w:hAnsi="仿宋_GB2312" w:cs="仿宋_GB2312" w:eastAsia="仿宋_GB2312"/>
                      <w:sz w:val="24"/>
                      <w:b/>
                    </w:rPr>
                    <w:t>工作内容</w:t>
                  </w:r>
                </w:p>
              </w:tc>
              <w:tc>
                <w:tcPr>
                  <w:tcW w:type="dxa" w:w="11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197"/>
                    <w:jc w:val="both"/>
                  </w:pPr>
                  <w:r>
                    <w:rPr>
                      <w:rFonts w:ascii="仿宋_GB2312" w:hAnsi="仿宋_GB2312" w:cs="仿宋_GB2312" w:eastAsia="仿宋_GB2312"/>
                      <w:sz w:val="24"/>
                      <w:b/>
                    </w:rPr>
                    <w:t>工作标准</w:t>
                  </w:r>
                </w:p>
              </w:tc>
              <w:tc>
                <w:tcPr>
                  <w:tcW w:type="dxa" w:w="5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服务频次</w:t>
                  </w:r>
                </w:p>
              </w:tc>
              <w:tc>
                <w:tcPr>
                  <w:tcW w:type="dxa" w:w="5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质量标准</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1、浇水</w:t>
                  </w:r>
                </w:p>
              </w:tc>
              <w:tc>
                <w:tcPr>
                  <w:tcW w:type="dxa" w:w="1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w:t>
                  </w:r>
                  <w:r>
                    <w:rPr>
                      <w:rFonts w:ascii="仿宋_GB2312" w:hAnsi="仿宋_GB2312" w:cs="仿宋_GB2312" w:eastAsia="仿宋_GB2312"/>
                      <w:sz w:val="24"/>
                    </w:rPr>
                    <w:t>“旱象”，</w:t>
                  </w:r>
                  <w:r>
                    <w:rPr>
                      <w:rFonts w:ascii="仿宋_GB2312" w:hAnsi="仿宋_GB2312" w:cs="仿宋_GB2312" w:eastAsia="仿宋_GB2312"/>
                      <w:sz w:val="24"/>
                    </w:rPr>
                    <w:t>根据花木高度渗入土壤</w:t>
                  </w:r>
                  <w:r>
                    <w:rPr>
                      <w:rFonts w:ascii="仿宋_GB2312" w:hAnsi="仿宋_GB2312" w:cs="仿宋_GB2312" w:eastAsia="仿宋_GB2312"/>
                      <w:sz w:val="24"/>
                    </w:rPr>
                    <w:t>20m--50 m</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据实按需</w:t>
                  </w:r>
                </w:p>
              </w:tc>
              <w:tc>
                <w:tcPr>
                  <w:tcW w:type="dxa" w:w="5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枝繁叶茂，苍茏翠绿，株姿株态美</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2、除草松土</w:t>
                  </w:r>
                </w:p>
              </w:tc>
              <w:tc>
                <w:tcPr>
                  <w:tcW w:type="dxa" w:w="1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基本无杂草</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每年两次</w:t>
                  </w:r>
                </w:p>
              </w:tc>
              <w:tc>
                <w:tcPr>
                  <w:tcW w:type="dxa" w:w="531"/>
                  <w:vMerge/>
                  <w:tcBorders>
                    <w:top w:val="none" w:color="000000" w:sz="4"/>
                    <w:left w:val="single" w:color="000000" w:sz="4"/>
                    <w:bottom w:val="single" w:color="000000" w:sz="4"/>
                    <w:right w:val="single" w:color="000000" w:sz="4"/>
                  </w:tcBorders>
                </w:tcP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3、施肥</w:t>
                  </w:r>
                </w:p>
              </w:tc>
              <w:tc>
                <w:tcPr>
                  <w:tcW w:type="dxa" w:w="1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松土后接着施肥，开深</w:t>
                  </w:r>
                  <w:r>
                    <w:rPr>
                      <w:rFonts w:ascii="仿宋_GB2312" w:hAnsi="仿宋_GB2312" w:cs="仿宋_GB2312" w:eastAsia="仿宋_GB2312"/>
                      <w:sz w:val="24"/>
                    </w:rPr>
                    <w:t>20厘米环形沟或在不同方向挖20厘米深的穴，沟（穴）中施肥，大树每株250克，小花木每株50-150克植物密集的花/花坛施复合肥25-50克/M</w:t>
                  </w:r>
                  <w:r>
                    <w:rPr>
                      <w:rFonts w:ascii="仿宋_GB2312" w:hAnsi="仿宋_GB2312" w:cs="仿宋_GB2312" w:eastAsia="仿宋_GB2312"/>
                      <w:sz w:val="24"/>
                      <w:vertAlign w:val="superscript"/>
                    </w:rPr>
                    <w:t>2</w:t>
                  </w:r>
                  <w:r>
                    <w:rPr>
                      <w:rFonts w:ascii="仿宋_GB2312" w:hAnsi="仿宋_GB2312" w:cs="仿宋_GB2312" w:eastAsia="仿宋_GB2312"/>
                      <w:sz w:val="24"/>
                    </w:rPr>
                    <w:t>。</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每年两次：早春一次、秋末一次</w:t>
                  </w:r>
                </w:p>
              </w:tc>
              <w:tc>
                <w:tcPr>
                  <w:tcW w:type="dxa" w:w="531"/>
                  <w:vMerge/>
                  <w:tcBorders>
                    <w:top w:val="none" w:color="000000" w:sz="4"/>
                    <w:left w:val="single" w:color="000000" w:sz="4"/>
                    <w:bottom w:val="single" w:color="000000" w:sz="4"/>
                    <w:right w:val="single" w:color="000000" w:sz="4"/>
                  </w:tcBorders>
                </w:tcP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4、修整</w:t>
                  </w:r>
                </w:p>
              </w:tc>
              <w:tc>
                <w:tcPr>
                  <w:tcW w:type="dxa" w:w="1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乔木：无枯支败叶冠幅丰满成型小花木：观叶植物枝叶紧凑树姿美观</w:t>
                  </w:r>
                  <w:r>
                    <w:rPr>
                      <w:rFonts w:ascii="仿宋_GB2312" w:hAnsi="仿宋_GB2312" w:cs="仿宋_GB2312" w:eastAsia="仿宋_GB2312"/>
                      <w:sz w:val="24"/>
                    </w:rPr>
                    <w:t>，</w:t>
                  </w:r>
                  <w:r>
                    <w:rPr>
                      <w:rFonts w:ascii="仿宋_GB2312" w:hAnsi="仿宋_GB2312" w:cs="仿宋_GB2312" w:eastAsia="仿宋_GB2312"/>
                      <w:sz w:val="24"/>
                    </w:rPr>
                    <w:t>观花植物修剪冠幅匀称，造型形神兼备</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按需修整</w:t>
                  </w:r>
                </w:p>
              </w:tc>
              <w:tc>
                <w:tcPr>
                  <w:tcW w:type="dxa" w:w="531"/>
                  <w:vMerge/>
                  <w:tcBorders>
                    <w:top w:val="none" w:color="000000" w:sz="4"/>
                    <w:left w:val="single" w:color="000000" w:sz="4"/>
                    <w:bottom w:val="single" w:color="000000" w:sz="4"/>
                    <w:right w:val="single" w:color="000000" w:sz="4"/>
                  </w:tcBorders>
                </w:tcP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5、补植更新</w:t>
                  </w:r>
                </w:p>
              </w:tc>
              <w:tc>
                <w:tcPr>
                  <w:tcW w:type="dxa" w:w="1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无死株现象</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随时</w:t>
                  </w:r>
                </w:p>
              </w:tc>
              <w:tc>
                <w:tcPr>
                  <w:tcW w:type="dxa" w:w="531"/>
                  <w:vMerge/>
                  <w:tcBorders>
                    <w:top w:val="none" w:color="000000" w:sz="4"/>
                    <w:left w:val="single" w:color="000000" w:sz="4"/>
                    <w:bottom w:val="single" w:color="000000" w:sz="4"/>
                    <w:right w:val="single" w:color="000000" w:sz="4"/>
                  </w:tcBorders>
                </w:tcP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6、病虫害防治</w:t>
                  </w:r>
                </w:p>
              </w:tc>
              <w:tc>
                <w:tcPr>
                  <w:tcW w:type="dxa" w:w="1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喷药防治</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据实按需</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适时用药、对症下药、安全用药</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7、清洁</w:t>
                  </w:r>
                </w:p>
              </w:tc>
              <w:tc>
                <w:tcPr>
                  <w:tcW w:type="dxa" w:w="1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垃圾、杂物收集</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随时清运</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无垃圾、无杂物</w:t>
                  </w:r>
                </w:p>
              </w:tc>
            </w:tr>
          </w:tbl>
          <w:p>
            <w:pPr>
              <w:pStyle w:val="null3"/>
              <w:jc w:val="left"/>
            </w:pPr>
            <w:r>
              <w:rPr>
                <w:rFonts w:ascii="仿宋_GB2312" w:hAnsi="仿宋_GB2312" w:cs="仿宋_GB2312" w:eastAsia="仿宋_GB2312"/>
                <w:sz w:val="24"/>
                <w:b/>
              </w:rPr>
              <w:t>4、会议服务标准</w:t>
            </w:r>
          </w:p>
          <w:tbl>
            <w:tblPr>
              <w:tblBorders>
                <w:top w:val="none" w:color="000000" w:sz="4"/>
                <w:left w:val="none" w:color="000000" w:sz="4"/>
                <w:bottom w:val="none" w:color="000000" w:sz="4"/>
                <w:right w:val="none" w:color="000000" w:sz="4"/>
                <w:insideH w:val="none"/>
                <w:insideV w:val="none"/>
              </w:tblBorders>
            </w:tblPr>
            <w:tblGrid>
              <w:gridCol w:w="197"/>
              <w:gridCol w:w="265"/>
              <w:gridCol w:w="1319"/>
              <w:gridCol w:w="762"/>
            </w:tblGrid>
            <w:tr>
              <w:tc>
                <w:tcPr>
                  <w:tcW w:type="dxa" w:w="1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2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项目</w:t>
                  </w:r>
                </w:p>
              </w:tc>
              <w:tc>
                <w:tcPr>
                  <w:tcW w:type="dxa" w:w="13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工作内容</w:t>
                  </w:r>
                </w:p>
              </w:tc>
              <w:tc>
                <w:tcPr>
                  <w:tcW w:type="dxa" w:w="7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质量标准</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布置</w:t>
                  </w:r>
                </w:p>
                <w:p>
                  <w:pPr>
                    <w:pStyle w:val="null3"/>
                    <w:jc w:val="both"/>
                  </w:pPr>
                  <w:r>
                    <w:rPr>
                      <w:rFonts w:ascii="仿宋_GB2312" w:hAnsi="仿宋_GB2312" w:cs="仿宋_GB2312" w:eastAsia="仿宋_GB2312"/>
                      <w:sz w:val="24"/>
                    </w:rPr>
                    <w:t>会场</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1.按照主办方摆放桌椅；</w:t>
                  </w:r>
                </w:p>
                <w:p>
                  <w:pPr>
                    <w:pStyle w:val="null3"/>
                    <w:jc w:val="both"/>
                  </w:pPr>
                  <w:r>
                    <w:rPr>
                      <w:rFonts w:ascii="仿宋_GB2312" w:hAnsi="仿宋_GB2312" w:cs="仿宋_GB2312" w:eastAsia="仿宋_GB2312"/>
                      <w:sz w:val="24"/>
                    </w:rPr>
                    <w:t>2.家具干净、无灰尘；</w:t>
                  </w:r>
                </w:p>
                <w:p>
                  <w:pPr>
                    <w:pStyle w:val="null3"/>
                    <w:jc w:val="both"/>
                  </w:pPr>
                  <w:r>
                    <w:rPr>
                      <w:rFonts w:ascii="仿宋_GB2312" w:hAnsi="仿宋_GB2312" w:cs="仿宋_GB2312" w:eastAsia="仿宋_GB2312"/>
                      <w:sz w:val="24"/>
                    </w:rPr>
                    <w:t>3.必要时用家私蜡上光；</w:t>
                  </w:r>
                </w:p>
                <w:p>
                  <w:pPr>
                    <w:pStyle w:val="null3"/>
                    <w:jc w:val="both"/>
                  </w:pPr>
                  <w:r>
                    <w:rPr>
                      <w:rFonts w:ascii="仿宋_GB2312" w:hAnsi="仿宋_GB2312" w:cs="仿宋_GB2312" w:eastAsia="仿宋_GB2312"/>
                      <w:sz w:val="24"/>
                    </w:rPr>
                    <w:t>4.根据要求铺设桌布；</w:t>
                  </w:r>
                </w:p>
                <w:p>
                  <w:pPr>
                    <w:pStyle w:val="null3"/>
                    <w:jc w:val="both"/>
                  </w:pPr>
                  <w:r>
                    <w:rPr>
                      <w:rFonts w:ascii="仿宋_GB2312" w:hAnsi="仿宋_GB2312" w:cs="仿宋_GB2312" w:eastAsia="仿宋_GB2312"/>
                      <w:sz w:val="24"/>
                    </w:rPr>
                    <w:t>5.按照与会方要求摆放；</w:t>
                  </w:r>
                </w:p>
                <w:p>
                  <w:pPr>
                    <w:pStyle w:val="null3"/>
                    <w:jc w:val="both"/>
                  </w:pPr>
                  <w:r>
                    <w:rPr>
                      <w:rFonts w:ascii="仿宋_GB2312" w:hAnsi="仿宋_GB2312" w:cs="仿宋_GB2312" w:eastAsia="仿宋_GB2312"/>
                      <w:sz w:val="24"/>
                    </w:rPr>
                    <w:t>6.鲜花美观、鲜嫩、无虫害、无干叶；</w:t>
                  </w:r>
                </w:p>
                <w:p>
                  <w:pPr>
                    <w:pStyle w:val="null3"/>
                    <w:jc w:val="both"/>
                  </w:pPr>
                  <w:r>
                    <w:rPr>
                      <w:rFonts w:ascii="仿宋_GB2312" w:hAnsi="仿宋_GB2312" w:cs="仿宋_GB2312" w:eastAsia="仿宋_GB2312"/>
                      <w:sz w:val="24"/>
                    </w:rPr>
                    <w:t>7.用“绿宝”擦拭花卉叶子；</w:t>
                  </w:r>
                </w:p>
                <w:p>
                  <w:pPr>
                    <w:pStyle w:val="null3"/>
                    <w:jc w:val="both"/>
                  </w:pPr>
                  <w:r>
                    <w:rPr>
                      <w:rFonts w:ascii="仿宋_GB2312" w:hAnsi="仿宋_GB2312" w:cs="仿宋_GB2312" w:eastAsia="仿宋_GB2312"/>
                      <w:sz w:val="24"/>
                    </w:rPr>
                    <w:t>8.会标悬挂位置正确，保持在水平面。</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会中关闭门窗；</w:t>
                  </w:r>
                </w:p>
                <w:p>
                  <w:pPr>
                    <w:pStyle w:val="null3"/>
                    <w:jc w:val="both"/>
                  </w:pPr>
                  <w:r>
                    <w:rPr>
                      <w:rFonts w:ascii="仿宋_GB2312" w:hAnsi="仿宋_GB2312" w:cs="仿宋_GB2312" w:eastAsia="仿宋_GB2312"/>
                      <w:sz w:val="24"/>
                    </w:rPr>
                    <w:t>温度适中（夏季</w:t>
                  </w:r>
                  <w:r>
                    <w:rPr>
                      <w:rFonts w:ascii="仿宋_GB2312" w:hAnsi="仿宋_GB2312" w:cs="仿宋_GB2312" w:eastAsia="仿宋_GB2312"/>
                      <w:sz w:val="24"/>
                    </w:rPr>
                    <w:t>26度）；</w:t>
                  </w:r>
                </w:p>
                <w:p>
                  <w:pPr>
                    <w:pStyle w:val="null3"/>
                    <w:jc w:val="both"/>
                  </w:pPr>
                  <w:r>
                    <w:rPr>
                      <w:rFonts w:ascii="仿宋_GB2312" w:hAnsi="仿宋_GB2312" w:cs="仿宋_GB2312" w:eastAsia="仿宋_GB2312"/>
                      <w:sz w:val="24"/>
                    </w:rPr>
                    <w:t>3.风向避开座位。</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照明</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1.每周检查照明灯具，发现损坏在无会议时修理；</w:t>
                  </w:r>
                </w:p>
                <w:p>
                  <w:pPr>
                    <w:pStyle w:val="null3"/>
                    <w:jc w:val="both"/>
                  </w:pPr>
                  <w:r>
                    <w:rPr>
                      <w:rFonts w:ascii="仿宋_GB2312" w:hAnsi="仿宋_GB2312" w:cs="仿宋_GB2312" w:eastAsia="仿宋_GB2312"/>
                      <w:sz w:val="24"/>
                    </w:rPr>
                    <w:t>2.会前开启照明灯具；</w:t>
                  </w:r>
                </w:p>
                <w:p>
                  <w:pPr>
                    <w:pStyle w:val="null3"/>
                    <w:jc w:val="both"/>
                  </w:pPr>
                  <w:r>
                    <w:rPr>
                      <w:rFonts w:ascii="仿宋_GB2312" w:hAnsi="仿宋_GB2312" w:cs="仿宋_GB2312" w:eastAsia="仿宋_GB2312"/>
                      <w:sz w:val="24"/>
                    </w:rPr>
                    <w:t>3.照明适度、无灭灯。</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通风</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1.会前开启门窗通风；</w:t>
                  </w:r>
                </w:p>
                <w:p>
                  <w:pPr>
                    <w:pStyle w:val="null3"/>
                    <w:jc w:val="both"/>
                  </w:pPr>
                  <w:r>
                    <w:rPr>
                      <w:rFonts w:ascii="仿宋_GB2312" w:hAnsi="仿宋_GB2312" w:cs="仿宋_GB2312" w:eastAsia="仿宋_GB2312"/>
                      <w:sz w:val="24"/>
                    </w:rPr>
                    <w:t>2.下雨天气情况下应防止雨水进入室内；</w:t>
                  </w:r>
                </w:p>
                <w:p>
                  <w:pPr>
                    <w:pStyle w:val="null3"/>
                    <w:jc w:val="both"/>
                  </w:pPr>
                  <w:r>
                    <w:rPr>
                      <w:rFonts w:ascii="仿宋_GB2312" w:hAnsi="仿宋_GB2312" w:cs="仿宋_GB2312" w:eastAsia="仿宋_GB2312"/>
                      <w:sz w:val="24"/>
                    </w:rPr>
                    <w:t>3.大风天气应视情况确定开窗通风时间；</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卫生</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1.地面无灰尘、污渍、纸屑；</w:t>
                  </w:r>
                </w:p>
                <w:p>
                  <w:pPr>
                    <w:pStyle w:val="null3"/>
                    <w:jc w:val="both"/>
                  </w:pPr>
                  <w:r>
                    <w:rPr>
                      <w:rFonts w:ascii="仿宋_GB2312" w:hAnsi="仿宋_GB2312" w:cs="仿宋_GB2312" w:eastAsia="仿宋_GB2312"/>
                      <w:sz w:val="24"/>
                    </w:rPr>
                    <w:t>2.会议桌、茶几无灰尘、手印；</w:t>
                  </w:r>
                </w:p>
                <w:p>
                  <w:pPr>
                    <w:pStyle w:val="null3"/>
                    <w:jc w:val="both"/>
                  </w:pPr>
                  <w:r>
                    <w:rPr>
                      <w:rFonts w:ascii="仿宋_GB2312" w:hAnsi="仿宋_GB2312" w:cs="仿宋_GB2312" w:eastAsia="仿宋_GB2312"/>
                      <w:sz w:val="24"/>
                    </w:rPr>
                    <w:t>3.沙发无灰尘，靠垫、沙发巾平整无褶皱。</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花卉</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1.绢花在会议桌中间一字摆开；</w:t>
                  </w:r>
                </w:p>
                <w:p>
                  <w:pPr>
                    <w:pStyle w:val="null3"/>
                    <w:jc w:val="both"/>
                  </w:pPr>
                  <w:r>
                    <w:rPr>
                      <w:rFonts w:ascii="仿宋_GB2312" w:hAnsi="仿宋_GB2312" w:cs="仿宋_GB2312" w:eastAsia="仿宋_GB2312"/>
                      <w:sz w:val="24"/>
                    </w:rPr>
                    <w:t>2.鲜花美观、鲜嫩、无虫害、无干叶。</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重要</w:t>
                  </w:r>
                  <w:r>
                    <w:rPr>
                      <w:rFonts w:ascii="仿宋_GB2312" w:hAnsi="仿宋_GB2312" w:cs="仿宋_GB2312" w:eastAsia="仿宋_GB2312"/>
                      <w:sz w:val="21"/>
                    </w:rPr>
                    <w:t xml:space="preserve"> </w:t>
                  </w:r>
                  <w:r>
                    <w:rPr>
                      <w:rFonts w:ascii="仿宋_GB2312" w:hAnsi="仿宋_GB2312" w:cs="仿宋_GB2312" w:eastAsia="仿宋_GB2312"/>
                      <w:sz w:val="24"/>
                    </w:rPr>
                    <w:t>会议</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1.座位前正中摆放桌签；</w:t>
                  </w:r>
                </w:p>
                <w:p>
                  <w:pPr>
                    <w:pStyle w:val="null3"/>
                    <w:jc w:val="both"/>
                  </w:pPr>
                  <w:r>
                    <w:rPr>
                      <w:rFonts w:ascii="仿宋_GB2312" w:hAnsi="仿宋_GB2312" w:cs="仿宋_GB2312" w:eastAsia="仿宋_GB2312"/>
                      <w:sz w:val="24"/>
                    </w:rPr>
                    <w:t>2.下方距桌沿5CM摆放便笺；</w:t>
                  </w:r>
                </w:p>
                <w:p>
                  <w:pPr>
                    <w:pStyle w:val="null3"/>
                    <w:jc w:val="both"/>
                  </w:pPr>
                  <w:r>
                    <w:rPr>
                      <w:rFonts w:ascii="仿宋_GB2312" w:hAnsi="仿宋_GB2312" w:cs="仿宋_GB2312" w:eastAsia="仿宋_GB2312"/>
                      <w:sz w:val="24"/>
                    </w:rPr>
                    <w:t>3.桌边右侧放置笔筒；</w:t>
                  </w:r>
                </w:p>
                <w:p>
                  <w:pPr>
                    <w:pStyle w:val="null3"/>
                    <w:jc w:val="both"/>
                  </w:pPr>
                  <w:r>
                    <w:rPr>
                      <w:rFonts w:ascii="仿宋_GB2312" w:hAnsi="仿宋_GB2312" w:cs="仿宋_GB2312" w:eastAsia="仿宋_GB2312"/>
                      <w:sz w:val="24"/>
                    </w:rPr>
                    <w:t>4.便笺无印迹、无折印；</w:t>
                  </w:r>
                </w:p>
                <w:p>
                  <w:pPr>
                    <w:pStyle w:val="null3"/>
                    <w:jc w:val="both"/>
                  </w:pPr>
                  <w:r>
                    <w:rPr>
                      <w:rFonts w:ascii="仿宋_GB2312" w:hAnsi="仿宋_GB2312" w:cs="仿宋_GB2312" w:eastAsia="仿宋_GB2312"/>
                      <w:sz w:val="24"/>
                    </w:rPr>
                    <w:t>5.铅笔已削好。</w:t>
                  </w:r>
                </w:p>
              </w:tc>
              <w:tc>
                <w:tcPr>
                  <w:tcW w:type="dxa" w:w="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1.无水迹、无印迹、无破损；</w:t>
                  </w:r>
                </w:p>
                <w:p>
                  <w:pPr>
                    <w:pStyle w:val="null3"/>
                    <w:numPr>
                      <w:ilvl w:val="0"/>
                      <w:numId w:val="1"/>
                    </w:numPr>
                    <w:jc w:val="both"/>
                  </w:pPr>
                  <w:r>
                    <w:rPr>
                      <w:rFonts w:ascii="仿宋_GB2312" w:hAnsi="仿宋_GB2312" w:cs="仿宋_GB2312" w:eastAsia="仿宋_GB2312"/>
                      <w:sz w:val="24"/>
                    </w:rPr>
                    <w:t>湿巾均已消毒；</w:t>
                  </w:r>
                </w:p>
                <w:p>
                  <w:pPr>
                    <w:pStyle w:val="null3"/>
                    <w:numPr>
                      <w:ilvl w:val="0"/>
                      <w:numId w:val="1"/>
                    </w:numPr>
                    <w:jc w:val="both"/>
                  </w:pPr>
                  <w:r>
                    <w:rPr>
                      <w:rFonts w:ascii="仿宋_GB2312" w:hAnsi="仿宋_GB2312" w:cs="仿宋_GB2312" w:eastAsia="仿宋_GB2312"/>
                      <w:sz w:val="24"/>
                    </w:rPr>
                    <w:t>便笺右上方依次摆放湿巾托盘和茶杯垫盘；</w:t>
                  </w:r>
                </w:p>
                <w:p>
                  <w:pPr>
                    <w:pStyle w:val="null3"/>
                    <w:numPr>
                      <w:ilvl w:val="0"/>
                      <w:numId w:val="1"/>
                    </w:numPr>
                    <w:jc w:val="both"/>
                  </w:pPr>
                  <w:r>
                    <w:rPr>
                      <w:rFonts w:ascii="仿宋_GB2312" w:hAnsi="仿宋_GB2312" w:cs="仿宋_GB2312" w:eastAsia="仿宋_GB2312"/>
                      <w:sz w:val="24"/>
                    </w:rPr>
                    <w:t>整齐摆放成一直线；</w:t>
                  </w:r>
                </w:p>
                <w:p>
                  <w:pPr>
                    <w:pStyle w:val="null3"/>
                    <w:numPr>
                      <w:ilvl w:val="0"/>
                      <w:numId w:val="1"/>
                    </w:numPr>
                    <w:jc w:val="both"/>
                  </w:pPr>
                  <w:r>
                    <w:rPr>
                      <w:rFonts w:ascii="仿宋_GB2312" w:hAnsi="仿宋_GB2312" w:cs="仿宋_GB2312" w:eastAsia="仿宋_GB2312"/>
                      <w:sz w:val="24"/>
                    </w:rPr>
                    <w:t>摆放位置上下端正；</w:t>
                  </w:r>
                </w:p>
                <w:p>
                  <w:pPr>
                    <w:pStyle w:val="null3"/>
                    <w:jc w:val="both"/>
                  </w:pPr>
                  <w:r>
                    <w:rPr>
                      <w:rFonts w:ascii="仿宋_GB2312" w:hAnsi="仿宋_GB2312" w:cs="仿宋_GB2312" w:eastAsia="仿宋_GB2312"/>
                      <w:sz w:val="24"/>
                    </w:rPr>
                    <w:t>6.检查茶具有无水迹、污迹、茶锈、破损。</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职工</w:t>
                  </w:r>
                </w:p>
                <w:p>
                  <w:pPr>
                    <w:pStyle w:val="null3"/>
                    <w:jc w:val="center"/>
                  </w:pPr>
                  <w:r>
                    <w:rPr>
                      <w:rFonts w:ascii="仿宋_GB2312" w:hAnsi="仿宋_GB2312" w:cs="仿宋_GB2312" w:eastAsia="仿宋_GB2312"/>
                      <w:sz w:val="24"/>
                    </w:rPr>
                    <w:t>大会</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rPr>
                    <w:t>主席台桌签放置座前正上方居中；</w:t>
                  </w:r>
                </w:p>
                <w:p>
                  <w:pPr>
                    <w:pStyle w:val="null3"/>
                    <w:numPr>
                      <w:ilvl w:val="0"/>
                      <w:numId w:val="1"/>
                    </w:numPr>
                    <w:jc w:val="both"/>
                  </w:pPr>
                  <w:r>
                    <w:rPr>
                      <w:rFonts w:ascii="仿宋_GB2312" w:hAnsi="仿宋_GB2312" w:cs="仿宋_GB2312" w:eastAsia="仿宋_GB2312"/>
                      <w:sz w:val="24"/>
                    </w:rPr>
                    <w:t>茶具放在座位右侧距桌沿</w:t>
                  </w:r>
                  <w:r>
                    <w:rPr>
                      <w:rFonts w:ascii="仿宋_GB2312" w:hAnsi="仿宋_GB2312" w:cs="仿宋_GB2312" w:eastAsia="仿宋_GB2312"/>
                      <w:sz w:val="24"/>
                    </w:rPr>
                    <w:t>30公分处；</w:t>
                  </w:r>
                </w:p>
                <w:p>
                  <w:pPr>
                    <w:pStyle w:val="null3"/>
                    <w:numPr>
                      <w:ilvl w:val="0"/>
                      <w:numId w:val="1"/>
                    </w:numPr>
                    <w:jc w:val="both"/>
                  </w:pPr>
                  <w:r>
                    <w:rPr>
                      <w:rFonts w:ascii="仿宋_GB2312" w:hAnsi="仿宋_GB2312" w:cs="仿宋_GB2312" w:eastAsia="仿宋_GB2312"/>
                      <w:sz w:val="24"/>
                    </w:rPr>
                    <w:t>茶具左侧</w:t>
                  </w:r>
                  <w:r>
                    <w:rPr>
                      <w:rFonts w:ascii="仿宋_GB2312" w:hAnsi="仿宋_GB2312" w:cs="仿宋_GB2312" w:eastAsia="仿宋_GB2312"/>
                      <w:sz w:val="24"/>
                    </w:rPr>
                    <w:t>5公分摆放湿巾托盘（根据需要）</w:t>
                  </w:r>
                </w:p>
                <w:p>
                  <w:pPr>
                    <w:pStyle w:val="null3"/>
                    <w:numPr>
                      <w:ilvl w:val="0"/>
                      <w:numId w:val="1"/>
                    </w:numPr>
                    <w:jc w:val="both"/>
                  </w:pPr>
                  <w:r>
                    <w:rPr>
                      <w:rFonts w:ascii="仿宋_GB2312" w:hAnsi="仿宋_GB2312" w:cs="仿宋_GB2312" w:eastAsia="仿宋_GB2312"/>
                      <w:sz w:val="24"/>
                    </w:rPr>
                    <w:t>4.座位中间距桌沿2公分放置文具。</w:t>
                  </w:r>
                </w:p>
              </w:tc>
              <w:tc>
                <w:tcPr>
                  <w:tcW w:type="dxa" w:w="762"/>
                  <w:vMerge/>
                  <w:tcBorders>
                    <w:top w:val="none" w:color="000000" w:sz="4"/>
                    <w:left w:val="none" w:color="000000" w:sz="4"/>
                    <w:bottom w:val="single" w:color="000000" w:sz="4"/>
                    <w:right w:val="single" w:color="000000" w:sz="4"/>
                  </w:tcBorders>
                </w:tcP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迎宾</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rPr>
                    <w:t>指定地点等候客人；</w:t>
                  </w:r>
                </w:p>
                <w:p>
                  <w:pPr>
                    <w:pStyle w:val="null3"/>
                    <w:numPr>
                      <w:ilvl w:val="0"/>
                      <w:numId w:val="1"/>
                    </w:numPr>
                    <w:jc w:val="both"/>
                  </w:pPr>
                  <w:r>
                    <w:rPr>
                      <w:rFonts w:ascii="仿宋_GB2312" w:hAnsi="仿宋_GB2312" w:cs="仿宋_GB2312" w:eastAsia="仿宋_GB2312"/>
                      <w:sz w:val="24"/>
                    </w:rPr>
                    <w:t>见到客人微笑示意，使用礼貌问候语；</w:t>
                  </w:r>
                </w:p>
                <w:p>
                  <w:pPr>
                    <w:pStyle w:val="null3"/>
                    <w:numPr>
                      <w:ilvl w:val="0"/>
                      <w:numId w:val="1"/>
                    </w:numPr>
                    <w:jc w:val="both"/>
                  </w:pPr>
                  <w:r>
                    <w:rPr>
                      <w:rFonts w:ascii="仿宋_GB2312" w:hAnsi="仿宋_GB2312" w:cs="仿宋_GB2312" w:eastAsia="仿宋_GB2312"/>
                      <w:sz w:val="24"/>
                    </w:rPr>
                    <w:t>引客人至会议室落座；</w:t>
                  </w:r>
                </w:p>
                <w:p>
                  <w:pPr>
                    <w:pStyle w:val="null3"/>
                    <w:numPr>
                      <w:ilvl w:val="0"/>
                      <w:numId w:val="1"/>
                    </w:numPr>
                    <w:jc w:val="both"/>
                  </w:pPr>
                  <w:r>
                    <w:rPr>
                      <w:rFonts w:ascii="仿宋_GB2312" w:hAnsi="仿宋_GB2312" w:cs="仿宋_GB2312" w:eastAsia="仿宋_GB2312"/>
                      <w:sz w:val="24"/>
                    </w:rPr>
                    <w:t>4.协助安放物品。</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迎宾</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rPr>
                    <w:t>指定地点等候客人；</w:t>
                  </w:r>
                </w:p>
                <w:p>
                  <w:pPr>
                    <w:pStyle w:val="null3"/>
                    <w:numPr>
                      <w:ilvl w:val="0"/>
                      <w:numId w:val="1"/>
                    </w:numPr>
                    <w:jc w:val="both"/>
                  </w:pPr>
                  <w:r>
                    <w:rPr>
                      <w:rFonts w:ascii="仿宋_GB2312" w:hAnsi="仿宋_GB2312" w:cs="仿宋_GB2312" w:eastAsia="仿宋_GB2312"/>
                      <w:sz w:val="24"/>
                    </w:rPr>
                    <w:t>见到客人微笑示意，使用礼貌问候语；</w:t>
                  </w:r>
                </w:p>
                <w:p>
                  <w:pPr>
                    <w:pStyle w:val="null3"/>
                    <w:numPr>
                      <w:ilvl w:val="0"/>
                      <w:numId w:val="1"/>
                    </w:numPr>
                    <w:jc w:val="both"/>
                  </w:pPr>
                  <w:r>
                    <w:rPr>
                      <w:rFonts w:ascii="仿宋_GB2312" w:hAnsi="仿宋_GB2312" w:cs="仿宋_GB2312" w:eastAsia="仿宋_GB2312"/>
                      <w:sz w:val="24"/>
                    </w:rPr>
                    <w:t>引客人至会议室落座；</w:t>
                  </w:r>
                </w:p>
                <w:p>
                  <w:pPr>
                    <w:pStyle w:val="null3"/>
                    <w:numPr>
                      <w:ilvl w:val="0"/>
                      <w:numId w:val="1"/>
                    </w:numPr>
                    <w:jc w:val="both"/>
                  </w:pPr>
                  <w:r>
                    <w:rPr>
                      <w:rFonts w:ascii="仿宋_GB2312" w:hAnsi="仿宋_GB2312" w:cs="仿宋_GB2312" w:eastAsia="仿宋_GB2312"/>
                      <w:sz w:val="24"/>
                    </w:rPr>
                    <w:t>4.协助安放物品。</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润茶</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rPr>
                    <w:t>袋装茶提前放入杯中商标朝向客人，底部与杯柄对齐；</w:t>
                  </w:r>
                </w:p>
                <w:p>
                  <w:pPr>
                    <w:pStyle w:val="null3"/>
                    <w:numPr>
                      <w:ilvl w:val="0"/>
                      <w:numId w:val="1"/>
                    </w:numPr>
                    <w:jc w:val="both"/>
                  </w:pPr>
                  <w:r>
                    <w:rPr>
                      <w:rFonts w:ascii="仿宋_GB2312" w:hAnsi="仿宋_GB2312" w:cs="仿宋_GB2312" w:eastAsia="仿宋_GB2312"/>
                      <w:sz w:val="24"/>
                    </w:rPr>
                    <w:t>2.散装茶叶用量充足；</w:t>
                  </w:r>
                </w:p>
                <w:p>
                  <w:pPr>
                    <w:pStyle w:val="null3"/>
                    <w:numPr>
                      <w:ilvl w:val="0"/>
                      <w:numId w:val="1"/>
                    </w:numPr>
                    <w:jc w:val="both"/>
                  </w:pPr>
                  <w:r>
                    <w:rPr>
                      <w:rFonts w:ascii="仿宋_GB2312" w:hAnsi="仿宋_GB2312" w:cs="仿宋_GB2312" w:eastAsia="仿宋_GB2312"/>
                      <w:sz w:val="24"/>
                    </w:rPr>
                    <w:t>3.水量不超过杯子1/3。</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沏茶</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rPr>
                    <w:t>倒</w:t>
                  </w:r>
                  <w:r>
                    <w:rPr>
                      <w:rFonts w:ascii="仿宋_GB2312" w:hAnsi="仿宋_GB2312" w:cs="仿宋_GB2312" w:eastAsia="仿宋_GB2312"/>
                      <w:sz w:val="24"/>
                    </w:rPr>
                    <w:t>7成水量；</w:t>
                  </w:r>
                </w:p>
                <w:p>
                  <w:pPr>
                    <w:pStyle w:val="null3"/>
                    <w:numPr>
                      <w:ilvl w:val="0"/>
                      <w:numId w:val="1"/>
                    </w:numPr>
                    <w:jc w:val="both"/>
                  </w:pPr>
                  <w:r>
                    <w:rPr>
                      <w:rFonts w:ascii="仿宋_GB2312" w:hAnsi="仿宋_GB2312" w:cs="仿宋_GB2312" w:eastAsia="仿宋_GB2312"/>
                      <w:sz w:val="24"/>
                    </w:rPr>
                    <w:t>领导提前到会场及时倒茶；</w:t>
                  </w:r>
                </w:p>
                <w:p>
                  <w:pPr>
                    <w:pStyle w:val="null3"/>
                    <w:numPr>
                      <w:ilvl w:val="0"/>
                      <w:numId w:val="1"/>
                    </w:numPr>
                    <w:jc w:val="both"/>
                  </w:pPr>
                  <w:r>
                    <w:rPr>
                      <w:rFonts w:ascii="仿宋_GB2312" w:hAnsi="仿宋_GB2312" w:cs="仿宋_GB2312" w:eastAsia="仿宋_GB2312"/>
                      <w:sz w:val="24"/>
                    </w:rPr>
                    <w:t>杯盖留有</w:t>
                  </w:r>
                  <w:r>
                    <w:rPr>
                      <w:rFonts w:ascii="仿宋_GB2312" w:hAnsi="仿宋_GB2312" w:cs="仿宋_GB2312" w:eastAsia="仿宋_GB2312"/>
                      <w:sz w:val="24"/>
                    </w:rPr>
                    <w:t>0.5CM的空隙；</w:t>
                  </w:r>
                </w:p>
                <w:p>
                  <w:pPr>
                    <w:pStyle w:val="null3"/>
                    <w:numPr>
                      <w:ilvl w:val="0"/>
                      <w:numId w:val="1"/>
                    </w:numPr>
                    <w:jc w:val="both"/>
                  </w:pPr>
                  <w:r>
                    <w:rPr>
                      <w:rFonts w:ascii="仿宋_GB2312" w:hAnsi="仿宋_GB2312" w:cs="仿宋_GB2312" w:eastAsia="仿宋_GB2312"/>
                      <w:sz w:val="24"/>
                    </w:rPr>
                    <w:t>4.倒水过程中避免水漫溢。</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续水</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rPr>
                    <w:t>姿势正确，在客人右后方进行茶水服务；</w:t>
                  </w:r>
                </w:p>
                <w:p>
                  <w:pPr>
                    <w:pStyle w:val="null3"/>
                    <w:numPr>
                      <w:ilvl w:val="0"/>
                      <w:numId w:val="1"/>
                    </w:numPr>
                    <w:jc w:val="both"/>
                  </w:pPr>
                  <w:r>
                    <w:rPr>
                      <w:rFonts w:ascii="仿宋_GB2312" w:hAnsi="仿宋_GB2312" w:cs="仿宋_GB2312" w:eastAsia="仿宋_GB2312"/>
                      <w:sz w:val="24"/>
                    </w:rPr>
                    <w:t>桌面、笔记及信纸上不溅水；</w:t>
                  </w:r>
                </w:p>
                <w:p>
                  <w:pPr>
                    <w:pStyle w:val="null3"/>
                    <w:numPr>
                      <w:ilvl w:val="0"/>
                      <w:numId w:val="1"/>
                    </w:numPr>
                    <w:jc w:val="both"/>
                  </w:pPr>
                  <w:r>
                    <w:rPr>
                      <w:rFonts w:ascii="仿宋_GB2312" w:hAnsi="仿宋_GB2312" w:cs="仿宋_GB2312" w:eastAsia="仿宋_GB2312"/>
                      <w:sz w:val="24"/>
                    </w:rPr>
                    <w:t>不得私自在会议室滞留；</w:t>
                  </w:r>
                </w:p>
                <w:p>
                  <w:pPr>
                    <w:pStyle w:val="null3"/>
                    <w:numPr>
                      <w:ilvl w:val="0"/>
                      <w:numId w:val="1"/>
                    </w:numPr>
                    <w:jc w:val="both"/>
                  </w:pPr>
                  <w:r>
                    <w:rPr>
                      <w:rFonts w:ascii="仿宋_GB2312" w:hAnsi="仿宋_GB2312" w:cs="仿宋_GB2312" w:eastAsia="仿宋_GB2312"/>
                      <w:sz w:val="24"/>
                    </w:rPr>
                    <w:t>进入会议室需走路轻、讲话轻、动作轻；</w:t>
                  </w:r>
                </w:p>
                <w:p>
                  <w:pPr>
                    <w:pStyle w:val="null3"/>
                    <w:numPr>
                      <w:ilvl w:val="0"/>
                      <w:numId w:val="1"/>
                    </w:numPr>
                    <w:jc w:val="both"/>
                  </w:pPr>
                  <w:r>
                    <w:rPr>
                      <w:rFonts w:ascii="仿宋_GB2312" w:hAnsi="仿宋_GB2312" w:cs="仿宋_GB2312" w:eastAsia="仿宋_GB2312"/>
                      <w:sz w:val="24"/>
                    </w:rPr>
                    <w:t>会中每</w:t>
                  </w:r>
                  <w:r>
                    <w:rPr>
                      <w:rFonts w:ascii="仿宋_GB2312" w:hAnsi="仿宋_GB2312" w:cs="仿宋_GB2312" w:eastAsia="仿宋_GB2312"/>
                      <w:sz w:val="24"/>
                    </w:rPr>
                    <w:t>20分钟续水一次；</w:t>
                  </w:r>
                </w:p>
                <w:p>
                  <w:pPr>
                    <w:pStyle w:val="null3"/>
                    <w:numPr>
                      <w:ilvl w:val="0"/>
                      <w:numId w:val="1"/>
                    </w:numPr>
                    <w:jc w:val="both"/>
                  </w:pPr>
                  <w:r>
                    <w:rPr>
                      <w:rFonts w:ascii="仿宋_GB2312" w:hAnsi="仿宋_GB2312" w:cs="仿宋_GB2312" w:eastAsia="仿宋_GB2312"/>
                      <w:sz w:val="24"/>
                    </w:rPr>
                    <w:t>职工大会提供饮用水；</w:t>
                  </w:r>
                </w:p>
                <w:p>
                  <w:pPr>
                    <w:pStyle w:val="null3"/>
                    <w:numPr>
                      <w:ilvl w:val="0"/>
                      <w:numId w:val="1"/>
                    </w:numPr>
                    <w:jc w:val="both"/>
                  </w:pPr>
                  <w:r>
                    <w:rPr>
                      <w:rFonts w:ascii="仿宋_GB2312" w:hAnsi="仿宋_GB2312" w:cs="仿宋_GB2312" w:eastAsia="仿宋_GB2312"/>
                      <w:sz w:val="24"/>
                    </w:rPr>
                    <w:t>7.部门各单位会议30分钟续水一次。</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送宾</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rPr>
                    <w:t>在会议结束前</w:t>
                  </w:r>
                  <w:r>
                    <w:rPr>
                      <w:rFonts w:ascii="仿宋_GB2312" w:hAnsi="仿宋_GB2312" w:cs="仿宋_GB2312" w:eastAsia="仿宋_GB2312"/>
                      <w:sz w:val="24"/>
                    </w:rPr>
                    <w:t>10分钟检查各区域是否正常；</w:t>
                  </w:r>
                </w:p>
                <w:p>
                  <w:pPr>
                    <w:pStyle w:val="null3"/>
                    <w:numPr>
                      <w:ilvl w:val="0"/>
                      <w:numId w:val="1"/>
                    </w:numPr>
                    <w:jc w:val="both"/>
                  </w:pPr>
                  <w:r>
                    <w:rPr>
                      <w:rFonts w:ascii="仿宋_GB2312" w:hAnsi="仿宋_GB2312" w:cs="仿宋_GB2312" w:eastAsia="仿宋_GB2312"/>
                      <w:sz w:val="24"/>
                    </w:rPr>
                    <w:t>提醒并协助与会人员带好随身物品及衣物；</w:t>
                  </w:r>
                </w:p>
                <w:p>
                  <w:pPr>
                    <w:pStyle w:val="null3"/>
                    <w:jc w:val="both"/>
                  </w:pPr>
                  <w:r>
                    <w:rPr>
                      <w:rFonts w:ascii="仿宋_GB2312" w:hAnsi="仿宋_GB2312" w:cs="仿宋_GB2312" w:eastAsia="仿宋_GB2312"/>
                      <w:sz w:val="24"/>
                    </w:rPr>
                    <w:t>3.引客人至电梯间，待客人上梯后离开。</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会后</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rPr>
                    <w:t>迅速、准确；</w:t>
                  </w:r>
                </w:p>
                <w:p>
                  <w:pPr>
                    <w:pStyle w:val="null3"/>
                    <w:numPr>
                      <w:ilvl w:val="0"/>
                      <w:numId w:val="1"/>
                    </w:numPr>
                    <w:jc w:val="both"/>
                  </w:pPr>
                  <w:r>
                    <w:rPr>
                      <w:rFonts w:ascii="仿宋_GB2312" w:hAnsi="仿宋_GB2312" w:cs="仿宋_GB2312" w:eastAsia="仿宋_GB2312"/>
                      <w:sz w:val="24"/>
                    </w:rPr>
                    <w:t>发现遗留物品封存上报；</w:t>
                  </w:r>
                </w:p>
                <w:p>
                  <w:pPr>
                    <w:pStyle w:val="null3"/>
                    <w:numPr>
                      <w:ilvl w:val="0"/>
                      <w:numId w:val="1"/>
                    </w:numPr>
                    <w:jc w:val="both"/>
                  </w:pPr>
                  <w:r>
                    <w:rPr>
                      <w:rFonts w:ascii="仿宋_GB2312" w:hAnsi="仿宋_GB2312" w:cs="仿宋_GB2312" w:eastAsia="仿宋_GB2312"/>
                      <w:sz w:val="24"/>
                    </w:rPr>
                    <w:t>3.收台后，室内卫生要与会前相同。</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pPr>
            <w:r>
              <w:rPr>
                <w:rFonts w:ascii="仿宋_GB2312" w:hAnsi="仿宋_GB2312" w:cs="仿宋_GB2312" w:eastAsia="仿宋_GB2312"/>
                <w:sz w:val="24"/>
                <w:b/>
              </w:rPr>
              <w:t>5.公共设施设备运行及维护管理工作与标准</w:t>
            </w:r>
          </w:p>
          <w:tbl>
            <w:tblPr>
              <w:tblInd w:type="dxa" w:w="420"/>
              <w:tblBorders>
                <w:top w:val="none" w:color="000000" w:sz="4"/>
                <w:left w:val="none" w:color="000000" w:sz="4"/>
                <w:bottom w:val="none" w:color="000000" w:sz="4"/>
                <w:right w:val="none" w:color="000000" w:sz="4"/>
                <w:insideH w:val="none"/>
                <w:insideV w:val="none"/>
              </w:tblBorders>
            </w:tblPr>
            <w:tblGrid>
              <w:gridCol w:w="195"/>
              <w:gridCol w:w="731"/>
              <w:gridCol w:w="1621"/>
            </w:tblGrid>
            <w:tr>
              <w:tc>
                <w:tcPr>
                  <w:tcW w:type="dxa" w:w="19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rPr>
                    <w:t>序号</w:t>
                  </w:r>
                </w:p>
              </w:tc>
              <w:tc>
                <w:tcPr>
                  <w:tcW w:type="dxa" w:w="73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rPr>
                    <w:t>内容</w:t>
                  </w:r>
                </w:p>
              </w:tc>
              <w:tc>
                <w:tcPr>
                  <w:tcW w:type="dxa" w:w="162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rPr>
                    <w:t>工作内容</w:t>
                  </w:r>
                  <w:r>
                    <w:rPr>
                      <w:rFonts w:ascii="仿宋_GB2312" w:hAnsi="仿宋_GB2312" w:cs="仿宋_GB2312" w:eastAsia="仿宋_GB2312"/>
                      <w:sz w:val="24"/>
                      <w:b/>
                    </w:rPr>
                    <w:t>及标准</w:t>
                  </w:r>
                </w:p>
              </w:tc>
            </w:tr>
            <w:tr>
              <w:tc>
                <w:tcPr>
                  <w:tcW w:type="dxa" w:w="1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7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rFonts w:ascii="仿宋_GB2312" w:hAnsi="仿宋_GB2312" w:cs="仿宋_GB2312" w:eastAsia="仿宋_GB2312"/>
                      <w:sz w:val="24"/>
                    </w:rPr>
                    <w:t>设备运行</w:t>
                  </w:r>
                </w:p>
              </w:tc>
              <w:tc>
                <w:tcPr>
                  <w:tcW w:type="dxa" w:w="16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共用设施设备运行正常，维护良好，无事故隐患，有设备台帐、运行记录、检查记录、维修记录、保养记录。</w:t>
                  </w:r>
                </w:p>
              </w:tc>
            </w:tr>
            <w:tr>
              <w:tc>
                <w:tcPr>
                  <w:tcW w:type="dxa" w:w="1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w:t>
                  </w:r>
                </w:p>
              </w:tc>
              <w:tc>
                <w:tcPr>
                  <w:tcW w:type="dxa" w:w="7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值班报修</w:t>
                  </w:r>
                </w:p>
              </w:tc>
              <w:tc>
                <w:tcPr>
                  <w:tcW w:type="dxa" w:w="16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right="150"/>
                    <w:jc w:val="left"/>
                  </w:pPr>
                  <w:r>
                    <w:rPr>
                      <w:rFonts w:ascii="仿宋_GB2312" w:hAnsi="仿宋_GB2312" w:cs="仿宋_GB2312" w:eastAsia="仿宋_GB2312"/>
                      <w:sz w:val="24"/>
                    </w:rPr>
                    <w:t>急修报修半小时内到达现场，预约维修报修按双方约定时间到达现场；回访率</w:t>
                  </w:r>
                  <w:r>
                    <w:rPr>
                      <w:rFonts w:ascii="仿宋_GB2312" w:hAnsi="仿宋_GB2312" w:cs="仿宋_GB2312" w:eastAsia="仿宋_GB2312"/>
                      <w:sz w:val="24"/>
                    </w:rPr>
                    <w:t>100%。</w:t>
                  </w:r>
                </w:p>
              </w:tc>
            </w:tr>
            <w:tr>
              <w:tc>
                <w:tcPr>
                  <w:tcW w:type="dxa" w:w="1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w:t>
                  </w:r>
                </w:p>
              </w:tc>
              <w:tc>
                <w:tcPr>
                  <w:tcW w:type="dxa" w:w="7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操作员工</w:t>
                  </w:r>
                </w:p>
              </w:tc>
              <w:tc>
                <w:tcPr>
                  <w:tcW w:type="dxa" w:w="16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技能熟练，严格执行操作规程，持证上岗。</w:t>
                  </w:r>
                </w:p>
              </w:tc>
            </w:tr>
            <w:tr>
              <w:tc>
                <w:tcPr>
                  <w:tcW w:type="dxa" w:w="1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4</w:t>
                  </w:r>
                </w:p>
              </w:tc>
              <w:tc>
                <w:tcPr>
                  <w:tcW w:type="dxa" w:w="7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消防管理</w:t>
                  </w:r>
                </w:p>
              </w:tc>
              <w:tc>
                <w:tcPr>
                  <w:tcW w:type="dxa" w:w="16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符合消防部门的有关规定进行管理，定期进行消防演习，保证消防通道畅通，设备保管使用合理。</w:t>
                  </w:r>
                </w:p>
              </w:tc>
            </w:tr>
            <w:tr>
              <w:tc>
                <w:tcPr>
                  <w:tcW w:type="dxa" w:w="1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5</w:t>
                  </w:r>
                </w:p>
              </w:tc>
              <w:tc>
                <w:tcPr>
                  <w:tcW w:type="dxa" w:w="7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道路、停车场</w:t>
                  </w:r>
                </w:p>
              </w:tc>
              <w:tc>
                <w:tcPr>
                  <w:tcW w:type="dxa" w:w="16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平整通畅，交通线标志齐全规范。</w:t>
                  </w:r>
                </w:p>
              </w:tc>
            </w:tr>
            <w:tr>
              <w:tc>
                <w:tcPr>
                  <w:tcW w:type="dxa" w:w="1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6</w:t>
                  </w:r>
                </w:p>
              </w:tc>
              <w:tc>
                <w:tcPr>
                  <w:tcW w:type="dxa" w:w="7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right="225"/>
                    <w:jc w:val="center"/>
                  </w:pPr>
                  <w:r>
                    <w:rPr>
                      <w:rFonts w:ascii="仿宋_GB2312" w:hAnsi="仿宋_GB2312" w:cs="仿宋_GB2312" w:eastAsia="仿宋_GB2312"/>
                      <w:sz w:val="24"/>
                    </w:rPr>
                    <w:t>路灯、楼道灯等公共照明设备</w:t>
                  </w:r>
                </w:p>
              </w:tc>
              <w:tc>
                <w:tcPr>
                  <w:tcW w:type="dxa" w:w="16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完好率</w:t>
                  </w:r>
                  <w:r>
                    <w:rPr>
                      <w:rFonts w:ascii="仿宋_GB2312" w:hAnsi="仿宋_GB2312" w:cs="仿宋_GB2312" w:eastAsia="仿宋_GB2312"/>
                      <w:sz w:val="24"/>
                    </w:rPr>
                    <w:t>98%以上，按甲方规定时间、规定标准，定时开关。</w:t>
                  </w:r>
                </w:p>
              </w:tc>
            </w:tr>
            <w:tr>
              <w:tc>
                <w:tcPr>
                  <w:tcW w:type="dxa" w:w="1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7</w:t>
                  </w:r>
                </w:p>
              </w:tc>
              <w:tc>
                <w:tcPr>
                  <w:tcW w:type="dxa" w:w="7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制度</w:t>
                  </w:r>
                </w:p>
              </w:tc>
              <w:tc>
                <w:tcPr>
                  <w:tcW w:type="dxa" w:w="16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right="150"/>
                    <w:jc w:val="left"/>
                  </w:pPr>
                  <w:r>
                    <w:rPr>
                      <w:rFonts w:ascii="仿宋_GB2312" w:hAnsi="仿宋_GB2312" w:cs="仿宋_GB2312" w:eastAsia="仿宋_GB2312"/>
                      <w:sz w:val="24"/>
                    </w:rPr>
                    <w:t>维修养护制度健全并在工作场所明示，工作标准及岗位责任制明确，执行良好。</w:t>
                  </w:r>
                </w:p>
              </w:tc>
            </w:tr>
            <w:tr>
              <w:tc>
                <w:tcPr>
                  <w:tcW w:type="dxa" w:w="1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8</w:t>
                  </w:r>
                </w:p>
              </w:tc>
              <w:tc>
                <w:tcPr>
                  <w:tcW w:type="dxa" w:w="7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设备故障及重大事件</w:t>
                  </w:r>
                </w:p>
              </w:tc>
              <w:tc>
                <w:tcPr>
                  <w:tcW w:type="dxa" w:w="16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right="135"/>
                    <w:jc w:val="left"/>
                  </w:pPr>
                  <w:r>
                    <w:rPr>
                      <w:rFonts w:ascii="仿宋_GB2312" w:hAnsi="仿宋_GB2312" w:cs="仿宋_GB2312" w:eastAsia="仿宋_GB2312"/>
                      <w:sz w:val="24"/>
                    </w:rPr>
                    <w:t>有完善的应急方案、现场处理措施、处理记录以及分析培训工作。</w:t>
                  </w:r>
                </w:p>
              </w:tc>
            </w:tr>
            <w:tr>
              <w:tc>
                <w:tcPr>
                  <w:tcW w:type="dxa" w:w="1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9</w:t>
                  </w:r>
                </w:p>
              </w:tc>
              <w:tc>
                <w:tcPr>
                  <w:tcW w:type="dxa" w:w="7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设备房</w:t>
                  </w:r>
                </w:p>
              </w:tc>
              <w:tc>
                <w:tcPr>
                  <w:tcW w:type="dxa" w:w="16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卫生、整洁，主要设施设备标识清楚齐全。</w:t>
                  </w:r>
                </w:p>
              </w:tc>
            </w:tr>
            <w:tr>
              <w:tc>
                <w:tcPr>
                  <w:tcW w:type="dxa" w:w="1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br/>
                  </w:r>
                  <w:r>
                    <w:rPr>
                      <w:rFonts w:ascii="仿宋_GB2312" w:hAnsi="仿宋_GB2312" w:cs="仿宋_GB2312" w:eastAsia="仿宋_GB2312"/>
                      <w:sz w:val="24"/>
                    </w:rPr>
                    <w:t>10</w:t>
                  </w:r>
                </w:p>
              </w:tc>
              <w:tc>
                <w:tcPr>
                  <w:tcW w:type="dxa" w:w="7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设备房及公共场所、场地</w:t>
                  </w:r>
                  <w:r>
                    <w:rPr>
                      <w:rFonts w:ascii="仿宋_GB2312" w:hAnsi="仿宋_GB2312" w:cs="仿宋_GB2312" w:eastAsia="仿宋_GB2312"/>
                      <w:sz w:val="24"/>
                    </w:rPr>
                    <w:t>、</w:t>
                  </w:r>
                  <w:r>
                    <w:rPr>
                      <w:rFonts w:ascii="仿宋_GB2312" w:hAnsi="仿宋_GB2312" w:cs="仿宋_GB2312" w:eastAsia="仿宋_GB2312"/>
                      <w:sz w:val="24"/>
                    </w:rPr>
                    <w:t>危及人身安全隐患处</w:t>
                  </w:r>
                </w:p>
              </w:tc>
              <w:tc>
                <w:tcPr>
                  <w:tcW w:type="dxa" w:w="16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有明显标志和防范措施。</w:t>
                  </w:r>
                </w:p>
              </w:tc>
            </w:tr>
            <w:tr>
              <w:tc>
                <w:tcPr>
                  <w:tcW w:type="dxa" w:w="1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11</w:t>
                  </w:r>
                </w:p>
              </w:tc>
              <w:tc>
                <w:tcPr>
                  <w:tcW w:type="dxa" w:w="7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停水、停电</w:t>
                  </w:r>
                </w:p>
              </w:tc>
              <w:tc>
                <w:tcPr>
                  <w:tcW w:type="dxa" w:w="16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在接到相关部门通知后，按规定时间提前通知相关人员。</w:t>
                  </w:r>
                </w:p>
              </w:tc>
            </w:tr>
          </w:tbl>
          <w:p>
            <w:pPr>
              <w:pStyle w:val="null3"/>
              <w:ind w:firstLine="723"/>
              <w:jc w:val="both"/>
            </w:pPr>
            <w:r>
              <w:rPr>
                <w:rFonts w:ascii="仿宋_GB2312" w:hAnsi="仿宋_GB2312" w:cs="仿宋_GB2312" w:eastAsia="仿宋_GB2312"/>
                <w:sz w:val="24"/>
                <w:b/>
              </w:rPr>
              <w:t>6.四害消杀工作及标准</w:t>
            </w:r>
          </w:p>
          <w:tbl>
            <w:tblPr>
              <w:tblBorders>
                <w:top w:val="none" w:color="000000" w:sz="4"/>
                <w:left w:val="none" w:color="000000" w:sz="4"/>
                <w:bottom w:val="none" w:color="000000" w:sz="4"/>
                <w:right w:val="none" w:color="000000" w:sz="4"/>
                <w:insideH w:val="none"/>
                <w:insideV w:val="none"/>
              </w:tblBorders>
            </w:tblPr>
            <w:tblGrid>
              <w:gridCol w:w="400"/>
              <w:gridCol w:w="1747"/>
              <w:gridCol w:w="396"/>
            </w:tblGrid>
            <w:tr>
              <w:tc>
                <w:tcPr>
                  <w:tcW w:type="dxa" w:w="4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工作内容</w:t>
                  </w:r>
                </w:p>
              </w:tc>
              <w:tc>
                <w:tcPr>
                  <w:tcW w:type="dxa" w:w="17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工作标准</w:t>
                  </w:r>
                </w:p>
              </w:tc>
              <w:tc>
                <w:tcPr>
                  <w:tcW w:type="dxa" w:w="3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服务频次</w:t>
                  </w:r>
                </w:p>
              </w:tc>
            </w:tr>
            <w:tr>
              <w:tc>
                <w:tcPr>
                  <w:tcW w:type="dxa" w:w="4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灭鼠</w:t>
                  </w:r>
                </w:p>
              </w:tc>
              <w:tc>
                <w:tcPr>
                  <w:tcW w:type="dxa" w:w="1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15平方米标准房间布放20×20厘米滑石粉块两块，一夜后阳性块不超过3%；有鼠洞、鼠粪、鼠咬痕等鼠迹的房间不超过2%；重点单位防鼠设施不合格处不超过5%。</w:t>
                  </w:r>
                </w:p>
              </w:tc>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每周</w:t>
                  </w:r>
                  <w:r>
                    <w:rPr>
                      <w:rFonts w:ascii="仿宋_GB2312" w:hAnsi="仿宋_GB2312" w:cs="仿宋_GB2312" w:eastAsia="仿宋_GB2312"/>
                      <w:sz w:val="24"/>
                    </w:rPr>
                    <w:t>1次</w:t>
                  </w:r>
                </w:p>
              </w:tc>
            </w:tr>
            <w:tr>
              <w:tc>
                <w:tcPr>
                  <w:tcW w:type="dxa" w:w="400"/>
                  <w:vMerge/>
                  <w:tcBorders>
                    <w:top w:val="none" w:color="000000" w:sz="4"/>
                    <w:left w:val="single" w:color="000000" w:sz="4"/>
                    <w:bottom w:val="single" w:color="000000" w:sz="4"/>
                    <w:right w:val="single" w:color="000000" w:sz="4"/>
                  </w:tcBorders>
                </w:tcPr>
                <w:p/>
              </w:tc>
              <w:tc>
                <w:tcPr>
                  <w:tcW w:type="dxa" w:w="1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不同类型的外环境累计</w:t>
                  </w:r>
                  <w:r>
                    <w:rPr>
                      <w:rFonts w:ascii="仿宋_GB2312" w:hAnsi="仿宋_GB2312" w:cs="仿宋_GB2312" w:eastAsia="仿宋_GB2312"/>
                      <w:sz w:val="24"/>
                    </w:rPr>
                    <w:t>2000米，鼠迹不超过5处。</w:t>
                  </w:r>
                </w:p>
              </w:tc>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每周</w:t>
                  </w:r>
                  <w:r>
                    <w:rPr>
                      <w:rFonts w:ascii="仿宋_GB2312" w:hAnsi="仿宋_GB2312" w:cs="仿宋_GB2312" w:eastAsia="仿宋_GB2312"/>
                      <w:sz w:val="24"/>
                    </w:rPr>
                    <w:t>1次</w:t>
                  </w:r>
                </w:p>
              </w:tc>
            </w:tr>
            <w:tr>
              <w:tc>
                <w:tcPr>
                  <w:tcW w:type="dxa" w:w="4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灭蝇蚊</w:t>
                  </w:r>
                </w:p>
              </w:tc>
              <w:tc>
                <w:tcPr>
                  <w:tcW w:type="dxa" w:w="1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居民住宅、单位内外环境各种存水容器和积水中，蚊幼及蛹的阳行率不超过</w:t>
                  </w:r>
                  <w:r>
                    <w:rPr>
                      <w:rFonts w:ascii="仿宋_GB2312" w:hAnsi="仿宋_GB2312" w:cs="仿宋_GB2312" w:eastAsia="仿宋_GB2312"/>
                      <w:sz w:val="24"/>
                    </w:rPr>
                    <w:t>3%。</w:t>
                  </w:r>
                </w:p>
              </w:tc>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每周</w:t>
                  </w:r>
                  <w:r>
                    <w:rPr>
                      <w:rFonts w:ascii="仿宋_GB2312" w:hAnsi="仿宋_GB2312" w:cs="仿宋_GB2312" w:eastAsia="仿宋_GB2312"/>
                      <w:sz w:val="24"/>
                    </w:rPr>
                    <w:t>1次</w:t>
                  </w:r>
                </w:p>
              </w:tc>
            </w:tr>
            <w:tr>
              <w:tc>
                <w:tcPr>
                  <w:tcW w:type="dxa" w:w="400"/>
                  <w:vMerge/>
                  <w:tcBorders>
                    <w:top w:val="none" w:color="000000" w:sz="4"/>
                    <w:left w:val="single" w:color="000000" w:sz="4"/>
                    <w:bottom w:val="single" w:color="000000" w:sz="4"/>
                    <w:right w:val="single" w:color="000000" w:sz="4"/>
                  </w:tcBorders>
                </w:tcPr>
                <w:p/>
              </w:tc>
              <w:tc>
                <w:tcPr>
                  <w:tcW w:type="dxa" w:w="1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用</w:t>
                  </w:r>
                  <w:r>
                    <w:rPr>
                      <w:rFonts w:ascii="仿宋_GB2312" w:hAnsi="仿宋_GB2312" w:cs="仿宋_GB2312" w:eastAsia="仿宋_GB2312"/>
                      <w:sz w:val="24"/>
                    </w:rPr>
                    <w:t>500ml收集勺采集城区内大中型水体中的蚊幼或蛹阳性率不超过3%，性勺内幼虫或蛹的平均数不超过5只。</w:t>
                  </w:r>
                </w:p>
              </w:tc>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每周</w:t>
                  </w:r>
                  <w:r>
                    <w:rPr>
                      <w:rFonts w:ascii="仿宋_GB2312" w:hAnsi="仿宋_GB2312" w:cs="仿宋_GB2312" w:eastAsia="仿宋_GB2312"/>
                      <w:sz w:val="24"/>
                    </w:rPr>
                    <w:t>1次</w:t>
                  </w:r>
                </w:p>
              </w:tc>
            </w:tr>
            <w:tr>
              <w:tc>
                <w:tcPr>
                  <w:tcW w:type="dxa" w:w="400"/>
                  <w:vMerge/>
                  <w:tcBorders>
                    <w:top w:val="none" w:color="000000" w:sz="4"/>
                    <w:left w:val="single" w:color="000000" w:sz="4"/>
                    <w:bottom w:val="single" w:color="000000" w:sz="4"/>
                    <w:right w:val="single" w:color="000000" w:sz="4"/>
                  </w:tcBorders>
                </w:tcPr>
                <w:p/>
              </w:tc>
              <w:tc>
                <w:tcPr>
                  <w:tcW w:type="dxa" w:w="1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特殊场所白天人诱蚊</w:t>
                  </w:r>
                  <w:r>
                    <w:rPr>
                      <w:rFonts w:ascii="仿宋_GB2312" w:hAnsi="仿宋_GB2312" w:cs="仿宋_GB2312" w:eastAsia="仿宋_GB2312"/>
                      <w:sz w:val="24"/>
                    </w:rPr>
                    <w:t>30分钟，平均每人次诱获成蚊数不超过1只。</w:t>
                  </w:r>
                </w:p>
              </w:tc>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每周</w:t>
                  </w:r>
                  <w:r>
                    <w:rPr>
                      <w:rFonts w:ascii="仿宋_GB2312" w:hAnsi="仿宋_GB2312" w:cs="仿宋_GB2312" w:eastAsia="仿宋_GB2312"/>
                      <w:sz w:val="24"/>
                    </w:rPr>
                    <w:t>1次</w:t>
                  </w:r>
                </w:p>
              </w:tc>
            </w:tr>
            <w:tr>
              <w:tc>
                <w:tcPr>
                  <w:tcW w:type="dxa" w:w="4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灭蟑螂</w:t>
                  </w:r>
                </w:p>
              </w:tc>
              <w:tc>
                <w:tcPr>
                  <w:tcW w:type="dxa" w:w="1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室内有蟑螂成虫或若虫阳性房间不超过</w:t>
                  </w:r>
                  <w:r>
                    <w:rPr>
                      <w:rFonts w:ascii="仿宋_GB2312" w:hAnsi="仿宋_GB2312" w:cs="仿宋_GB2312" w:eastAsia="仿宋_GB2312"/>
                      <w:sz w:val="24"/>
                    </w:rPr>
                    <w:t>3%，平均每间房大蠊不超过5只，小蠊不超过10只。</w:t>
                  </w:r>
                </w:p>
              </w:tc>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每周</w:t>
                  </w:r>
                  <w:r>
                    <w:rPr>
                      <w:rFonts w:ascii="仿宋_GB2312" w:hAnsi="仿宋_GB2312" w:cs="仿宋_GB2312" w:eastAsia="仿宋_GB2312"/>
                      <w:sz w:val="24"/>
                    </w:rPr>
                    <w:t>1次</w:t>
                  </w:r>
                </w:p>
              </w:tc>
            </w:tr>
            <w:tr>
              <w:tc>
                <w:tcPr>
                  <w:tcW w:type="dxa" w:w="400"/>
                  <w:vMerge/>
                  <w:tcBorders>
                    <w:top w:val="none" w:color="000000" w:sz="4"/>
                    <w:left w:val="single" w:color="000000" w:sz="4"/>
                    <w:bottom w:val="single" w:color="000000" w:sz="4"/>
                    <w:right w:val="single" w:color="000000" w:sz="4"/>
                  </w:tcBorders>
                </w:tcPr>
                <w:p/>
              </w:tc>
              <w:tc>
                <w:tcPr>
                  <w:tcW w:type="dxa" w:w="1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有活蟑螂卵鞘房间不超过</w:t>
                  </w:r>
                  <w:r>
                    <w:rPr>
                      <w:rFonts w:ascii="仿宋_GB2312" w:hAnsi="仿宋_GB2312" w:cs="仿宋_GB2312" w:eastAsia="仿宋_GB2312"/>
                      <w:sz w:val="24"/>
                    </w:rPr>
                    <w:t>2%，平均每间房不超过4只。</w:t>
                  </w:r>
                </w:p>
              </w:tc>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每周</w:t>
                  </w:r>
                  <w:r>
                    <w:rPr>
                      <w:rFonts w:ascii="仿宋_GB2312" w:hAnsi="仿宋_GB2312" w:cs="仿宋_GB2312" w:eastAsia="仿宋_GB2312"/>
                      <w:sz w:val="24"/>
                    </w:rPr>
                    <w:t>1次</w:t>
                  </w:r>
                </w:p>
              </w:tc>
            </w:tr>
            <w:tr>
              <w:tc>
                <w:tcPr>
                  <w:tcW w:type="dxa" w:w="400"/>
                  <w:vMerge/>
                  <w:tcBorders>
                    <w:top w:val="none" w:color="000000" w:sz="4"/>
                    <w:left w:val="single" w:color="000000" w:sz="4"/>
                    <w:bottom w:val="single" w:color="000000" w:sz="4"/>
                    <w:right w:val="single" w:color="000000" w:sz="4"/>
                  </w:tcBorders>
                </w:tcPr>
                <w:p/>
              </w:tc>
              <w:tc>
                <w:tcPr>
                  <w:tcW w:type="dxa" w:w="1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有蟑螂粪便、蜕皮等蟑迹的房间不过</w:t>
                  </w:r>
                  <w:r>
                    <w:rPr>
                      <w:rFonts w:ascii="仿宋_GB2312" w:hAnsi="仿宋_GB2312" w:cs="仿宋_GB2312" w:eastAsia="仿宋_GB2312"/>
                      <w:sz w:val="24"/>
                    </w:rPr>
                    <w:t>5%。</w:t>
                  </w:r>
                </w:p>
              </w:tc>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每周</w:t>
                  </w:r>
                  <w:r>
                    <w:rPr>
                      <w:rFonts w:ascii="仿宋_GB2312" w:hAnsi="仿宋_GB2312" w:cs="仿宋_GB2312" w:eastAsia="仿宋_GB2312"/>
                      <w:sz w:val="24"/>
                    </w:rPr>
                    <w:t>1次</w:t>
                  </w:r>
                </w:p>
              </w:tc>
            </w:tr>
          </w:tbl>
          <w:p>
            <w:pPr>
              <w:pStyle w:val="null3"/>
              <w:jc w:val="both"/>
            </w:pPr>
            <w:r>
              <w:rPr>
                <w:rFonts w:ascii="仿宋_GB2312" w:hAnsi="仿宋_GB2312" w:cs="仿宋_GB2312" w:eastAsia="仿宋_GB2312"/>
              </w:rPr>
              <w:t xml:space="preserve"> </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241"/>
              <w:jc w:val="both"/>
            </w:pPr>
            <w:r>
              <w:rPr>
                <w:rFonts w:ascii="仿宋_GB2312" w:hAnsi="仿宋_GB2312" w:cs="仿宋_GB2312" w:eastAsia="仿宋_GB2312"/>
                <w:sz w:val="24"/>
                <w:b/>
              </w:rPr>
              <w:t>项目人员配置要求</w:t>
            </w:r>
          </w:p>
          <w:p>
            <w:pPr>
              <w:pStyle w:val="null3"/>
              <w:ind w:firstLine="480"/>
              <w:jc w:val="left"/>
            </w:pPr>
            <w:r>
              <w:rPr>
                <w:rFonts w:ascii="仿宋_GB2312" w:hAnsi="仿宋_GB2312" w:cs="仿宋_GB2312" w:eastAsia="仿宋_GB2312"/>
                <w:sz w:val="24"/>
                <w:shd w:fill="FFFFFF" w:val="clear"/>
              </w:rPr>
              <w:t>本项目人员配备共</w:t>
            </w:r>
            <w:r>
              <w:rPr>
                <w:rFonts w:ascii="仿宋_GB2312" w:hAnsi="仿宋_GB2312" w:cs="仿宋_GB2312" w:eastAsia="仿宋_GB2312"/>
                <w:sz w:val="24"/>
                <w:shd w:fill="FFFFFF" w:val="clear"/>
              </w:rPr>
              <w:t>计</w:t>
            </w:r>
            <w:r>
              <w:rPr>
                <w:rFonts w:ascii="仿宋_GB2312" w:hAnsi="仿宋_GB2312" w:cs="仿宋_GB2312" w:eastAsia="仿宋_GB2312"/>
                <w:sz w:val="24"/>
                <w:shd w:fill="FFFFFF" w:val="clear"/>
              </w:rPr>
              <w:t>15人</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其中，</w:t>
            </w:r>
            <w:r>
              <w:rPr>
                <w:rFonts w:ascii="仿宋_GB2312" w:hAnsi="仿宋_GB2312" w:cs="仿宋_GB2312" w:eastAsia="仿宋_GB2312"/>
                <w:sz w:val="24"/>
                <w:shd w:fill="FFFFFF" w:val="clear"/>
              </w:rPr>
              <w:t>项目经理</w:t>
            </w:r>
            <w:r>
              <w:rPr>
                <w:rFonts w:ascii="仿宋_GB2312" w:hAnsi="仿宋_GB2312" w:cs="仿宋_GB2312" w:eastAsia="仿宋_GB2312"/>
                <w:sz w:val="24"/>
                <w:shd w:fill="FFFFFF" w:val="clear"/>
              </w:rPr>
              <w:t>1名；保安队长1名；</w:t>
            </w:r>
            <w:r>
              <w:rPr>
                <w:rFonts w:ascii="仿宋_GB2312" w:hAnsi="仿宋_GB2312" w:cs="仿宋_GB2312" w:eastAsia="仿宋_GB2312"/>
                <w:sz w:val="24"/>
                <w:shd w:fill="FFFFFF" w:val="clear"/>
              </w:rPr>
              <w:t>保安</w:t>
            </w:r>
            <w:r>
              <w:rPr>
                <w:rFonts w:ascii="仿宋_GB2312" w:hAnsi="仿宋_GB2312" w:cs="仿宋_GB2312" w:eastAsia="仿宋_GB2312"/>
                <w:sz w:val="24"/>
                <w:shd w:fill="FFFFFF" w:val="clear"/>
              </w:rPr>
              <w:t>7名；绿化1名；保洁2名；外围保洁1名；会务人员1名；水电工1名。</w:t>
            </w:r>
          </w:p>
          <w:tbl>
            <w:tblPr>
              <w:tblBorders>
                <w:top w:val="none" w:color="000000" w:sz="4"/>
                <w:left w:val="none" w:color="000000" w:sz="4"/>
                <w:bottom w:val="none" w:color="000000" w:sz="4"/>
                <w:right w:val="none" w:color="000000" w:sz="4"/>
                <w:insideH w:val="none"/>
                <w:insideV w:val="none"/>
              </w:tblBorders>
            </w:tblPr>
            <w:tblGrid>
              <w:gridCol w:w="564"/>
              <w:gridCol w:w="697"/>
              <w:gridCol w:w="329"/>
              <w:gridCol w:w="957"/>
            </w:tblGrid>
            <w:tr>
              <w:tc>
                <w:tcPr>
                  <w:tcW w:type="dxa" w:w="5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部门</w:t>
                  </w:r>
                </w:p>
              </w:tc>
              <w:tc>
                <w:tcPr>
                  <w:tcW w:type="dxa" w:w="6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岗位</w:t>
                  </w:r>
                </w:p>
              </w:tc>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数量</w:t>
                  </w:r>
                </w:p>
              </w:tc>
              <w:tc>
                <w:tcPr>
                  <w:tcW w:type="dxa" w:w="9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备注</w:t>
                  </w: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综合管理部</w:t>
                  </w: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项目经理</w:t>
                  </w: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保安部</w:t>
                  </w: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保安队长</w:t>
                  </w: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保安人员需</w:t>
                  </w:r>
                  <w:r>
                    <w:rPr>
                      <w:rFonts w:ascii="仿宋_GB2312" w:hAnsi="仿宋_GB2312" w:cs="仿宋_GB2312" w:eastAsia="仿宋_GB2312"/>
                      <w:sz w:val="24"/>
                    </w:rPr>
                    <w:t>60周岁以下（含60周岁），且有保安上岗证。</w:t>
                  </w:r>
                </w:p>
              </w:tc>
            </w:tr>
            <w:tr>
              <w:tc>
                <w:tcPr>
                  <w:tcW w:type="dxa" w:w="564"/>
                  <w:vMerge/>
                  <w:tcBorders>
                    <w:top w:val="none" w:color="000000" w:sz="4"/>
                    <w:left w:val="single" w:color="000000" w:sz="4"/>
                    <w:bottom w:val="single" w:color="000000" w:sz="4"/>
                    <w:right w:val="single" w:color="000000" w:sz="4"/>
                  </w:tcBorders>
                </w:tcP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保安</w:t>
                  </w:r>
                  <w:r>
                    <w:rPr>
                      <w:rFonts w:ascii="仿宋_GB2312" w:hAnsi="仿宋_GB2312" w:cs="仿宋_GB2312" w:eastAsia="仿宋_GB2312"/>
                      <w:sz w:val="24"/>
                    </w:rPr>
                    <w:t>员</w:t>
                  </w: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957"/>
                  <w:vMerge/>
                  <w:tcBorders>
                    <w:top w:val="none" w:color="000000" w:sz="4"/>
                    <w:left w:val="single" w:color="000000" w:sz="4"/>
                    <w:bottom w:val="single" w:color="000000" w:sz="4"/>
                    <w:right w:val="single" w:color="000000" w:sz="4"/>
                  </w:tcBorders>
                </w:tcPr>
                <w:p/>
              </w:tc>
            </w:tr>
            <w:tr>
              <w:tc>
                <w:tcPr>
                  <w:tcW w:type="dxa" w:w="5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保洁部</w:t>
                  </w: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保洁员</w:t>
                  </w: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4"/>
                  <w:vMerge/>
                  <w:tcBorders>
                    <w:top w:val="none" w:color="000000" w:sz="4"/>
                    <w:left w:val="single" w:color="000000" w:sz="4"/>
                    <w:bottom w:val="single" w:color="000000" w:sz="4"/>
                    <w:right w:val="single" w:color="000000" w:sz="4"/>
                  </w:tcBorders>
                </w:tcP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外围保洁员</w:t>
                  </w: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绿化部</w:t>
                  </w: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绿化普工</w:t>
                  </w: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会务接待</w:t>
                  </w: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会务员</w:t>
                  </w: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工程部</w:t>
                  </w: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水电工</w:t>
                  </w: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水电工需具有</w:t>
                  </w:r>
                  <w:r>
                    <w:rPr>
                      <w:rFonts w:ascii="仿宋_GB2312" w:hAnsi="仿宋_GB2312" w:cs="仿宋_GB2312" w:eastAsia="仿宋_GB2312"/>
                      <w:sz w:val="24"/>
                    </w:rPr>
                    <w:t>低压电工作业证</w:t>
                  </w:r>
                  <w:r>
                    <w:rPr>
                      <w:rFonts w:ascii="仿宋_GB2312" w:hAnsi="仿宋_GB2312" w:cs="仿宋_GB2312" w:eastAsia="仿宋_GB2312"/>
                      <w:sz w:val="24"/>
                    </w:rPr>
                    <w:t>。</w:t>
                  </w: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合计</w:t>
                  </w: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769"/>
          </w:tcP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4"/>
                <w:b/>
              </w:rPr>
              <w:t>合同签订及费用结算</w:t>
            </w:r>
          </w:p>
          <w:p>
            <w:pPr>
              <w:pStyle w:val="null3"/>
              <w:jc w:val="both"/>
            </w:pPr>
            <w:r>
              <w:rPr>
                <w:rFonts w:ascii="仿宋_GB2312" w:hAnsi="仿宋_GB2312" w:cs="仿宋_GB2312" w:eastAsia="仿宋_GB2312"/>
                <w:sz w:val="24"/>
                <w:shd w:fill="FFFFFF" w:val="clear"/>
              </w:rPr>
              <w:t>运营服务费：每月</w:t>
            </w:r>
            <w:r>
              <w:rPr>
                <w:rFonts w:ascii="仿宋_GB2312" w:hAnsi="仿宋_GB2312" w:cs="仿宋_GB2312" w:eastAsia="仿宋_GB2312"/>
                <w:sz w:val="24"/>
                <w:shd w:fill="FFFFFF" w:val="clear"/>
              </w:rPr>
              <w:t>10日前供应商向采购人开具上月服务费发票，采购人在收到发票后的</w:t>
            </w:r>
            <w:r>
              <w:rPr>
                <w:rFonts w:ascii="仿宋_GB2312" w:hAnsi="仿宋_GB2312" w:cs="仿宋_GB2312" w:eastAsia="仿宋_GB2312"/>
                <w:sz w:val="24"/>
                <w:shd w:fill="FFFFFF" w:val="clear"/>
              </w:rPr>
              <w:t>3</w:t>
            </w:r>
            <w:r>
              <w:rPr>
                <w:rFonts w:ascii="仿宋_GB2312" w:hAnsi="仿宋_GB2312" w:cs="仿宋_GB2312" w:eastAsia="仿宋_GB2312"/>
                <w:sz w:val="24"/>
                <w:shd w:fill="FFFFFF" w:val="clear"/>
              </w:rPr>
              <w:t>个</w:t>
            </w:r>
            <w:r>
              <w:rPr>
                <w:rFonts w:ascii="仿宋_GB2312" w:hAnsi="仿宋_GB2312" w:cs="仿宋_GB2312" w:eastAsia="仿宋_GB2312"/>
                <w:sz w:val="24"/>
                <w:shd w:fill="FFFFFF" w:val="clear"/>
              </w:rPr>
              <w:t>工作</w:t>
            </w:r>
            <w:r>
              <w:rPr>
                <w:rFonts w:ascii="仿宋_GB2312" w:hAnsi="仿宋_GB2312" w:cs="仿宋_GB2312" w:eastAsia="仿宋_GB2312"/>
                <w:sz w:val="24"/>
                <w:shd w:fill="FFFFFF" w:val="clear"/>
              </w:rPr>
              <w:t>日内（特殊情况除外）</w:t>
            </w:r>
            <w:r>
              <w:rPr>
                <w:rFonts w:ascii="仿宋_GB2312" w:hAnsi="仿宋_GB2312" w:cs="仿宋_GB2312" w:eastAsia="仿宋_GB2312"/>
                <w:sz w:val="24"/>
                <w:shd w:fill="FFFFFF" w:val="clear"/>
              </w:rPr>
              <w:t>向供应商支付上月服务费（节假日顺延）。</w:t>
            </w:r>
            <w:r>
              <w:rPr>
                <w:rFonts w:ascii="仿宋_GB2312" w:hAnsi="仿宋_GB2312" w:cs="仿宋_GB2312" w:eastAsia="仿宋_GB2312"/>
                <w:sz w:val="24"/>
                <w:b/>
                <w:shd w:fill="FFFFFF" w:val="clear"/>
              </w:rPr>
              <w:t>注：开具发票时需附人员工资表（包含管理费、经营利润等），购置设备、工具等应需以发票作为支出的依据。</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both"/>
            </w:pPr>
            <w:r>
              <w:rPr>
                <w:rFonts w:ascii="仿宋_GB2312" w:hAnsi="仿宋_GB2312" w:cs="仿宋_GB2312" w:eastAsia="仿宋_GB2312"/>
                <w:sz w:val="24"/>
                <w:b/>
                <w:shd w:fill="FFFFFF" w:val="clear"/>
              </w:rPr>
              <w:t>人员配备承诺：（</w:t>
            </w:r>
            <w:r>
              <w:rPr>
                <w:rFonts w:ascii="仿宋_GB2312" w:hAnsi="仿宋_GB2312" w:cs="仿宋_GB2312" w:eastAsia="仿宋_GB2312"/>
                <w:sz w:val="24"/>
                <w:b/>
                <w:shd w:fill="FFFFFF" w:val="clear"/>
              </w:rPr>
              <w:t>1）保安员要求年龄在</w:t>
            </w:r>
            <w:r>
              <w:rPr>
                <w:rFonts w:ascii="仿宋_GB2312" w:hAnsi="仿宋_GB2312" w:cs="仿宋_GB2312" w:eastAsia="仿宋_GB2312"/>
                <w:sz w:val="24"/>
                <w:b/>
                <w:shd w:fill="FFFFFF" w:val="clear"/>
              </w:rPr>
              <w:t>60</w:t>
            </w:r>
            <w:r>
              <w:rPr>
                <w:rFonts w:ascii="仿宋_GB2312" w:hAnsi="仿宋_GB2312" w:cs="仿宋_GB2312" w:eastAsia="仿宋_GB2312"/>
                <w:sz w:val="24"/>
                <w:b/>
                <w:shd w:fill="FFFFFF" w:val="clear"/>
              </w:rPr>
              <w:t>岁</w:t>
            </w:r>
            <w:r>
              <w:rPr>
                <w:rFonts w:ascii="仿宋_GB2312" w:hAnsi="仿宋_GB2312" w:cs="仿宋_GB2312" w:eastAsia="仿宋_GB2312"/>
                <w:sz w:val="24"/>
                <w:b/>
                <w:shd w:fill="FFFFFF" w:val="clear"/>
              </w:rPr>
              <w:t>(含)以下，全部</w:t>
            </w:r>
            <w:r>
              <w:rPr>
                <w:rFonts w:ascii="仿宋_GB2312" w:hAnsi="仿宋_GB2312" w:cs="仿宋_GB2312" w:eastAsia="仿宋_GB2312"/>
                <w:sz w:val="24"/>
                <w:b/>
                <w:shd w:fill="FFFFFF" w:val="clear"/>
              </w:rPr>
              <w:t>保安</w:t>
            </w:r>
            <w:r>
              <w:rPr>
                <w:rFonts w:ascii="仿宋_GB2312" w:hAnsi="仿宋_GB2312" w:cs="仿宋_GB2312" w:eastAsia="仿宋_GB2312"/>
                <w:sz w:val="24"/>
                <w:b/>
                <w:shd w:fill="FFFFFF" w:val="clear"/>
              </w:rPr>
              <w:t>人</w:t>
            </w:r>
            <w:r>
              <w:rPr>
                <w:rFonts w:ascii="仿宋_GB2312" w:hAnsi="仿宋_GB2312" w:cs="仿宋_GB2312" w:eastAsia="仿宋_GB2312"/>
                <w:sz w:val="24"/>
                <w:b/>
                <w:shd w:fill="FFFFFF" w:val="clear"/>
              </w:rPr>
              <w:t>员</w:t>
            </w:r>
            <w:r>
              <w:rPr>
                <w:rFonts w:ascii="仿宋_GB2312" w:hAnsi="仿宋_GB2312" w:cs="仿宋_GB2312" w:eastAsia="仿宋_GB2312"/>
                <w:sz w:val="24"/>
                <w:b/>
                <w:shd w:fill="FFFFFF" w:val="clear"/>
              </w:rPr>
              <w:t>必须持有</w:t>
            </w:r>
            <w:r>
              <w:rPr>
                <w:rFonts w:ascii="仿宋_GB2312" w:hAnsi="仿宋_GB2312" w:cs="仿宋_GB2312" w:eastAsia="仿宋_GB2312"/>
                <w:sz w:val="24"/>
                <w:b/>
                <w:shd w:fill="FFFFFF" w:val="clear"/>
              </w:rPr>
              <w:t>政府相关</w:t>
            </w:r>
            <w:r>
              <w:rPr>
                <w:rFonts w:ascii="仿宋_GB2312" w:hAnsi="仿宋_GB2312" w:cs="仿宋_GB2312" w:eastAsia="仿宋_GB2312"/>
                <w:sz w:val="24"/>
                <w:b/>
                <w:shd w:fill="FFFFFF" w:val="clear"/>
              </w:rPr>
              <w:t>部门颁发的</w:t>
            </w:r>
            <w:r>
              <w:rPr>
                <w:rFonts w:ascii="仿宋_GB2312" w:hAnsi="仿宋_GB2312" w:cs="仿宋_GB2312" w:eastAsia="仿宋_GB2312"/>
                <w:sz w:val="24"/>
                <w:b/>
                <w:shd w:fill="FFFFFF" w:val="clear"/>
              </w:rPr>
              <w:t>保安员</w:t>
            </w:r>
            <w:r>
              <w:rPr>
                <w:rFonts w:ascii="仿宋_GB2312" w:hAnsi="仿宋_GB2312" w:cs="仿宋_GB2312" w:eastAsia="仿宋_GB2312"/>
                <w:sz w:val="24"/>
                <w:b/>
                <w:shd w:fill="FFFFFF" w:val="clear"/>
              </w:rPr>
              <w:t>证</w:t>
            </w:r>
            <w:r>
              <w:rPr>
                <w:rFonts w:ascii="仿宋_GB2312" w:hAnsi="仿宋_GB2312" w:cs="仿宋_GB2312" w:eastAsia="仿宋_GB2312"/>
                <w:sz w:val="24"/>
                <w:b/>
                <w:shd w:fill="FFFFFF" w:val="clear"/>
              </w:rPr>
              <w:t>; 电工</w:t>
            </w:r>
            <w:r>
              <w:rPr>
                <w:rFonts w:ascii="仿宋_GB2312" w:hAnsi="仿宋_GB2312" w:cs="仿宋_GB2312" w:eastAsia="仿宋_GB2312"/>
                <w:sz w:val="24"/>
                <w:b/>
                <w:shd w:fill="FFFFFF" w:val="clear"/>
              </w:rPr>
              <w:t>必须持有</w:t>
            </w:r>
            <w:r>
              <w:rPr>
                <w:rFonts w:ascii="仿宋_GB2312" w:hAnsi="仿宋_GB2312" w:cs="仿宋_GB2312" w:eastAsia="仿宋_GB2312"/>
                <w:sz w:val="24"/>
                <w:b/>
                <w:shd w:fill="FFFFFF" w:val="clear"/>
              </w:rPr>
              <w:t>政府相关</w:t>
            </w:r>
            <w:r>
              <w:rPr>
                <w:rFonts w:ascii="仿宋_GB2312" w:hAnsi="仿宋_GB2312" w:cs="仿宋_GB2312" w:eastAsia="仿宋_GB2312"/>
                <w:sz w:val="24"/>
                <w:b/>
                <w:shd w:fill="FFFFFF" w:val="clear"/>
              </w:rPr>
              <w:t>部门颁发的</w:t>
            </w:r>
            <w:r>
              <w:rPr>
                <w:rFonts w:ascii="仿宋_GB2312" w:hAnsi="仿宋_GB2312" w:cs="仿宋_GB2312" w:eastAsia="仿宋_GB2312"/>
                <w:sz w:val="24"/>
                <w:b/>
                <w:shd w:fill="FFFFFF" w:val="clear"/>
              </w:rPr>
              <w:t>特种作业工作证（低压电工作业证）</w:t>
            </w:r>
            <w:r>
              <w:rPr>
                <w:rFonts w:ascii="仿宋_GB2312" w:hAnsi="仿宋_GB2312" w:cs="仿宋_GB2312" w:eastAsia="仿宋_GB2312"/>
                <w:sz w:val="24"/>
                <w:b/>
                <w:shd w:fill="FFFFFF" w:val="clear"/>
              </w:rPr>
              <w:t>。投标人须承诺中标后配备至本项目的人员具备以上相关证书，提供承诺函（格式自拟），并加盖公章。</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jc w:val="both"/>
            </w:pPr>
            <w:r>
              <w:rPr>
                <w:rFonts w:ascii="仿宋_GB2312" w:hAnsi="仿宋_GB2312" w:cs="仿宋_GB2312" w:eastAsia="仿宋_GB2312"/>
                <w:sz w:val="24"/>
                <w:b/>
                <w:shd w:fill="FFFFFF" w:val="clear"/>
              </w:rPr>
              <w:t>服务时间：签订合同之日起三年</w:t>
            </w:r>
          </w:p>
          <w:p>
            <w:pPr>
              <w:pStyle w:val="null3"/>
              <w:jc w:val="both"/>
            </w:pPr>
            <w:r>
              <w:rPr>
                <w:rFonts w:ascii="仿宋_GB2312" w:hAnsi="仿宋_GB2312" w:cs="仿宋_GB2312" w:eastAsia="仿宋_GB2312"/>
                <w:sz w:val="24"/>
                <w:b/>
                <w:shd w:fill="FFFFFF" w:val="clear"/>
              </w:rPr>
              <w:t>服务地点：文昌市纪委监委办公大院</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jc w:val="both"/>
            </w:pPr>
            <w:r>
              <w:rPr>
                <w:rFonts w:ascii="仿宋_GB2312" w:hAnsi="仿宋_GB2312" w:cs="仿宋_GB2312" w:eastAsia="仿宋_GB2312"/>
                <w:sz w:val="24"/>
                <w:b/>
                <w:shd w:fill="FFFFFF" w:val="clear"/>
              </w:rPr>
              <w:t>采购预算：本项目采购预算：</w:t>
            </w:r>
            <w:r>
              <w:rPr>
                <w:rFonts w:ascii="仿宋_GB2312" w:hAnsi="仿宋_GB2312" w:cs="仿宋_GB2312" w:eastAsia="仿宋_GB2312"/>
                <w:sz w:val="24"/>
                <w:b/>
                <w:shd w:fill="FFFFFF" w:val="clear"/>
              </w:rPr>
              <w:t>1829112.00元/年，5487336.00元/三年（报价不得超过采购预算）</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 xml:space="preserve"> 注： 1.“★”条款为不允许偏离的实质性要求和条件，如不满足则认定其投标无效。 2.技术要求、商务要求”须在技术、商务响应表中逐条响应，其它内容无须在技术、商务响应表中响应。</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响应文件格式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响应文件格式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响应文件格式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响应文件格式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响应文件格式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响应文件格式</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参加政府采购活动前三年内，无环保类行政处罚记录。提供无环保类行政处罚记录声明函，加盖公章。</w:t>
            </w:r>
          </w:p>
        </w:tc>
        <w:tc>
          <w:tcPr>
            <w:tcW w:type="dxa" w:w="3322"/>
          </w:tcPr>
          <w:p>
            <w:pPr>
              <w:pStyle w:val="null3"/>
              <w:jc w:val="left"/>
            </w:pPr>
            <w:r>
              <w:rPr>
                <w:rFonts w:ascii="仿宋_GB2312" w:hAnsi="仿宋_GB2312" w:cs="仿宋_GB2312" w:eastAsia="仿宋_GB2312"/>
              </w:rPr>
              <w:t>参加政府采购活动前三年内，无环保类行政处罚记录。提供无环保类行政处罚记录声明函，加盖公章。</w:t>
            </w:r>
          </w:p>
        </w:tc>
        <w:tc>
          <w:tcPr>
            <w:tcW w:type="dxa" w:w="1661"/>
          </w:tcPr>
          <w:p>
            <w:pPr>
              <w:pStyle w:val="null3"/>
              <w:jc w:val="left"/>
            </w:pPr>
            <w:r>
              <w:rPr>
                <w:rFonts w:ascii="仿宋_GB2312" w:hAnsi="仿宋_GB2312" w:cs="仿宋_GB2312" w:eastAsia="仿宋_GB2312"/>
              </w:rPr>
              <w:t>响应文件格式</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响应文件格式</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响应文件格式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响应文件格式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响应文件格式 投标（响应）报价明细表 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响应文件格式 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响应文件格式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响应文件格式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投标有效期须满足“须知前附表”第6点要求。</w:t>
            </w:r>
          </w:p>
        </w:tc>
        <w:tc>
          <w:tcPr>
            <w:tcW w:type="dxa" w:w="1661"/>
          </w:tcPr>
          <w:p>
            <w:pPr>
              <w:pStyle w:val="null3"/>
              <w:jc w:val="left"/>
            </w:pPr>
            <w:r>
              <w:rPr>
                <w:rFonts w:ascii="仿宋_GB2312" w:hAnsi="仿宋_GB2312" w:cs="仿宋_GB2312" w:eastAsia="仿宋_GB2312"/>
              </w:rPr>
              <w:t>响应文件格式 投标（响应）报价明细表 开标（报价）一览表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技术部分50.00分</w:t>
            </w:r>
          </w:p>
          <w:p>
            <w:pPr>
              <w:pStyle w:val="null3"/>
              <w:jc w:val="both"/>
            </w:pPr>
            <w:r>
              <w:rPr>
                <w:rFonts w:ascii="仿宋_GB2312" w:hAnsi="仿宋_GB2312" w:cs="仿宋_GB2312" w:eastAsia="仿宋_GB2312"/>
              </w:rPr>
              <w:t>商务部分40.00分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管理思路与工作计划</w:t>
            </w:r>
          </w:p>
        </w:tc>
        <w:tc>
          <w:tcPr>
            <w:tcW w:type="dxa" w:w="2492"/>
          </w:tcPr>
          <w:p>
            <w:pPr>
              <w:pStyle w:val="null3"/>
              <w:jc w:val="both"/>
            </w:pPr>
            <w:r>
              <w:rPr>
                <w:rFonts w:ascii="仿宋_GB2312" w:hAnsi="仿宋_GB2312" w:cs="仿宋_GB2312" w:eastAsia="仿宋_GB2312"/>
              </w:rPr>
              <w:t>投标人根据本项目的需求作出管理思路与工作计划（内容包括但不限于：①项目分析和理解；②服务宗旨及目标；③管理模式；④激励机制及信息反馈处理机制；⑤服务保证措施；⑥工作计划）对比采购需求进行评分：服务方案涵盖上述6项内容满足或优于采购需求的得6分。每缺少一项内容扣1分；每项内容存在一处缺陷，扣0.25分；每一项内容因缺陷最多扣0.75分。（缺陷是指：不满足采购需求或不适用本项目需求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响应文件格式</w:t>
            </w:r>
          </w:p>
        </w:tc>
      </w:tr>
      <w:tr>
        <w:tc>
          <w:tcPr>
            <w:tcW w:type="dxa" w:w="831"/>
            <w:vMerge/>
          </w:tcPr>
          <w:p/>
        </w:tc>
        <w:tc>
          <w:tcPr>
            <w:tcW w:type="dxa" w:w="1661"/>
          </w:tcPr>
          <w:p>
            <w:pPr>
              <w:pStyle w:val="null3"/>
              <w:jc w:val="both"/>
            </w:pPr>
            <w:r>
              <w:rPr>
                <w:rFonts w:ascii="仿宋_GB2312" w:hAnsi="仿宋_GB2312" w:cs="仿宋_GB2312" w:eastAsia="仿宋_GB2312"/>
              </w:rPr>
              <w:t>人员管理方案</w:t>
            </w:r>
          </w:p>
        </w:tc>
        <w:tc>
          <w:tcPr>
            <w:tcW w:type="dxa" w:w="2492"/>
          </w:tcPr>
          <w:p>
            <w:pPr>
              <w:pStyle w:val="null3"/>
              <w:jc w:val="both"/>
            </w:pPr>
            <w:r>
              <w:rPr>
                <w:rFonts w:ascii="仿宋_GB2312" w:hAnsi="仿宋_GB2312" w:cs="仿宋_GB2312" w:eastAsia="仿宋_GB2312"/>
              </w:rPr>
              <w:t>投标人根据本项目的需求作出人员管理方案（内容包括但不限于：①人员配置方案；②人员考核办法；③奖罚淘汰机制；④薪资福利方案；⑤人员培训方案）对比采购需求进行评分：服务方案涵盖上述5项内容满足或优于采购需求的得5分。每缺少一项内容扣1分；每项内容存在一处缺陷，扣0.25分；每一项内容因缺陷最多扣0.75分。（缺陷是指：不满足采购需求或不适用本项目需求的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响应文件格式</w:t>
            </w:r>
          </w:p>
        </w:tc>
      </w:tr>
      <w:tr>
        <w:tc>
          <w:tcPr>
            <w:tcW w:type="dxa" w:w="831"/>
            <w:vMerge/>
          </w:tcPr>
          <w:p/>
        </w:tc>
        <w:tc>
          <w:tcPr>
            <w:tcW w:type="dxa" w:w="1661"/>
          </w:tcPr>
          <w:p>
            <w:pPr>
              <w:pStyle w:val="null3"/>
              <w:jc w:val="both"/>
            </w:pPr>
            <w:r>
              <w:rPr>
                <w:rFonts w:ascii="仿宋_GB2312" w:hAnsi="仿宋_GB2312" w:cs="仿宋_GB2312" w:eastAsia="仿宋_GB2312"/>
              </w:rPr>
              <w:t>保安管理服务方案</w:t>
            </w:r>
          </w:p>
        </w:tc>
        <w:tc>
          <w:tcPr>
            <w:tcW w:type="dxa" w:w="2492"/>
          </w:tcPr>
          <w:p>
            <w:pPr>
              <w:pStyle w:val="null3"/>
              <w:jc w:val="both"/>
            </w:pPr>
            <w:r>
              <w:rPr>
                <w:rFonts w:ascii="仿宋_GB2312" w:hAnsi="仿宋_GB2312" w:cs="仿宋_GB2312" w:eastAsia="仿宋_GB2312"/>
              </w:rPr>
              <w:t>根据项目实际需求，制定的保安管理服务方案，应包含但不限于以下内容：①服务内容及标准；②日常巡逻维护方案；③进出车辆管理方案；④交接班管理方案；⑤临时来访人员出入管理方案。根据投标人提供的安全防范服务方案综合评审：服务方案涵盖上述5项内容满足或优于采购需求的得5分。每缺少一项内容扣1分；每项内容存在一处缺陷，扣0.25分；每一项内容因缺陷最多扣0.75分。（缺陷是指：不满足采购需求或不适用本项目需求的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响应文件格式</w:t>
            </w:r>
          </w:p>
        </w:tc>
      </w:tr>
      <w:tr>
        <w:tc>
          <w:tcPr>
            <w:tcW w:type="dxa" w:w="831"/>
            <w:vMerge/>
          </w:tcPr>
          <w:p/>
        </w:tc>
        <w:tc>
          <w:tcPr>
            <w:tcW w:type="dxa" w:w="1661"/>
          </w:tcPr>
          <w:p>
            <w:pPr>
              <w:pStyle w:val="null3"/>
              <w:jc w:val="both"/>
            </w:pPr>
            <w:r>
              <w:rPr>
                <w:rFonts w:ascii="仿宋_GB2312" w:hAnsi="仿宋_GB2312" w:cs="仿宋_GB2312" w:eastAsia="仿宋_GB2312"/>
              </w:rPr>
              <w:t>保洁管理服务方案</w:t>
            </w:r>
          </w:p>
        </w:tc>
        <w:tc>
          <w:tcPr>
            <w:tcW w:type="dxa" w:w="2492"/>
          </w:tcPr>
          <w:p>
            <w:pPr>
              <w:pStyle w:val="null3"/>
              <w:jc w:val="both"/>
            </w:pPr>
            <w:r>
              <w:rPr>
                <w:rFonts w:ascii="仿宋_GB2312" w:hAnsi="仿宋_GB2312" w:cs="仿宋_GB2312" w:eastAsia="仿宋_GB2312"/>
              </w:rPr>
              <w:t>根据项目实际需求，制定的保洁管理服务方案，应包含但不限于以下内容：①服务内容及服务标准；②公共域保洁；③卫生间茶水间保洁；④四害消杀方案；⑤垃圾清运方案。根据投标人提供的保洁方案综合评审：服务方案涵盖上述5项内容满足或优于采购需求的得5分。每缺少一项内容扣1分；每项内容存在一处缺陷，扣0.25分；每一项内容因缺陷最多扣0.75分。（缺陷是指：不满足采购需求或不适用本项目需求的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响应文件格式</w:t>
            </w:r>
          </w:p>
        </w:tc>
      </w:tr>
      <w:tr>
        <w:tc>
          <w:tcPr>
            <w:tcW w:type="dxa" w:w="831"/>
            <w:vMerge/>
          </w:tcPr>
          <w:p/>
        </w:tc>
        <w:tc>
          <w:tcPr>
            <w:tcW w:type="dxa" w:w="1661"/>
          </w:tcPr>
          <w:p>
            <w:pPr>
              <w:pStyle w:val="null3"/>
              <w:jc w:val="both"/>
            </w:pPr>
            <w:r>
              <w:rPr>
                <w:rFonts w:ascii="仿宋_GB2312" w:hAnsi="仿宋_GB2312" w:cs="仿宋_GB2312" w:eastAsia="仿宋_GB2312"/>
              </w:rPr>
              <w:t>绿化管理服务方案</w:t>
            </w:r>
          </w:p>
        </w:tc>
        <w:tc>
          <w:tcPr>
            <w:tcW w:type="dxa" w:w="2492"/>
          </w:tcPr>
          <w:p>
            <w:pPr>
              <w:pStyle w:val="null3"/>
              <w:jc w:val="both"/>
            </w:pPr>
            <w:r>
              <w:rPr>
                <w:rFonts w:ascii="仿宋_GB2312" w:hAnsi="仿宋_GB2312" w:cs="仿宋_GB2312" w:eastAsia="仿宋_GB2312"/>
              </w:rPr>
              <w:t>根据项目实际需求，制定的绿化管理服务方案，应包含但不限于以下内容：①服务内容及服务标准；②日常保洁绿化操作规范；③防台防护方案；④农药安全使用管理方案；⑤病虫害防治方案。根据投标人提供的绿化方案综合评审：服务方案涵盖上述5项内容满足或优于采购需求的得5分。每缺少一项内容扣1分；每项内容存在一处缺陷，扣0.25分；每一项内容因缺陷最多扣0.75分。（缺陷是指：不满足采购需求或不适用本项目需求的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响应文件格式</w:t>
            </w:r>
          </w:p>
        </w:tc>
      </w:tr>
      <w:tr>
        <w:tc>
          <w:tcPr>
            <w:tcW w:type="dxa" w:w="831"/>
            <w:vMerge/>
          </w:tcPr>
          <w:p/>
        </w:tc>
        <w:tc>
          <w:tcPr>
            <w:tcW w:type="dxa" w:w="1661"/>
          </w:tcPr>
          <w:p>
            <w:pPr>
              <w:pStyle w:val="null3"/>
              <w:jc w:val="both"/>
            </w:pPr>
            <w:r>
              <w:rPr>
                <w:rFonts w:ascii="仿宋_GB2312" w:hAnsi="仿宋_GB2312" w:cs="仿宋_GB2312" w:eastAsia="仿宋_GB2312"/>
              </w:rPr>
              <w:t>会务、音控管理服务方案</w:t>
            </w:r>
          </w:p>
        </w:tc>
        <w:tc>
          <w:tcPr>
            <w:tcW w:type="dxa" w:w="2492"/>
          </w:tcPr>
          <w:p>
            <w:pPr>
              <w:pStyle w:val="null3"/>
              <w:jc w:val="both"/>
            </w:pPr>
            <w:r>
              <w:rPr>
                <w:rFonts w:ascii="仿宋_GB2312" w:hAnsi="仿宋_GB2312" w:cs="仿宋_GB2312" w:eastAsia="仿宋_GB2312"/>
              </w:rPr>
              <w:t>根据项目实际需求，制定会务、音控服务方案，应包含但不限于以下内容：①服务内容及服务标准；②会议服务流程及标准；③会议服务保障方案；④员工礼仪要求；⑤音控设备管理方案。根据投标人提供的会务方案综合评审：方案涵盖上述5项内容满足或优于采购需求的得5分。每缺少一项内容扣1分；每项内容存在一处缺陷，扣0.25分；每一项内容因缺陷最多扣0.75分。（缺陷是指：不满足采购需求或不适用本项目需求的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响应文件格式</w:t>
            </w:r>
          </w:p>
        </w:tc>
      </w:tr>
      <w:tr>
        <w:tc>
          <w:tcPr>
            <w:tcW w:type="dxa" w:w="831"/>
            <w:vMerge/>
          </w:tcPr>
          <w:p/>
        </w:tc>
        <w:tc>
          <w:tcPr>
            <w:tcW w:type="dxa" w:w="1661"/>
          </w:tcPr>
          <w:p>
            <w:pPr>
              <w:pStyle w:val="null3"/>
              <w:jc w:val="both"/>
            </w:pPr>
            <w:r>
              <w:rPr>
                <w:rFonts w:ascii="仿宋_GB2312" w:hAnsi="仿宋_GB2312" w:cs="仿宋_GB2312" w:eastAsia="仿宋_GB2312"/>
              </w:rPr>
              <w:t>保密工作方案</w:t>
            </w:r>
          </w:p>
        </w:tc>
        <w:tc>
          <w:tcPr>
            <w:tcW w:type="dxa" w:w="2492"/>
          </w:tcPr>
          <w:p>
            <w:pPr>
              <w:pStyle w:val="null3"/>
              <w:jc w:val="both"/>
            </w:pPr>
            <w:r>
              <w:rPr>
                <w:rFonts w:ascii="仿宋_GB2312" w:hAnsi="仿宋_GB2312" w:cs="仿宋_GB2312" w:eastAsia="仿宋_GB2312"/>
              </w:rPr>
              <w:t>保密工作方案：①保密工作目标及工作标准；②保密工作措施及人员保密规程；③泄密应急管理预案。根据投标人提供的保密方案综合评审：方案涵盖上述3项内容满足或优于采购需求的得6分。每缺少一项内容扣2分；每项内容存在一处缺陷，扣0.5分；每一项内容因缺陷最多扣1.5分。（缺陷是指：不满足采购需求或不适用本项目需求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响应文件格式</w:t>
            </w:r>
          </w:p>
        </w:tc>
      </w:tr>
      <w:tr>
        <w:tc>
          <w:tcPr>
            <w:tcW w:type="dxa" w:w="831"/>
            <w:vMerge/>
          </w:tcPr>
          <w:p/>
        </w:tc>
        <w:tc>
          <w:tcPr>
            <w:tcW w:type="dxa" w:w="1661"/>
          </w:tcPr>
          <w:p>
            <w:pPr>
              <w:pStyle w:val="null3"/>
              <w:jc w:val="both"/>
            </w:pPr>
            <w:r>
              <w:rPr>
                <w:rFonts w:ascii="仿宋_GB2312" w:hAnsi="仿宋_GB2312" w:cs="仿宋_GB2312" w:eastAsia="仿宋_GB2312"/>
              </w:rPr>
              <w:t>公共设施设备运行及维护方案</w:t>
            </w:r>
          </w:p>
        </w:tc>
        <w:tc>
          <w:tcPr>
            <w:tcW w:type="dxa" w:w="2492"/>
          </w:tcPr>
          <w:p>
            <w:pPr>
              <w:pStyle w:val="null3"/>
              <w:jc w:val="both"/>
            </w:pPr>
            <w:r>
              <w:rPr>
                <w:rFonts w:ascii="仿宋_GB2312" w:hAnsi="仿宋_GB2312" w:cs="仿宋_GB2312" w:eastAsia="仿宋_GB2312"/>
              </w:rPr>
              <w:t>公共设施设备运行及维护方案：①给排水系统维护方案；②供电系统维护方案；③电梯维护方案；④房屋维护方案；⑤零星修缮工作方案。根据投标人提供的公共设施设备运行及维护方案综合评审：方案涵盖上述5项内容满足或优于采购需求的得5分。每缺少一项内容扣1分；每项内容存在一处缺陷，扣0.25分；每一项内容因缺陷最多扣0.75分。（缺陷是指：不满足采购需求或不适用本项目需求的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响应文件格式</w:t>
            </w:r>
          </w:p>
        </w:tc>
      </w:tr>
      <w:tr>
        <w:tc>
          <w:tcPr>
            <w:tcW w:type="dxa" w:w="831"/>
            <w:vMerge/>
          </w:tcPr>
          <w:p/>
        </w:tc>
        <w:tc>
          <w:tcPr>
            <w:tcW w:type="dxa" w:w="1661"/>
          </w:tcPr>
          <w:p>
            <w:pPr>
              <w:pStyle w:val="null3"/>
              <w:jc w:val="both"/>
            </w:pPr>
            <w:r>
              <w:rPr>
                <w:rFonts w:ascii="仿宋_GB2312" w:hAnsi="仿宋_GB2312" w:cs="仿宋_GB2312" w:eastAsia="仿宋_GB2312"/>
              </w:rPr>
              <w:t>应急管理服务方案</w:t>
            </w:r>
          </w:p>
        </w:tc>
        <w:tc>
          <w:tcPr>
            <w:tcW w:type="dxa" w:w="2492"/>
          </w:tcPr>
          <w:p>
            <w:pPr>
              <w:pStyle w:val="null3"/>
              <w:jc w:val="both"/>
            </w:pPr>
            <w:r>
              <w:rPr>
                <w:rFonts w:ascii="仿宋_GB2312" w:hAnsi="仿宋_GB2312" w:cs="仿宋_GB2312" w:eastAsia="仿宋_GB2312"/>
              </w:rPr>
              <w:t>应急管理服务方案：①应急工作小组的组建与分工；②停水停电应急预案；③防风防灾应急预案；④应急抢修预案及其他应急预案。根据投标人提供的应急管理方案综合评审：方案涵盖上述4项内容满足或优于采购需求的得8分。每缺少一项内容扣2分；每项内容存在一处缺陷，扣0.5分；每一项内容因缺陷最多扣1.5分。（缺陷是指：不满足采购需求或不适用本项目需求的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响应文件格式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管理体系</w:t>
            </w:r>
          </w:p>
        </w:tc>
        <w:tc>
          <w:tcPr>
            <w:tcW w:type="dxa" w:w="2492"/>
          </w:tcPr>
          <w:p>
            <w:pPr>
              <w:pStyle w:val="null3"/>
              <w:jc w:val="both"/>
            </w:pPr>
            <w:r>
              <w:rPr>
                <w:rFonts w:ascii="仿宋_GB2312" w:hAnsi="仿宋_GB2312" w:cs="仿宋_GB2312" w:eastAsia="仿宋_GB2312"/>
              </w:rPr>
              <w:t>投标人具有有效期内的ISO9001质量管理体系认证证书、ISO14001环境管理体系认证证书、ISO45001职业健康安全管理体系认证证书，每具有一项证书得5分，满分15分。（证明材料：提供合法有效的相关证书复印件加盖公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响应文件格式</w:t>
            </w:r>
          </w:p>
        </w:tc>
      </w:tr>
      <w:tr>
        <w:tc>
          <w:tcPr>
            <w:tcW w:type="dxa" w:w="831"/>
            <w:vMerge/>
          </w:tcP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投标人2021年1月1日起至今为业主提供类似项目服务，类似项目指为同一业主单位提供（1）保安、（2）会务、（3）保洁、（4）公共维修，全部包含以上4项内容得5分，每缺少项扣1.25分，扣完为止。最高提供2个类似项目，最高得10分。 （证明材料：以合同签订时间为准，提供合同关键页（项目名称、签署时间、签署人签名、具体服务内容等复印件加盖公章）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响应文件格式</w:t>
            </w:r>
          </w:p>
        </w:tc>
      </w:tr>
      <w:tr>
        <w:tc>
          <w:tcPr>
            <w:tcW w:type="dxa" w:w="831"/>
            <w:vMerge/>
          </w:tcPr>
          <w:p/>
        </w:tc>
        <w:tc>
          <w:tcPr>
            <w:tcW w:type="dxa" w:w="1661"/>
          </w:tcPr>
          <w:p>
            <w:pPr>
              <w:pStyle w:val="null3"/>
              <w:jc w:val="both"/>
            </w:pPr>
            <w:r>
              <w:rPr>
                <w:rFonts w:ascii="仿宋_GB2312" w:hAnsi="仿宋_GB2312" w:cs="仿宋_GB2312" w:eastAsia="仿宋_GB2312"/>
              </w:rPr>
              <w:t>人员配置(一）</w:t>
            </w:r>
          </w:p>
        </w:tc>
        <w:tc>
          <w:tcPr>
            <w:tcW w:type="dxa" w:w="2492"/>
          </w:tcPr>
          <w:p>
            <w:pPr>
              <w:pStyle w:val="null3"/>
              <w:jc w:val="both"/>
            </w:pPr>
            <w:r>
              <w:rPr>
                <w:rFonts w:ascii="仿宋_GB2312" w:hAnsi="仿宋_GB2312" w:cs="仿宋_GB2312" w:eastAsia="仿宋_GB2312"/>
              </w:rPr>
              <w:t>拟派项目负责人资格要求 （1）具有专科（含）以上学历的，得3分。 （2）具有3年（含）以上类似工作经验的，得3分；具有5年（含）以上类似工作经验的，得6分。 （证明材料：1.需提供以上相关人员2025年1月1日至今在投标单位任意3个月的社保缴纳证明、相关证书及等证明材料复印件加盖公章；2.工作经验需提供服务业主方的证明和履约合同等证明材料复印件加盖公章）</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响应文件格式</w:t>
            </w:r>
          </w:p>
        </w:tc>
      </w:tr>
      <w:tr>
        <w:tc>
          <w:tcPr>
            <w:tcW w:type="dxa" w:w="831"/>
            <w:vMerge/>
          </w:tcPr>
          <w:p/>
        </w:tc>
        <w:tc>
          <w:tcPr>
            <w:tcW w:type="dxa" w:w="1661"/>
          </w:tcPr>
          <w:p>
            <w:pPr>
              <w:pStyle w:val="null3"/>
              <w:jc w:val="both"/>
            </w:pPr>
            <w:r>
              <w:rPr>
                <w:rFonts w:ascii="仿宋_GB2312" w:hAnsi="仿宋_GB2312" w:cs="仿宋_GB2312" w:eastAsia="仿宋_GB2312"/>
              </w:rPr>
              <w:t>人员配置（二）</w:t>
            </w:r>
          </w:p>
        </w:tc>
        <w:tc>
          <w:tcPr>
            <w:tcW w:type="dxa" w:w="2492"/>
          </w:tcPr>
          <w:p>
            <w:pPr>
              <w:pStyle w:val="null3"/>
              <w:jc w:val="both"/>
            </w:pPr>
            <w:r>
              <w:rPr>
                <w:rFonts w:ascii="仿宋_GB2312" w:hAnsi="仿宋_GB2312" w:cs="仿宋_GB2312" w:eastAsia="仿宋_GB2312"/>
              </w:rPr>
              <w:t>拟派保安队长资格要求 （1）具有3年（含）以上，5年（不含）以下类似工作经验的，得3分。（2）具有5年（含）以上类似工作经验的，得6分。 （证明材料：1.需提供以上相关人员2025年1月1日至今在投标单位任意3个月的社保缴纳证明、相关证书等证明材料复印件加盖公章；2.工作经验需提供服务业主方的证明和履约合同等证明材料复印件加盖公章）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响应文件格式</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响应文件格式</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响应文件格式</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详见附件：（最终版）海南省政府采购项目合同书.docx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HNGP2025-89</w:t>
      </w:r>
    </w:p>
    <w:p>
      <w:pPr>
        <w:pStyle w:val="null3"/>
        <w:jc w:val="left"/>
      </w:pPr>
      <w:r>
        <w:rPr>
          <w:rFonts w:ascii="仿宋_GB2312" w:hAnsi="仿宋_GB2312" w:cs="仿宋_GB2312" w:eastAsia="仿宋_GB2312"/>
        </w:rPr>
        <w:t>项目名称：</w:t>
      </w:r>
      <w:r>
        <w:rPr>
          <w:rFonts w:ascii="仿宋_GB2312" w:hAnsi="仿宋_GB2312" w:cs="仿宋_GB2312" w:eastAsia="仿宋_GB2312"/>
        </w:rPr>
        <w:t>文昌市纪委监委办公大院2025年度物业管理服务项目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一</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C99000000-其他服务</w:t>
            </w:r>
          </w:p>
        </w:tc>
        <w:tc>
          <w:tcPr>
            <w:tcW w:type="dxa" w:w="1038"/>
          </w:tcPr>
          <w:p>
            <w:pPr>
              <w:pStyle w:val="null3"/>
              <w:jc w:val="left"/>
            </w:pPr>
            <w:r>
              <w:rPr>
                <w:rFonts w:ascii="仿宋_GB2312" w:hAnsi="仿宋_GB2312" w:cs="仿宋_GB2312" w:eastAsia="仿宋_GB2312"/>
              </w:rPr>
              <w:t xml:space="preserve"> 3.00项</w:t>
            </w:r>
          </w:p>
        </w:tc>
        <w:tc>
          <w:tcPr>
            <w:tcW w:type="dxa" w:w="1038"/>
          </w:tcPr>
          <w:p>
            <w:pPr>
              <w:pStyle w:val="null3"/>
              <w:jc w:val="left"/>
            </w:pPr>
            <w:r>
              <w:rPr>
                <w:rFonts w:ascii="仿宋_GB2312" w:hAnsi="仿宋_GB2312" w:cs="仿宋_GB2312" w:eastAsia="仿宋_GB2312"/>
              </w:rPr>
              <w:t xml:space="preserve"> 5487336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详见附件：响应文件格式</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1</TotalTime>
  <Pages>1</Pages>
  <Words>1</Words>
  <Characters>11</Characters>
  <DocSecurity>0</DocSecurity>
  <Lines>0</Lines>
  <Paragraphs>0</Paragraphs>
  <ScaleCrop>false</ScaleCrop>
  <LinksUpToDate>false</LinksUpToDate>
  <CharactersWithSpaces>11</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terms:modified xsi:type="dcterms:W3CDTF">2024-03-28T09:24:13Z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