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文昌市公安局前端感知设备采购项目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[HNDXSJYzhy]20250300001[GK]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海南电信规划设计院有限公司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文昌市公安局</w:t>
      </w:r>
      <w:r>
        <w:rPr>
          <w:rFonts w:ascii="仿宋_GB2312" w:hAnsi="仿宋_GB2312" w:cs="仿宋_GB2312" w:eastAsia="仿宋_GB2312"/>
        </w:rPr>
        <w:t xml:space="preserve"> 委托， </w:t>
      </w:r>
      <w:r>
        <w:rPr>
          <w:rFonts w:ascii="仿宋_GB2312" w:hAnsi="仿宋_GB2312" w:cs="仿宋_GB2312" w:eastAsia="仿宋_GB2312"/>
        </w:rPr>
        <w:t>海南电信规划设计院有限公司</w:t>
      </w:r>
      <w:r>
        <w:rPr>
          <w:rFonts w:ascii="仿宋_GB2312" w:hAnsi="仿宋_GB2312" w:cs="仿宋_GB2312" w:eastAsia="仿宋_GB2312"/>
        </w:rPr>
        <w:t xml:space="preserve"> 对 </w:t>
      </w:r>
      <w:r>
        <w:rPr>
          <w:rFonts w:ascii="仿宋_GB2312" w:hAnsi="仿宋_GB2312" w:cs="仿宋_GB2312" w:eastAsia="仿宋_GB2312"/>
        </w:rPr>
        <w:t>文昌市公安局前端感知设备采购项目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[HNDXSJYzhy]20250300001[GK]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文昌市公安局前端感知设备采购项目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3,767,400.00元</w:t>
      </w:r>
      <w:r>
        <w:rPr>
          <w:rFonts w:ascii="仿宋_GB2312" w:hAnsi="仿宋_GB2312" w:cs="仿宋_GB2312" w:eastAsia="仿宋_GB2312"/>
        </w:rPr>
        <w:t>叁佰柒拾陆万柒仟肆佰元整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3,767,400.00元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签订合同后，2个月内完成软硬件安装、调试、交付等工作（含整改时间），交付服务成果。</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1、代理商要求：本项目接受代理商应答，如投标人为代理商，须提供核心产品设备制造商针对本项目的唯一授权，格式自拟</w:t>
      </w:r>
    </w:p>
    <w:p>
      <w:pPr>
        <w:pStyle w:val="null3"/>
        <w:jc w:val="left"/>
      </w:pPr>
      <w:r>
        <w:rPr>
          <w:rFonts w:ascii="仿宋_GB2312" w:hAnsi="仿宋_GB2312" w:cs="仿宋_GB2312" w:eastAsia="仿宋_GB2312"/>
        </w:rPr>
        <w:t>2、联合体投标要求：本项目不接受联合体投标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 (https://ccgp-hainan.gov.cn/)。关于本项目采购文件的补遗、澄清及变更信息以上述网站公告为准，代理机构不再另行通知，采购文件与更正公告的内容相互矛盾时，以最后发出的更正公告内容为准。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0898- 66220881/0898-66220882。</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文昌市公安局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海南省文昌市文城镇文清大道307号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黄朝龙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18976032115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海南电信规划设计院有限公司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海南省澄迈县老城开发区南一环路海南生态软件园C地块一期C02栋2层2097号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黄中青</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15808934612</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采购包1：3,767,400.00元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代理服务费收费标准：1.招标代理服务费根据《招标代理服务收费管理暂行办法》计价格[2002]1980号文和发改价格[2011]534号取费标准的80%计算。 2.本项目招标代理服务费以中标金额为基准进行计算。 缴纳方式：招标人在中标通知书发出后20个工作日内向招标代理机构支付。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遵照《政府采购促进中小企业发展管理办法》（财库〔2020〕46号,以下简称《办法》）执行；财政部《关于进一步加大政府采购支持中小企业力度的通知》（财库〔2022〕19号，以下简称《通知》），未按要求提供的，视为放弃享受优惠政策。 1.供应商提供的货物、工程或者服务符合下列情形的，享受本办法规定的中小企业扶持政策： （一）在货物采购项目中，货物由中小企业制造，即货物由中小企业生产且使用该中小企业商号或者注册商标； （二）在工程采购项目中，工程由中小企业承建，即工程施工单位为中小企业； （三）在服务采购项目中，服务由中小企业承接，即提供服务的人员为中小企业依照《中华人民共和国劳动合同法》订立劳动合同的从业人员。 2.在货物采购项目中，供应商提供的货物既有中小企业制造货物，也有大型企业制造货物的，不享受本办法规定的中小企业扶持政策 3.在货物采购项目中，供应商提供的每个标的均由小微企业制造货物，才能享受本办法规定的中小企业扶持政策。 4.以联合体形式参加政府采购活动，联合体各方均为中小企业的，联合体视同中小企业。其中，联合体各方均为小微企业的，联合体视同小微企业. 组成联合体或者接受分包合同的中小企业与联合体内其他企业、分包企业之间不得存在直接控股、管理关系。 5.专门面向中小企业的采购项目和采购包，不再享受价格评审优惠的扶持政策。 6.中小企业参加政府采购活动，应当按照本采购文件格式要求提供《中小企业声明函》，否则不得享受相关中小企业扶持政策。 7.货物服务采购项目给予小微企业的价格扣除优惠10%。 8.大中型企业与小微企业组成联合体或者大中型企业向小微企业分包的评审优惠4%。 9.工程类项目为3%优惠政策（包括成员全部为小微企业的联合体）。 10.按照《财政部、司法部关于政府采购支持监狱企业发展有关问题的通知》（财库〔2014〕68 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监狱企业属于小型、微型企业的，不重复享受政策。 11.按照《关于促进残疾人就业政府采购政策的通知》（财库〔2017〕141 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 （四）残疾人就业政府采购优惠政策视同小型、微型企业的价格给予扣除，扣除后的价格参与评审。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联系人：黄中青</w:t>
      </w:r>
    </w:p>
    <w:p>
      <w:pPr>
        <w:pStyle w:val="null3"/>
        <w:jc w:val="left"/>
      </w:pPr>
      <w:r>
        <w:rPr>
          <w:rFonts w:ascii="仿宋_GB2312" w:hAnsi="仿宋_GB2312" w:cs="仿宋_GB2312" w:eastAsia="仿宋_GB2312"/>
        </w:rPr>
        <w:t>联系电话：15808934612</w:t>
      </w:r>
    </w:p>
    <w:p>
      <w:pPr>
        <w:pStyle w:val="null3"/>
        <w:jc w:val="left"/>
      </w:pPr>
      <w:r>
        <w:rPr>
          <w:rFonts w:ascii="仿宋_GB2312" w:hAnsi="仿宋_GB2312" w:cs="仿宋_GB2312" w:eastAsia="仿宋_GB2312"/>
        </w:rPr>
        <w:t>地址：海南省海口市龙华区金盘路6号电信综合楼四楼</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1、项目名称：文昌市公安局前端感知设备采购项目</w:t>
      </w:r>
    </w:p>
    <w:p>
      <w:pPr>
        <w:pStyle w:val="null3"/>
        <w:ind w:firstLine="420"/>
        <w:jc w:val="both"/>
      </w:pPr>
      <w:r>
        <w:rPr>
          <w:rFonts w:ascii="仿宋_GB2312" w:hAnsi="仿宋_GB2312" w:cs="仿宋_GB2312" w:eastAsia="仿宋_GB2312"/>
          <w:sz w:val="21"/>
        </w:rPr>
        <w:t>2、采购单位：文昌市公安局</w:t>
      </w:r>
    </w:p>
    <w:p>
      <w:pPr>
        <w:pStyle w:val="null3"/>
        <w:ind w:firstLine="420"/>
        <w:jc w:val="both"/>
      </w:pPr>
      <w:r>
        <w:rPr>
          <w:rFonts w:ascii="仿宋_GB2312" w:hAnsi="仿宋_GB2312" w:cs="仿宋_GB2312" w:eastAsia="仿宋_GB2312"/>
          <w:sz w:val="21"/>
        </w:rPr>
        <w:t>3、范围：本项目位于海南省文昌市</w:t>
      </w:r>
    </w:p>
    <w:p>
      <w:pPr>
        <w:pStyle w:val="null3"/>
        <w:ind w:firstLine="420"/>
        <w:jc w:val="both"/>
      </w:pPr>
      <w:r>
        <w:rPr>
          <w:rFonts w:ascii="仿宋_GB2312" w:hAnsi="仿宋_GB2312" w:cs="仿宋_GB2312" w:eastAsia="仿宋_GB2312"/>
          <w:sz w:val="21"/>
        </w:rPr>
        <w:t>4、目标：更换因“摩羯”台风受损及其他损坏的前端设备，使监控系统恢复正常使用。</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设备</w:t>
      </w:r>
      <w:r>
        <w:rPr>
          <w:rFonts w:ascii="仿宋_GB2312" w:hAnsi="仿宋_GB2312" w:cs="仿宋_GB2312" w:eastAsia="仿宋_GB2312"/>
          <w:sz w:val="21"/>
        </w:rPr>
        <w:t>内容</w:t>
      </w:r>
      <w:r>
        <w:rPr>
          <w:rFonts w:ascii="仿宋_GB2312" w:hAnsi="仿宋_GB2312" w:cs="仿宋_GB2312" w:eastAsia="仿宋_GB2312"/>
          <w:sz w:val="21"/>
        </w:rPr>
        <w:t>：枪型摄像机</w:t>
      </w:r>
      <w:r>
        <w:rPr>
          <w:rFonts w:ascii="仿宋_GB2312" w:hAnsi="仿宋_GB2312" w:cs="仿宋_GB2312" w:eastAsia="仿宋_GB2312"/>
          <w:sz w:val="21"/>
        </w:rPr>
        <w:t>；球型摄像机；人脸抓拍摄像机；卡口前端录像机服务器；车辆卡口抓拍单元；多合一补光爆闪灯；监控杆件更换；利旧杆件迁改；高空鹰眼；包括高空鹰眼（重载云台）摄像机；及更换配套设备箱及电线路的修复等。</w:t>
      </w:r>
    </w:p>
    <w:p>
      <w:pPr>
        <w:pStyle w:val="null3"/>
        <w:ind w:firstLine="420"/>
        <w:jc w:val="both"/>
      </w:pPr>
      <w:r>
        <w:rPr>
          <w:rFonts w:ascii="仿宋_GB2312" w:hAnsi="仿宋_GB2312" w:cs="仿宋_GB2312" w:eastAsia="仿宋_GB2312"/>
          <w:sz w:val="21"/>
        </w:rPr>
        <w:t>6、采购预算（最高限价）：</w:t>
      </w:r>
      <w:r>
        <w:rPr>
          <w:rFonts w:ascii="仿宋_GB2312" w:hAnsi="仿宋_GB2312" w:cs="仿宋_GB2312" w:eastAsia="仿宋_GB2312"/>
          <w:sz w:val="21"/>
        </w:rPr>
        <w:t>3767400.00</w:t>
      </w:r>
      <w:r>
        <w:rPr>
          <w:rFonts w:ascii="仿宋_GB2312" w:hAnsi="仿宋_GB2312" w:cs="仿宋_GB2312" w:eastAsia="仿宋_GB2312"/>
          <w:sz w:val="21"/>
        </w:rPr>
        <w:t>元（报价不得超过最高限价）。</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3,767,400.00</w:t>
      </w:r>
    </w:p>
    <w:p>
      <w:pPr>
        <w:pStyle w:val="null3"/>
        <w:jc w:val="left"/>
      </w:pPr>
      <w:r>
        <w:rPr>
          <w:rFonts w:ascii="仿宋_GB2312" w:hAnsi="仿宋_GB2312" w:cs="仿宋_GB2312" w:eastAsia="仿宋_GB2312"/>
        </w:rPr>
        <w:t>采购包最高限价（元）: 3,767,400.00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3,767,400.00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前端感知设备采购</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3,767,400.00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【400万智能筒型摄像机1】1. 400万智能筒型摄像机；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【400万智能筒型摄像机1】2. 支持智能资源模式切换：人脸抓拍、道路监控、事件模式、人数统计、热度图；</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【400万智能筒型摄像机1】3. 人脸抓拍模式：支持对运动人脸进行检测、抓拍，同时检测≥30张，支持快速抓拍模式和优选抓拍模式；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【400万智能筒型摄像机1】4. 道路监控模式：支持车牌识别并抓拍，车牌号码/车身颜色/车辆类型/车辆品牌，检测正向或逆向行驶的车辆以及行人和非机动车，自动对车辆牌照进行识别，可以抓拍无车牌的车辆图片；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【400万智能筒型摄像机1】5. 事件模式：支持周界防范功能，当区域入侵、越界侦测、进入区域、离开区域报警布防开启后 ，出现行人、非机动车、机动车目标时能触发报警，支持联动声光预警；</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【400万智能筒型摄像机1】6. 人数统计模式：支持人员统计，异常行为识别，区域关注度；</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【400万智能筒型摄像机1】7. 焦距：电动镜头，8~32 mm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【400万智能筒型摄像机1】8. 传感器类型：不低于1/1.8" CMOS</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【400万智能筒型摄像机1】9. 最低照度：彩色：≤0.0005 Lux ，黑白：≤0.0001 Lux</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【400万智能筒型摄像机1】10. 补光灯类型：混光（850 nm+暖白），大于4颗灯珠</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【400万智能筒型摄像机1】11. 补光距离：混光普通监控：≥80 m，人脸抓拍/识别：≥10 m；白光普通监控：≥50 m，人脸抓拍/识别：≥7 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【400万智能筒型摄像机1】12. 最大图像尺寸：≥2560 × 1440</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【400万智能筒型摄像机1】13. 视频压缩标准：H.265/H.264/MJPEG</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【400万智能筒型摄像机1】14. 音频：≥1路输入，1路输出，≥1个内置麦克风，1个内置扬声器</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【400万智能筒型摄像机1】15. 报警：≥1路输入，1路输出</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【400万智能筒型摄像机1】16. RS-485：≥1路RS-485接口</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【400万智能筒型摄像机1】17. 电源输出：DC12 V，100 mA</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【400万智能筒型摄像机1】18. 供电方式：DC：12 V ± 20%，支持防反接保护；PoE：802.3at，Type 2，Class 4</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【400万智能筒型摄像机1】19. 防护：≥IP67</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【400万智能筒型摄像机1】20. 支持GB35114A 安全加密</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【400万智能筒型摄像机1】21. 包含摄像机护罩、电源、支架等，配置不少于64G 存储卡</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【▲全结构化枪型摄像机2】1、具有双镜头、双通道一体化设计；</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【▲全结构化枪型摄像机2】2、通道1 具有不小于400 万像素CMOS 传感器，支持一体化电动变焦镜头，通道2 具有不小于400 万像素CMOS 传感器；</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【▲全结构化枪型摄像机2】3、为保证夜间成像效果，最低照度彩色≤0.0005Lux，黑白≤0.0001Lux；</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【▲全结构化枪型摄像机2】4、支持H.265、H.264 视频压缩标准；</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【▲全结构化枪型摄像机2】5、内置补光灯，保证夜间正常进行抓拍；</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【▲全结构化枪型摄像机2】6、支持行人检测、车辆检测、行人加车辆检测三种检测抓拍模式；</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【▲全结构化枪型摄像机2】7、支持目标的颜色等属性分析；</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【▲全结构化枪型摄像机2】8、支持识别常见车型、车标、车身颜色及车牌；</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【▲全结构化枪型摄像机2】9、工作温度：-40℃~70℃，防护等级不低于IP67；</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【▲全结构化枪型摄像机2】10、支持行人、机动车、非机动车属性提取；</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【▲全结构化枪型摄像机2】11、包含摄像机护罩、电源、支架等，配置不少于64G 存储卡；</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【▲全结构化枪型摄像机2】12、焦距: 通道1：≥8~32 mm：通道2：≥3.6 mm：；</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【▲全结构化枪型摄像机2】13、符合GB/T 28181-2022 标准、GB 35114-2017 C 级标准、GA/T 1400 标准，提供公安部检测机构或其他经国家认可的第三方检测机构出具的检测报告复印件并加盖投标人公章。</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【▲全结构化枪型摄像机2】14、通道1 靶面尺寸不小于1/1.8"、通道2 靶面尺寸不小于1/1.8"，帧率不低于25fps；。</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【400万智能球型摄像机1】1. 400万智能警戒球型摄像机；</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【400万智能球型摄像机1】2. 支持智能资源模式切换：人脸抓拍、道路监控、事件模式；；</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【400万智能球型摄像机1】3. 人脸抓拍模式：支持对监控画面总人脸进行检测、跟踪和抓拍，同时检测≥30张</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【400万智能球型摄像机1】4. 道路监控模式：对监控范围内出现的行人、机动车、非机动车进行检测和抓拍；</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【400万智能球型摄像机1】5. 事件模式：支持周界防范功能，当区域入侵、越界侦测、进入区域、离开区域报警布防开启后，出现行人、非机动车、机动车目标时能触发报警，支持联动声光预警；</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【400万智能球型摄像机1】6. 支持声光警戒：报警联动白光闪烁报警和声音报警，声音内容可选；</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【400万智能球型摄像机1】7. 焦距：≥25倍光学变倍。</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【400万智能球型摄像机1】8. 传感器类型：≥1/1.8＂ CMOS</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【400万智能球型摄像机1】9. 最低照度：彩色：0.0005Lux；黑白：0.0001Lux</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【400万智能球型摄像机1】10. 补光灯类型：白光、红外灯混合补光，白光灯色温为：3001K</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【400万智能球型摄像机1】11. 补光距离：人体抓拍：≥10 m；红外照射距离：≥200 m，红外光利用率不小于80%</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【400万智能球型摄像机1】12. 水平范围：360°，垂直范围：-20°-90°(自动翻转)</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【400万智能球型摄像机1】13. 分辨率： ≥2560 × 1440</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【400万智能球型摄像机1】14 视频压缩标准：H.265;H.264;MJPEG</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【400万智能球型摄像机1】15. 内置扬声器：支持</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【400万智能球型摄像机1】16. SD卡扩展：支持Micro SD卡,最大支持256G</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【400万智能球型摄像机1】17. 报警：≥1路报警输入，1路报警输出</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【400万智能球型摄像机1】18. 音频：≥1路音频输入，1路音频输出</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【400万智能球型摄像机1】19. RS485接口：≥1路</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【400万智能球型摄像机1】20. 支持GB35114 A安全加密</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【400万智能球型摄像机1】21. 防护：IP67；6000 V防雷、防浪涌、防突波</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【400万智能球型摄像机1】22. 包含摄像机护罩、电源、支架等，配置不少于64G 存储卡；</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【全结构化球型摄像机2】1、像素≥600W，双目全景球机；</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【全结构化球型摄像机2】2、全景支持人员密度检测等；细节支持全抓拍、道路监控等；</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【全结构化球型摄像机2】3、摄像机传感器靶面尺寸全景通道和细节通道均不小于1/1.8 英寸；</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【全结构化球型摄像机2】4、支持不小于25 倍光学变倍，焦距：全景≥2.8mm；</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【全结构化球型摄像机2】5、支持H.265、H.264 视频编码格式；</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【全结构化球型摄像机2】6、支持3D 数字降噪、强光抑制、自动光圈、透雾、背光补偿等功能；</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【全结构化球型摄像机2】7、支持行人检测、车辆检测、行人加车辆检测三种检测抓拍模式；</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【全结构化球型摄像机2】8、支持识别常见车型、车标、车身颜色及车牌；</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【全结构化球型摄像机2】9、内置补光灯，保证夜间正常进行抓拍；</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【全结构化球型摄像机2】10、符合GB/T 28181-2022 标准、GB 35114-2017 C 级标准、GA/T 1400 标准，提供公安部检测机构或其他经国家认可的第三方检测机构出具的检测报告复印件并加盖投标人公章。</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【全结构化球型摄像机2】11、应支持水平旋转范围为360°连续旋转，垂直旋转范围为-20°~90°；</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【全结构化球型摄像机2】12、工作温度：-40℃~70℃，防护等级不低于IP67；</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【全结构化球型摄像机2】13、包含电源、支架等，配置不少于64G 存储卡；</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【人脸抓拍摄像机1】1、像素≥400 万智能双目人卡抓拍摄像机；</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【人脸抓拍摄像机1】2、支持智能资源模式切换：人卡抓拍、道路监控、智能事件等；</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【人脸抓拍摄像机1】3、人卡抓拍模式：a)支持对运动面部进行检测、抓拍、评分、筛选，输出抓拍结果，b)支持去误报、快速抓拍，c)支持两种面部抓拍模式，d)支持同时检测不少于30 张面部，e)支持去重；</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【人脸抓拍摄像机1】4、设备内置补光灯，保证夜间正常进行抓拍；</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【人脸抓拍摄像机1】5、传感器类型: 两个通道均具有不小于1/1.8"靶面尺寸，帧率不低于25fps；</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【人脸抓拍摄像机1】6、最低照度彩色≤ 0.0002 Lux，黑白≤ 0.0001 Lux；</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【人脸抓拍摄像机1】7、焦距: 通道1：≥8~32 mm：通道2：≥4 mm：；</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【人脸抓拍摄像机1】8、内置补光灯，保证夜间正常进行抓拍；</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【人脸抓拍摄像机1】9、最大图像尺寸:双通道均≥2560 × 1440；</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【人脸抓拍摄像机1】10、包含摄像机护罩、电源、支架等；</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【人脸抓拍摄像机1】11、工作温度：-40℃~70℃，防护等级不低于IP67；</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【人脸抓拍摄像机1】12、符合GB/T 28181-2022 标准、GB 35114-2017 A 级标准、GA/T 1400-2017 标准，提供公安部检测机构或其他经国家认可的第三方检测机构出具的检测报告复印件并加盖投标人公章。</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【全结构化人脸抓拍摄像机2】1、像素≥400 万智能双目人卡抓拍摄像机；</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【全结构化人脸抓拍摄像机2】2、支持智能资源模式切换：人卡抓拍、道路监控、智能事件等；</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【全结构化人脸抓拍摄像机2】3、人卡抓拍模式：a)支持对运动面部进行检测、抓拍、评分、筛选，输出抓拍结果，b)支持去误报、快速抓拍，c)支持两种面部抓拍模式，d)支持同时检测不少于30 张面部，e)支持去重；</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【全结构化人脸抓拍摄像机2】4、设备内置补光灯，保证夜间正常进行抓拍；</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【全结构化人脸抓拍摄像机2】5、传感器类型: 两个通道均具有不小于1/1.8"靶面尺寸，帧率不低于25fps；</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【全结构化人脸抓拍摄像机2】6、符合GB/T 28181-2022 标准、GB 35114-2017 C 级标准、GA/T 1400-2017 标准</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【全结构化人脸抓拍摄像机2】7、最低照度彩色≤ 0.0002 Lux，黑白≤ 0.0001 Lux；</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【全结构化人脸抓拍摄像机2】8、焦距: 通道1：≥8~32 mm：通道2：≥4 mm：；</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【全结构化人脸抓拍摄像机2】9、内置补光灯，保证夜间正常进行抓拍；</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【全结构化人脸抓拍摄像机2】10、最大图像尺寸:双通道均≥2560 × 1440；</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【全结构化人脸抓拍摄像机2】11、包含摄像机护罩、电源、支架等，配置不少于64G 存储卡；</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【全结构化人脸抓拍摄像机2】12、工作温度：-40℃~70℃，防护等级不低于IP67；</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【光学防抖智能球型摄像机】1、光学防抖球机；</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【光学防抖智能球型摄像机】2、支持人脸抓拍、非机动车识别、车牌识别等全结构化功能；</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【光学防抖智能球型摄像机】3、全结构化：支持混合目标检测，对检测区域内的人、非机动车、车进行同时抓拍上传，人脸人体关联输出，并实现对人脸、人体、车辆结构化属性特征信息提；</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【光学防抖智能球型摄像机】4、采用光学透雾技术，极大提升透雾效果；</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【光学防抖智能球型摄像机】5、采用光学防抖技术，有效抑制抖动对画面的影响；</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【光学防抖智能球型摄像机】6、球机焦距：≥60倍变倍</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【光学防抖智能球型摄像机】7、激光照射距离：≥1000m</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【光学防抖智能球型摄像机】8. 镜头采用1/1.8 靶面F1.2恒定大光圈镜头</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【光学防抖智能球型摄像机】9. 采用光学透雾技术，极大提升透雾效果</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【光学防抖智能球型摄像机】10. 支持GB35114安全加密</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【光学防抖智能球型摄像机】11. 传感器类型：1/1.8＂ CMOS</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【光学防抖智能球型摄像机】12. 水平范围：360°；垂直范围：-20°-90°(自动翻转)</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【光学防抖智能球型摄像机】13. 分辨率：≥2560×1440</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【光学防抖智能球型摄像机】14. 视频压缩标准：H.265，H.264，MJPEG</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【光学防抖智能球型摄像机】15. SD卡扩展：支持Micro SD卡，最大支持256G</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【光学防抖智能球型摄像机】16. 音频：≥1路音频输入，1路音频输出</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【光学防抖智能球型摄像机】17. 报警：≥1路报警输入，1路报警输出</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【光学防抖智能球型摄像机】18. RS-485：≥1路</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【光学防抖智能球型摄像机】19. 防护：IP67； 6000V 防雷、防浪涌、防突波</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【光学防抖智能球型摄像机】20. 包含摄像机护罩、电源、支架等，配置不少于64G 存储卡；</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【▲高空鹰眼（重载云台）】1. 400万长焦激光双目重载云台；</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【▲高空鹰眼（重载云台）】2. 光学透雾：支持；</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【▲高空鹰眼（重载云台）】3. 采用防热浪技术，可优化因热气流产生的预览画面涌动现象，开启防热浪功能后，画面可保持清晰稳定；</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【▲高空鹰眼（重载云台）】4. 光学防抖：支持；</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【▲高空鹰眼（重载云台）】5. 支持GB35114 A级安全加密；</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【▲高空鹰眼（重载云台）】6. 支持事件、人脸抓拍、全结构化、混合目标比对；</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【▲高空鹰眼（重载云台）】7. 补光灯类型：红外激光补光；</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【▲高空鹰眼（重载云台）】8. 传感器类型：不低于1/1.8＂ CMOS</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【▲高空鹰眼（重载云台）】9. 最低照度：彩色：≤0.005 Lux；黑白：≤0.0005 Lux</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【▲高空鹰眼（重载云台）】10. 变倍：≥60倍光学变倍</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【▲高空鹰眼（重载云台）】11. 水平范围：水平360°；垂直范围：+45°～ -70°</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【▲高空鹰眼（重载云台）】12. 水平速度：速度可设，最高支持30°/S；垂直速度：速度可设，最高支持15°/S</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【▲高空鹰眼（重载云台）】13. 分辨率：2560x1440</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【▲高空鹰眼（重载云台）】14. 视频压缩标准：H.265/H.264/MJPEG</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【▲高空鹰眼（重载云台）】15. 电子罗盘：支持</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【▲高空鹰眼（重载云台）】16. SD卡扩展：支持MicroSD卡，最大支持256GB</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【▲高空鹰眼（重载云台）】17. 报警：不少于1路报警输入，1路报警输出</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【▲高空鹰眼（重载云台）】18. 音频：不少于1路音频输入，1路音频输出</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【▲高空鹰眼（重载云台）】19. RS-485：1路</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【▲高空鹰眼（重载云台）】20. 防护：IP66</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【高空鹰眼180度摄像机】1、≥1600 万180°高空全景摄像机，全景通道像素≥1600万，细节通道像素≥400 万；</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【高空鹰眼180度摄像机】2、光学变倍≥40 倍；</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【高空鹰眼180度摄像机】3、帧率不低于25fps，支持双码流；</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【高空鹰眼180度摄像机】4、支持H.265、H.264 视频编码格式；</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【高空鹰眼180度摄像机】5、补光距离：≥500m</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【高空鹰眼180度摄像机】6、包含摄像机护罩、电源、支架等，配置不少于64G 存储卡；</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【高空鹰眼180度摄像机】7、细节球机焦距≥220mm 。</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【高空鹰眼180度摄像机】8、全景通道采用≥4 个靶面尺寸1/1.8＂的镜头，分辨率为均≥2560×1440，细节通道采用≥1 个靶面尺寸1/1.8＂镜头，分辨率≥2560×1440；</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【高空鹰眼180度摄像机】9、最低照度:彩色：≤0.0003lux；黑白：≤0.0001lux；</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【高空鹰眼180度摄像机】10、主码流帧率分辨率≥4096×1800；</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【高空鹰眼180度摄像机】11、应支持水平旋转范围为360°连续旋转，垂直旋转范围为-20°~90°；</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【高空鹰眼180度摄像机】12、工作温度：-40℃~70℃，防护等级不低于IP67；</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【卡口前端录像机服务器】1. 支持≥4个IP摄像机的过车记录存储、图片存储、视频存储、数据上传、视频流转发；</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【卡口前端录像机服务器】2. 硬盘盘位数量：1；</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【卡口前端录像机服务器】3. 配置2TB硬盘存储，图片与录像可设置配额；</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【卡口前端录像机服务器】4. 触发输入：1个报警输入；</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【卡口前端录像机服务器】5. 触发输出：1个报警输出；</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【卡口前端录像机服务器】6. RJ45接口：4个100M以太网接口，2个10/100/1000M SFP接口；</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【卡口前端录像机服务器】7. 其他接口：1个RS485，2个RS232，1个USB；</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【卡口前端录像机服务器】8. 视频压缩标准：H.264;H.265。</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【车辆卡口抓拍单元】1、像素≥900W，图像分辨率不低于4096×2160；</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【车辆卡口抓拍单元】2、支持H.265、H.264 视频编码格式；</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【车辆卡口抓拍单元】3、支持900 万覆盖不少于两车道，卡口混合车道应用，支持全结构化的机动车、非机动车、行人、面部目标实时提取。支持闪光灯和LED 频闪灯同步补光；使用闪光灯补光时，抓拍图片可看清司乘人员面部；</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【车辆卡口抓拍单元】4、包含摄像机（内置偏振镜）、高清镜头、室外防护罩、内置补光灯、电源适配器、相机内置防雷模块、安装万向节等，配置不少于64G 存储卡；</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【车辆卡口抓拍单元】5、支持车牌识别、车型识别、车标识别、车身颜色识别等功能；</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【车辆卡口抓拍单元】6、主线行车道配雷达测速，违法取证符合GA/T 832-2014 标准；</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【车辆卡口抓拍单元】7、支持和测速雷达设备进行联动抓拍；</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【车辆卡口抓拍单元】8、符合GB/T 28181-2022 标准、GB 35114-2017 A 级标准、GA/T 1400-2017 标准。</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【车辆卡口抓拍单元】9、传感器尺寸≥1 英寸，帧率不低于25fps；</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【车辆卡口抓拍单元】10、镜头：≥50mm.</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【多合一补光爆闪灯】1、集LED 频闪，LED 爆闪和氙气白光闪光灯与红外闪光于一体；</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【多合一补光爆闪灯】2、不少于24 颗LED 灯珠；色温≥2800K；</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【多合一补光爆闪灯】3、脉冲模式下连续两次补光的最小时间间隔应≤40ms；</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【多合一补光爆闪灯】4、工作温度-25°C~+70°C；</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【多合一补光爆闪灯】5、防护等级不低于IP66。</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【视频监控系统终端】1.产品需须满足中国信息安全测评中心《安全可靠测评结果公告（2023年第1号）》的相关要求；</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【视频监控系统终端】2.正版国产操作系统，处理器：配置≥1颗国产CPU，每颗CPU≥4核8线程，主频≥2.0GHz，三级缓存≥8MB；</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【视频监控系统终端】3.内存：配置≥8GB DDR4内存，配置≥4个内存插槽；</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【视频监控系统终端】4.硬盘：配置≥1块256GB SSD硬盘；</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【视频监控系统终端】5.网络接口：配置≥1个千兆网络接口；</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【视频监控系统终端】6.显卡：配置≥1张2G独立显卡；</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【视频监控系统终端】7.接口：配置前后2套麦克风/音频接口；提供≥10个USB接口。</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【监控杆件】1、主杆高5-6m，上口径≥160mm，下口径≥200mm，壁厚≥8mm；</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【监控杆件】2、横臂长度根据实际需求配置;</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【监控杆件】3、含配套紧固件，圆锥形杆件热镀锌后喷塑;</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【监控杆件】4、所有杆件均一次成材，不得进行二次焊接；</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【监控杆件】5、整根杆（含基础）及配件应能抗55m/s以上风力；抗震烈度8级以上。</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【监控杆件】6、杆体距地面0.3m～1.0m处应留有检修孔；</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【304不锈钢设备箱】根据现场厂家设备规格定制箱体大小，保证设备能正常安装；监控杆箱体尺寸不小于：40cm（长） x 26cm（宽） X 60cm(高)；卡口抱箍箱体尺寸不小于：55cm（长）x40cm（宽）*50cm(高)；落地柜箱体高度不低于1米；箱体和铰链的材料为304不锈钢、箱体材料厚度≥1.0mm、紧固件为热镀锌或者304不锈钢材质、配防浪涌防雷器1个、配防水手柄锁、安装导轨、隔板和接地端子、外壳防护等级≥IP55。</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【电源稳压器】国产、220v</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【电缆线】RV V 国标纯铜芯 3*2.5mm²</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【高空鹰眼杆件】热镀锌材质防锈杆件及配套加固配件、定制</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【施工集成】拆除、搬运、安装、调试</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【顶管】DN110</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【开挖、修复】开挖水泥路、人行道、土路和回填、恢复</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【高空作业车】国产</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outlineLvl w:val="1"/>
            </w:pPr>
            <w:r>
              <w:rPr>
                <w:rFonts w:ascii="仿宋_GB2312" w:hAnsi="仿宋_GB2312" w:cs="仿宋_GB2312" w:eastAsia="仿宋_GB2312"/>
                <w:sz w:val="21"/>
                <w:b/>
              </w:rPr>
              <w:t>★八、工程时间及付款方式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交付时间：签订合同后，</w:t>
            </w:r>
            <w:r>
              <w:rPr>
                <w:rFonts w:ascii="仿宋_GB2312" w:hAnsi="仿宋_GB2312" w:cs="仿宋_GB2312" w:eastAsia="仿宋_GB2312"/>
                <w:sz w:val="21"/>
              </w:rPr>
              <w:t>2个月内完成软硬件安装、调试、交付等工作（含整改时间），交付服务成果。</w:t>
            </w:r>
          </w:p>
          <w:p>
            <w:pPr>
              <w:pStyle w:val="null3"/>
              <w:ind w:firstLine="420"/>
              <w:jc w:val="both"/>
            </w:pPr>
            <w:r>
              <w:rPr>
                <w:rFonts w:ascii="仿宋_GB2312" w:hAnsi="仿宋_GB2312" w:cs="仿宋_GB2312" w:eastAsia="仿宋_GB2312"/>
                <w:sz w:val="21"/>
              </w:rPr>
              <w:t>2、支付方式：分三次支付。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合同签订后20个工作日内支付合同款的40%（因财政或审批流程原因在期限内未及时支付款项时，不能因此影响项目拖工进度和延长施工期限）；（2）工程完工验收后20个工作日内支付合同款的55%；（3）项目完成二年质保验收后的20个工作日内支付剩余合同款的5%。</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2）因乙方提供发票不及时或者甲方因财政拨款不到位和内部审批流程导致不能按照合同约定期限付款等原因造成的逾期付款，甲方不承担任何逾期付款的违约责任。</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20"/>
              <w:jc w:val="left"/>
            </w:pPr>
            <w:r>
              <w:rPr>
                <w:rFonts w:ascii="仿宋_GB2312" w:hAnsi="仿宋_GB2312" w:cs="仿宋_GB2312" w:eastAsia="仿宋_GB2312"/>
                <w:sz w:val="21"/>
              </w:rPr>
              <w:t>（注：</w:t>
            </w:r>
            <w:r>
              <w:rPr>
                <w:rFonts w:ascii="仿宋_GB2312" w:hAnsi="仿宋_GB2312" w:cs="仿宋_GB2312" w:eastAsia="仿宋_GB2312"/>
                <w:sz w:val="21"/>
              </w:rPr>
              <w:t>本项目采用总价包干，投标人所报价格应包含本项目所产生的一切费用</w:t>
            </w:r>
            <w:r>
              <w:rPr>
                <w:rFonts w:ascii="仿宋_GB2312" w:hAnsi="仿宋_GB2312" w:cs="仿宋_GB2312" w:eastAsia="仿宋_GB2312"/>
                <w:sz w:val="21"/>
              </w:rPr>
              <w:t>（包括但不限于施工各类辅材费用、电表及开户费用、电路安装费用、运输费用、施工申报费用、项目完工结算费用、二年设备质保运维费用、含税发票费用等）</w:t>
            </w:r>
          </w:p>
          <w:p>
            <w:pPr>
              <w:pStyle w:val="null3"/>
              <w:ind w:left="1395"/>
              <w:jc w:val="both"/>
              <w:outlineLvl w:val="4"/>
            </w:pPr>
            <w:r>
              <w:rPr>
                <w:rFonts w:ascii="仿宋_GB2312" w:hAnsi="仿宋_GB2312" w:cs="仿宋_GB2312" w:eastAsia="仿宋_GB2312"/>
                <w:sz w:val="21"/>
                <w:b/>
              </w:rPr>
              <w:t>三、</w:t>
            </w:r>
            <w:r>
              <w:rPr>
                <w:rFonts w:ascii="仿宋_GB2312" w:hAnsi="仿宋_GB2312" w:cs="仿宋_GB2312" w:eastAsia="仿宋_GB2312"/>
                <w:sz w:val="21"/>
                <w:b/>
              </w:rPr>
              <w:t>前端点位清单</w:t>
            </w:r>
          </w:p>
          <w:p>
            <w:pPr>
              <w:pStyle w:val="null3"/>
              <w:ind w:firstLine="420"/>
              <w:jc w:val="both"/>
            </w:pPr>
            <w:r>
              <w:rPr>
                <w:rFonts w:ascii="仿宋_GB2312" w:hAnsi="仿宋_GB2312" w:cs="仿宋_GB2312" w:eastAsia="仿宋_GB2312"/>
                <w:sz w:val="21"/>
              </w:rPr>
              <w:t>由采购人提供</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设备</w:t>
            </w:r>
            <w:r>
              <w:rPr>
                <w:rFonts w:ascii="仿宋_GB2312" w:hAnsi="仿宋_GB2312" w:cs="仿宋_GB2312" w:eastAsia="仿宋_GB2312"/>
                <w:sz w:val="21"/>
                <w:b/>
              </w:rPr>
              <w:t>标准与规范</w:t>
            </w:r>
          </w:p>
          <w:p>
            <w:pPr>
              <w:pStyle w:val="null3"/>
              <w:ind w:firstLine="420"/>
              <w:jc w:val="both"/>
            </w:pPr>
            <w:r>
              <w:rPr>
                <w:rFonts w:ascii="仿宋_GB2312" w:hAnsi="仿宋_GB2312" w:cs="仿宋_GB2312" w:eastAsia="仿宋_GB2312"/>
                <w:sz w:val="21"/>
              </w:rPr>
              <w:t>投标人承诺提供新购置的设备应为全新的未使用过的，应完全符合国家相关产品及技术质量标准，采购人可按需对投标人提供的软硬件进行第三方检测，若货物的质量或规格与招标要求不符或证实货物是有缺陷的，包括潜在缺陷或使用不符合要求等，采购人可向投标人提出索赔。</w:t>
            </w:r>
          </w:p>
          <w:p>
            <w:pPr>
              <w:pStyle w:val="null3"/>
              <w:ind w:firstLine="480"/>
              <w:jc w:val="left"/>
            </w:pPr>
            <w:r>
              <w:rPr>
                <w:rFonts w:ascii="仿宋_GB2312" w:hAnsi="仿宋_GB2312" w:cs="仿宋_GB2312" w:eastAsia="仿宋_GB2312"/>
                <w:sz w:val="21"/>
              </w:rPr>
              <w:t>主要标准与规范不限于以下标准：</w:t>
            </w:r>
          </w:p>
          <w:p>
            <w:pPr>
              <w:pStyle w:val="null3"/>
              <w:ind w:firstLine="480"/>
              <w:jc w:val="left"/>
            </w:pPr>
            <w:r>
              <w:rPr>
                <w:rFonts w:ascii="仿宋_GB2312" w:hAnsi="仿宋_GB2312" w:cs="仿宋_GB2312" w:eastAsia="仿宋_GB2312"/>
                <w:sz w:val="21"/>
              </w:rPr>
              <w:t>1.《公共安全视频监控联网系统信息传输、交换、控制技术要求》（GB/T 28181-2022）；</w:t>
            </w:r>
          </w:p>
          <w:p>
            <w:pPr>
              <w:pStyle w:val="null3"/>
              <w:ind w:firstLine="480"/>
              <w:jc w:val="left"/>
            </w:pPr>
            <w:r>
              <w:rPr>
                <w:rFonts w:ascii="仿宋_GB2312" w:hAnsi="仿宋_GB2312" w:cs="仿宋_GB2312" w:eastAsia="仿宋_GB2312"/>
                <w:sz w:val="21"/>
              </w:rPr>
              <w:t>2.《公共安全视频监控联网信息安全技术要求》（GB 35114-2017）；</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安全防范工程通用规范</w:t>
            </w:r>
            <w:r>
              <w:rPr>
                <w:rFonts w:ascii="仿宋_GB2312" w:hAnsi="仿宋_GB2312" w:cs="仿宋_GB2312" w:eastAsia="仿宋_GB2312"/>
                <w:sz w:val="21"/>
              </w:rPr>
              <w:t>》（</w:t>
            </w:r>
            <w:r>
              <w:rPr>
                <w:rFonts w:ascii="仿宋_GB2312" w:hAnsi="仿宋_GB2312" w:cs="仿宋_GB2312" w:eastAsia="仿宋_GB2312"/>
                <w:sz w:val="21"/>
              </w:rPr>
              <w:t>GB 55029-2022）；</w:t>
            </w:r>
          </w:p>
          <w:p>
            <w:pPr>
              <w:pStyle w:val="null3"/>
              <w:ind w:firstLine="480"/>
              <w:jc w:val="left"/>
            </w:pPr>
            <w:r>
              <w:rPr>
                <w:rFonts w:ascii="仿宋_GB2312" w:hAnsi="仿宋_GB2312" w:cs="仿宋_GB2312" w:eastAsia="仿宋_GB2312"/>
                <w:sz w:val="21"/>
              </w:rPr>
              <w:t>4.《安全防范工程技术标准》（GB 50348-2018）；</w:t>
            </w:r>
          </w:p>
          <w:p>
            <w:pPr>
              <w:pStyle w:val="null3"/>
              <w:ind w:firstLine="480"/>
              <w:jc w:val="left"/>
            </w:pPr>
            <w:r>
              <w:rPr>
                <w:rFonts w:ascii="仿宋_GB2312" w:hAnsi="仿宋_GB2312" w:cs="仿宋_GB2312" w:eastAsia="仿宋_GB2312"/>
                <w:sz w:val="21"/>
              </w:rPr>
              <w:t>5.《公安视频图像分析系统技术要求》（GA/T 1399-2017）；</w:t>
            </w:r>
          </w:p>
          <w:p>
            <w:pPr>
              <w:pStyle w:val="null3"/>
              <w:ind w:firstLine="480"/>
              <w:jc w:val="left"/>
            </w:pPr>
            <w:r>
              <w:rPr>
                <w:rFonts w:ascii="仿宋_GB2312" w:hAnsi="仿宋_GB2312" w:cs="仿宋_GB2312" w:eastAsia="仿宋_GB2312"/>
                <w:sz w:val="21"/>
              </w:rPr>
              <w:t>6.《公安视频图像信息应用系统技术要求》（GA/T 1400-2017）；</w:t>
            </w:r>
          </w:p>
          <w:p>
            <w:pPr>
              <w:pStyle w:val="null3"/>
              <w:ind w:firstLine="480"/>
              <w:jc w:val="left"/>
            </w:pPr>
            <w:r>
              <w:rPr>
                <w:rFonts w:ascii="仿宋_GB2312" w:hAnsi="仿宋_GB2312" w:cs="仿宋_GB2312" w:eastAsia="仿宋_GB2312"/>
                <w:sz w:val="21"/>
              </w:rPr>
              <w:t>7.《交通技术监控成像补光装置通用技术条件》（GA/T 1202-2022）；</w:t>
            </w:r>
          </w:p>
          <w:p>
            <w:pPr>
              <w:pStyle w:val="null3"/>
              <w:ind w:firstLine="480"/>
              <w:jc w:val="left"/>
            </w:pPr>
            <w:r>
              <w:rPr>
                <w:rFonts w:ascii="仿宋_GB2312" w:hAnsi="仿宋_GB2312" w:cs="仿宋_GB2312" w:eastAsia="仿宋_GB2312"/>
                <w:sz w:val="21"/>
              </w:rPr>
              <w:t>8.《视频图像文字标注规范》（GA/T 751-2008）；</w:t>
            </w:r>
          </w:p>
          <w:p>
            <w:pPr>
              <w:pStyle w:val="null3"/>
              <w:ind w:firstLine="480"/>
              <w:jc w:val="left"/>
            </w:pPr>
            <w:r>
              <w:rPr>
                <w:rFonts w:ascii="仿宋_GB2312" w:hAnsi="仿宋_GB2312" w:cs="仿宋_GB2312" w:eastAsia="仿宋_GB2312"/>
                <w:sz w:val="21"/>
              </w:rPr>
              <w:t>9.《公安视频图像信息系统安全技术要求》（GA/T 1788-2021）；</w:t>
            </w:r>
          </w:p>
          <w:p>
            <w:pPr>
              <w:pStyle w:val="null3"/>
              <w:ind w:firstLine="371"/>
              <w:jc w:val="both"/>
            </w:pPr>
            <w:r>
              <w:rPr>
                <w:rFonts w:ascii="仿宋_GB2312" w:hAnsi="仿宋_GB2312" w:cs="仿宋_GB2312" w:eastAsia="仿宋_GB2312"/>
                <w:sz w:val="21"/>
              </w:rPr>
              <w:t>10.《公共区域视频图像采集设备布建指南》（公安部科技信息化局）；</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前端感知设备</w:t>
            </w:r>
            <w:r>
              <w:rPr>
                <w:rFonts w:ascii="仿宋_GB2312" w:hAnsi="仿宋_GB2312" w:cs="仿宋_GB2312" w:eastAsia="仿宋_GB2312"/>
                <w:sz w:val="21"/>
                <w:b/>
              </w:rPr>
              <w:t>安装</w:t>
            </w:r>
            <w:r>
              <w:rPr>
                <w:rFonts w:ascii="仿宋_GB2312" w:hAnsi="仿宋_GB2312" w:cs="仿宋_GB2312" w:eastAsia="仿宋_GB2312"/>
                <w:sz w:val="21"/>
                <w:b/>
              </w:rPr>
              <w:t>及其他</w:t>
            </w:r>
            <w:r>
              <w:rPr>
                <w:rFonts w:ascii="仿宋_GB2312" w:hAnsi="仿宋_GB2312" w:cs="仿宋_GB2312" w:eastAsia="仿宋_GB2312"/>
                <w:sz w:val="21"/>
                <w:b/>
              </w:rPr>
              <w:t>要求</w:t>
            </w:r>
          </w:p>
          <w:p>
            <w:pPr>
              <w:pStyle w:val="null3"/>
              <w:ind w:firstLine="480"/>
              <w:jc w:val="left"/>
            </w:pPr>
            <w:r>
              <w:rPr>
                <w:rFonts w:ascii="仿宋_GB2312" w:hAnsi="仿宋_GB2312" w:cs="仿宋_GB2312" w:eastAsia="仿宋_GB2312"/>
                <w:sz w:val="21"/>
              </w:rPr>
              <w:t>前端设备安装应符合相关国家、地方标准要求，视频网平台上所有摄像头画面及卡口抓拍效果画面的清晰度必须符合厂家标准，所有安装设备需与公安局视频图像共享平台无缝对接。</w:t>
            </w:r>
          </w:p>
          <w:p>
            <w:pPr>
              <w:pStyle w:val="null3"/>
              <w:numPr>
                <w:ilvl w:val="0"/>
                <w:numId w:val="1"/>
              </w:numPr>
              <w:jc w:val="left"/>
            </w:pPr>
            <w:r>
              <w:rPr>
                <w:rFonts w:ascii="仿宋_GB2312" w:hAnsi="仿宋_GB2312" w:cs="仿宋_GB2312" w:eastAsia="仿宋_GB2312"/>
                <w:sz w:val="21"/>
              </w:rPr>
              <w:t>摄像机应根据安装场所实际情况，以利旧原杆安装为主，少量摄像机立杆或支架安装。</w:t>
            </w:r>
          </w:p>
          <w:p>
            <w:pPr>
              <w:pStyle w:val="null3"/>
              <w:numPr>
                <w:ilvl w:val="0"/>
                <w:numId w:val="1"/>
              </w:numPr>
              <w:jc w:val="left"/>
            </w:pPr>
            <w:r>
              <w:rPr>
                <w:rFonts w:ascii="仿宋_GB2312" w:hAnsi="仿宋_GB2312" w:cs="仿宋_GB2312" w:eastAsia="仿宋_GB2312"/>
                <w:sz w:val="21"/>
              </w:rPr>
              <w:t>前端设备安装还应符合相关国家、地方标准要求，同时前端设备及配套设备应与具体安装场所风格一致，美观大方群众乐于接受。</w:t>
            </w:r>
          </w:p>
          <w:p>
            <w:pPr>
              <w:pStyle w:val="null3"/>
              <w:numPr>
                <w:ilvl w:val="0"/>
                <w:numId w:val="1"/>
              </w:numPr>
              <w:jc w:val="left"/>
            </w:pPr>
            <w:r>
              <w:rPr>
                <w:rFonts w:ascii="仿宋_GB2312" w:hAnsi="仿宋_GB2312" w:cs="仿宋_GB2312" w:eastAsia="仿宋_GB2312"/>
                <w:sz w:val="21"/>
              </w:rPr>
              <w:t>现场</w:t>
            </w:r>
            <w:r>
              <w:rPr>
                <w:rFonts w:ascii="仿宋_GB2312" w:hAnsi="仿宋_GB2312" w:cs="仿宋_GB2312" w:eastAsia="仿宋_GB2312"/>
                <w:sz w:val="21"/>
              </w:rPr>
              <w:t>施工</w:t>
            </w:r>
            <w:r>
              <w:rPr>
                <w:rFonts w:ascii="仿宋_GB2312" w:hAnsi="仿宋_GB2312" w:cs="仿宋_GB2312" w:eastAsia="仿宋_GB2312"/>
                <w:sz w:val="21"/>
              </w:rPr>
              <w:t>指挥和作业人员必须遵照安全技术规范和操作规程文明施工，不得有违章指挥、违章操作和不服从管理等不文明行为</w:t>
            </w:r>
            <w:r>
              <w:rPr>
                <w:rFonts w:ascii="仿宋_GB2312" w:hAnsi="仿宋_GB2312" w:cs="仿宋_GB2312" w:eastAsia="仿宋_GB2312"/>
                <w:sz w:val="21"/>
              </w:rPr>
              <w:t>；</w:t>
            </w:r>
            <w:r>
              <w:rPr>
                <w:rFonts w:ascii="仿宋_GB2312" w:hAnsi="仿宋_GB2312" w:cs="仿宋_GB2312" w:eastAsia="仿宋_GB2312"/>
                <w:sz w:val="21"/>
              </w:rPr>
              <w:t>建设</w:t>
            </w:r>
            <w:r>
              <w:rPr>
                <w:rFonts w:ascii="仿宋_GB2312" w:hAnsi="仿宋_GB2312" w:cs="仿宋_GB2312" w:eastAsia="仿宋_GB2312"/>
                <w:sz w:val="21"/>
              </w:rPr>
              <w:t>施工</w:t>
            </w:r>
            <w:r>
              <w:rPr>
                <w:rFonts w:ascii="仿宋_GB2312" w:hAnsi="仿宋_GB2312" w:cs="仿宋_GB2312" w:eastAsia="仿宋_GB2312"/>
                <w:sz w:val="21"/>
              </w:rPr>
              <w:t>期应确保工程施工安全，违反相关安全规定造成的一切后果均由中标人承担</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在项目实施期间，前端设备启动</w:t>
            </w:r>
            <w:r>
              <w:rPr>
                <w:rFonts w:ascii="仿宋_GB2312" w:hAnsi="仿宋_GB2312" w:cs="仿宋_GB2312" w:eastAsia="仿宋_GB2312"/>
                <w:sz w:val="21"/>
              </w:rPr>
              <w:t>时的安装电表及取</w:t>
            </w:r>
            <w:r>
              <w:rPr>
                <w:rFonts w:ascii="仿宋_GB2312" w:hAnsi="仿宋_GB2312" w:cs="仿宋_GB2312" w:eastAsia="仿宋_GB2312"/>
                <w:sz w:val="21"/>
              </w:rPr>
              <w:t>电费</w:t>
            </w:r>
            <w:r>
              <w:rPr>
                <w:rFonts w:ascii="仿宋_GB2312" w:hAnsi="仿宋_GB2312" w:cs="仿宋_GB2312" w:eastAsia="仿宋_GB2312"/>
                <w:sz w:val="21"/>
              </w:rPr>
              <w:t>用</w:t>
            </w:r>
            <w:r>
              <w:rPr>
                <w:rFonts w:ascii="仿宋_GB2312" w:hAnsi="仿宋_GB2312" w:cs="仿宋_GB2312" w:eastAsia="仿宋_GB2312"/>
                <w:sz w:val="21"/>
              </w:rPr>
              <w:t>由投标人支付</w:t>
            </w:r>
            <w:r>
              <w:rPr>
                <w:rFonts w:ascii="仿宋_GB2312" w:hAnsi="仿宋_GB2312" w:cs="仿宋_GB2312" w:eastAsia="仿宋_GB2312"/>
                <w:sz w:val="21"/>
              </w:rPr>
              <w:t>；</w:t>
            </w:r>
            <w:r>
              <w:rPr>
                <w:rFonts w:ascii="仿宋_GB2312" w:hAnsi="仿宋_GB2312" w:cs="仿宋_GB2312" w:eastAsia="仿宋_GB2312"/>
                <w:sz w:val="21"/>
              </w:rPr>
              <w:t>若因遗留问题未通过验收的，投标人需继续支付该设备运行期间的电费。</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本项目前端点位立杆部署涉及到城市道路占用挖掘等事项，投标人应按照《海南省城市道路占用挖掘收费管理暂行办法》（琼建城</w:t>
            </w:r>
            <w:r>
              <w:rPr>
                <w:rFonts w:ascii="仿宋_GB2312" w:hAnsi="仿宋_GB2312" w:cs="仿宋_GB2312" w:eastAsia="仿宋_GB2312"/>
                <w:sz w:val="21"/>
              </w:rPr>
              <w:t>[1993]221号），按规定申请报建手续</w:t>
            </w:r>
            <w:r>
              <w:rPr>
                <w:rFonts w:ascii="仿宋_GB2312" w:hAnsi="仿宋_GB2312" w:cs="仿宋_GB2312" w:eastAsia="仿宋_GB2312"/>
                <w:sz w:val="21"/>
              </w:rPr>
              <w:t>，</w:t>
            </w:r>
            <w:r>
              <w:rPr>
                <w:rFonts w:ascii="仿宋_GB2312" w:hAnsi="仿宋_GB2312" w:cs="仿宋_GB2312" w:eastAsia="仿宋_GB2312"/>
                <w:sz w:val="21"/>
              </w:rPr>
              <w:t>由此产生的</w:t>
            </w:r>
            <w:r>
              <w:rPr>
                <w:rFonts w:ascii="仿宋_GB2312" w:hAnsi="仿宋_GB2312" w:cs="仿宋_GB2312" w:eastAsia="仿宋_GB2312"/>
                <w:sz w:val="21"/>
              </w:rPr>
              <w:t>相关费用由投标人承担。</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若采购人和投标人双方对招标文件中采购需求章节的功能、性能、参数等需求描述理解有歧义时，最终以采购人解释为准。其他未尽事宜以合同约定为准。</w:t>
            </w:r>
          </w:p>
          <w:p>
            <w:pPr>
              <w:pStyle w:val="null3"/>
              <w:jc w:val="both"/>
            </w:pPr>
            <w:r>
              <w:rPr>
                <w:rFonts w:ascii="仿宋_GB2312" w:hAnsi="仿宋_GB2312" w:cs="仿宋_GB2312" w:eastAsia="仿宋_GB2312"/>
                <w:sz w:val="21"/>
                <w:b/>
              </w:rPr>
              <w:t>六、设备</w:t>
            </w:r>
            <w:r>
              <w:rPr>
                <w:rFonts w:ascii="仿宋_GB2312" w:hAnsi="仿宋_GB2312" w:cs="仿宋_GB2312" w:eastAsia="仿宋_GB2312"/>
                <w:sz w:val="21"/>
                <w:b/>
              </w:rPr>
              <w:t>运维</w:t>
            </w:r>
            <w:r>
              <w:rPr>
                <w:rFonts w:ascii="仿宋_GB2312" w:hAnsi="仿宋_GB2312" w:cs="仿宋_GB2312" w:eastAsia="仿宋_GB2312"/>
                <w:sz w:val="21"/>
                <w:b/>
              </w:rPr>
              <w:t>服务</w:t>
            </w:r>
          </w:p>
          <w:p>
            <w:pPr>
              <w:pStyle w:val="null3"/>
              <w:ind w:firstLine="420"/>
              <w:jc w:val="both"/>
            </w:pPr>
            <w:r>
              <w:rPr>
                <w:rFonts w:ascii="仿宋_GB2312" w:hAnsi="仿宋_GB2312" w:cs="仿宋_GB2312" w:eastAsia="仿宋_GB2312"/>
                <w:sz w:val="21"/>
              </w:rPr>
              <w:t>1、投标人提供包括定期跟踪巡检、维护、维修、故障排除、前端摄像机除尘，投标人应制定日常故障处理方案、定期巡检维护方案及应急保障服务方案。质保期间，若涉及到高空作业车和交通运维车辆调度，由投标人自行解决，费用由投标人负责。</w:t>
            </w:r>
          </w:p>
          <w:p>
            <w:pPr>
              <w:pStyle w:val="null3"/>
              <w:ind w:firstLine="420"/>
              <w:jc w:val="both"/>
            </w:pPr>
            <w:r>
              <w:rPr>
                <w:rFonts w:ascii="仿宋_GB2312" w:hAnsi="仿宋_GB2312" w:cs="仿宋_GB2312" w:eastAsia="仿宋_GB2312"/>
                <w:sz w:val="21"/>
              </w:rPr>
              <w:t>2、提供7*24的全天候不间断的电话技术支持和报修服务，对于较为复杂的情况及突发事件，根据采购人的情况，增加相应的服务工程师进行现场维护。投标人在接到报障电话2小时内响应，12小时内派工程技术人员上门维修且处理完毕。规定时间内未处理完毕的，投标人提供不低于同等档次设备供用户使用至故障设备正常使用为止。如果需要更换配件的，要求更换的配件跟被更换的品牌、类型相一致或者是同类同档次的替代品，后者需征得用户方管理人员同意。</w:t>
            </w:r>
          </w:p>
          <w:p>
            <w:pPr>
              <w:pStyle w:val="null3"/>
              <w:ind w:firstLine="420"/>
              <w:jc w:val="both"/>
            </w:pPr>
            <w:r>
              <w:rPr>
                <w:rFonts w:ascii="仿宋_GB2312" w:hAnsi="仿宋_GB2312" w:cs="仿宋_GB2312" w:eastAsia="仿宋_GB2312"/>
                <w:sz w:val="21"/>
              </w:rPr>
              <w:t>3、运维人员：配备至少2名驻点运维人员，对合同内容运维抢修。</w:t>
            </w:r>
          </w:p>
          <w:p>
            <w:pPr>
              <w:pStyle w:val="null3"/>
              <w:ind w:firstLine="420"/>
              <w:jc w:val="both"/>
            </w:pPr>
            <w:r>
              <w:rPr>
                <w:rFonts w:ascii="仿宋_GB2312" w:hAnsi="仿宋_GB2312" w:cs="仿宋_GB2312" w:eastAsia="仿宋_GB2312"/>
                <w:sz w:val="21"/>
              </w:rPr>
              <w:t>4、对质保期期限内的故障报修，如投标人未能做到服务承诺，用户可采取必要的补救措施，但其风险和费用由投标人承担（或从质保金中扣除），由于投标人的保证服务不到位，质保期限的到期时间将顺延。</w:t>
            </w:r>
          </w:p>
          <w:p>
            <w:pPr>
              <w:pStyle w:val="null3"/>
              <w:jc w:val="both"/>
            </w:pPr>
            <w:r>
              <w:rPr>
                <w:rFonts w:ascii="仿宋_GB2312" w:hAnsi="仿宋_GB2312" w:cs="仿宋_GB2312" w:eastAsia="仿宋_GB2312"/>
                <w:sz w:val="21"/>
                <w:b/>
              </w:rPr>
              <w:t>七、验收要求</w:t>
            </w:r>
          </w:p>
          <w:p>
            <w:pPr>
              <w:pStyle w:val="null3"/>
              <w:ind w:firstLine="420"/>
              <w:jc w:val="both"/>
            </w:pPr>
            <w:r>
              <w:rPr>
                <w:rFonts w:ascii="仿宋_GB2312" w:hAnsi="仿宋_GB2312" w:cs="仿宋_GB2312" w:eastAsia="仿宋_GB2312"/>
                <w:sz w:val="21"/>
              </w:rPr>
              <w:t>1、项目验收按国家、地方和行业的相关政策、法规实施。项目实施期间或试运行期间，所提供的产品或服务出现缺陷问题或无法通过第三方检测的，投标人须及时解决或更换，由此引起的相关费用由投标人承担，对采购人造成损失的，赔偿相应损失。</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本项目接受项目监理的全过程监督检查；项目验</w:t>
            </w:r>
            <w:r>
              <w:rPr>
                <w:rFonts w:ascii="仿宋_GB2312" w:hAnsi="仿宋_GB2312" w:cs="仿宋_GB2312" w:eastAsia="仿宋_GB2312"/>
                <w:sz w:val="21"/>
              </w:rPr>
              <w:t>收时</w:t>
            </w:r>
            <w:r>
              <w:rPr>
                <w:rFonts w:ascii="仿宋_GB2312" w:hAnsi="仿宋_GB2312" w:cs="仿宋_GB2312" w:eastAsia="仿宋_GB2312"/>
                <w:sz w:val="21"/>
              </w:rPr>
              <w:t>，中标人需提供具有相关资质的第三方</w:t>
            </w:r>
            <w:r>
              <w:rPr>
                <w:rFonts w:ascii="仿宋_GB2312" w:hAnsi="仿宋_GB2312" w:cs="仿宋_GB2312" w:eastAsia="仿宋_GB2312"/>
                <w:sz w:val="21"/>
              </w:rPr>
              <w:t>监理</w:t>
            </w:r>
            <w:r>
              <w:rPr>
                <w:rFonts w:ascii="仿宋_GB2312" w:hAnsi="仿宋_GB2312" w:cs="仿宋_GB2312" w:eastAsia="仿宋_GB2312"/>
                <w:sz w:val="21"/>
              </w:rPr>
              <w:t>报告</w:t>
            </w:r>
            <w:r>
              <w:rPr>
                <w:rFonts w:ascii="仿宋_GB2312" w:hAnsi="仿宋_GB2312" w:cs="仿宋_GB2312" w:eastAsia="仿宋_GB2312"/>
                <w:sz w:val="21"/>
              </w:rPr>
              <w:t>、</w:t>
            </w:r>
            <w:r>
              <w:rPr>
                <w:rFonts w:ascii="仿宋_GB2312" w:hAnsi="仿宋_GB2312" w:cs="仿宋_GB2312" w:eastAsia="仿宋_GB2312"/>
                <w:sz w:val="21"/>
              </w:rPr>
              <w:t>验收报告等</w:t>
            </w:r>
            <w:r>
              <w:rPr>
                <w:rFonts w:ascii="仿宋_GB2312" w:hAnsi="仿宋_GB2312" w:cs="仿宋_GB2312" w:eastAsia="仿宋_GB2312"/>
                <w:sz w:val="21"/>
              </w:rPr>
              <w:t>，此部分</w:t>
            </w:r>
            <w:r>
              <w:rPr>
                <w:rFonts w:ascii="仿宋_GB2312" w:hAnsi="仿宋_GB2312" w:cs="仿宋_GB2312" w:eastAsia="仿宋_GB2312"/>
                <w:sz w:val="21"/>
              </w:rPr>
              <w:t>费用</w:t>
            </w:r>
            <w:r>
              <w:rPr>
                <w:rFonts w:ascii="仿宋_GB2312" w:hAnsi="仿宋_GB2312" w:cs="仿宋_GB2312" w:eastAsia="仿宋_GB2312"/>
                <w:sz w:val="21"/>
              </w:rPr>
              <w:t>由中标人出资办理。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代理商要求</w:t>
            </w:r>
          </w:p>
        </w:tc>
        <w:tc>
          <w:tcPr>
            <w:tcW w:type="dxa" w:w="3322"/>
          </w:tcPr>
          <w:p>
            <w:pPr>
              <w:pStyle w:val="null3"/>
              <w:jc w:val="left"/>
            </w:pPr>
            <w:r>
              <w:rPr>
                <w:rFonts w:ascii="仿宋_GB2312" w:hAnsi="仿宋_GB2312" w:cs="仿宋_GB2312" w:eastAsia="仿宋_GB2312"/>
              </w:rPr>
              <w:t>本项目接受代理商应答，如投标人为代理商，须提供核心产品设备制造商针对本项目的唯一授权，格式自拟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联合体投标要求</w:t>
            </w:r>
          </w:p>
        </w:tc>
        <w:tc>
          <w:tcPr>
            <w:tcW w:type="dxa" w:w="3322"/>
          </w:tcPr>
          <w:p>
            <w:pPr>
              <w:pStyle w:val="null3"/>
              <w:jc w:val="left"/>
            </w:pPr>
            <w:r>
              <w:rPr>
                <w:rFonts w:ascii="仿宋_GB2312" w:hAnsi="仿宋_GB2312" w:cs="仿宋_GB2312" w:eastAsia="仿宋_GB2312"/>
              </w:rPr>
              <w:t>本项目不接受联合体投标</w:t>
            </w:r>
          </w:p>
        </w:tc>
        <w:tc>
          <w:tcPr>
            <w:tcW w:type="dxa" w:w="1661"/>
          </w:tcPr>
          <w:p>
            <w:pPr>
              <w:pStyle w:val="null3"/>
              <w:jc w:val="left"/>
            </w:pPr>
            <w:r>
              <w:rPr>
                <w:rFonts w:ascii="仿宋_GB2312" w:hAnsi="仿宋_GB2312" w:cs="仿宋_GB2312" w:eastAsia="仿宋_GB2312"/>
              </w:rPr>
              <w:t>供应商应提交的相关证明材料 封面 具有独立承担民事责任的能力证明文件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商务应答表 自觉抵制政府采购领域商业贿赂行为承诺书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技术响应</w:t>
            </w:r>
          </w:p>
        </w:tc>
        <w:tc>
          <w:tcPr>
            <w:tcW w:type="dxa" w:w="2492"/>
          </w:tcPr>
          <w:p>
            <w:pPr>
              <w:pStyle w:val="null3"/>
              <w:jc w:val="both"/>
            </w:pPr>
            <w:r>
              <w:rPr>
                <w:rFonts w:ascii="仿宋_GB2312" w:hAnsi="仿宋_GB2312" w:cs="仿宋_GB2312" w:eastAsia="仿宋_GB2312"/>
              </w:rPr>
              <w:t>投标人应对招标文件中“采购清单”中要求的190项内容和技术参数要求进行逐项响应，完全满足或优于招标文件要求的得满分10分，每项负偏离扣0.1分，扣完为止。 注：投标人须对所投标设备的技术参数真实性负责，提供虚假参数、伪造、变更或虚假响应者，投标无效并将上报政府采购主管部门进行严肃处理。同一设备参数不重复扣分。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评审专家根据投标人提供项目总体设计方案，包括资源覆盖情况、网络能力评估、网络拓扑图、网络管理方案、网络割接方案五个小项进行评分，缺少一项扣2分； ·内容全面、设计合理、可行性较高，则每个小项得2分； ·内容一般、设计一般、具有可行性，则每个小项得1分； ·内容较差、设计较差、不可行性的，则不得分。 本项满分10分。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评审专家根据投标人提供的项目实施方案,包括人员组织管理、工作分工、实施计划、问题协调处理、整体进度管控五项进行评分，缺少一项扣2分； ·内容详细完整，条理清晰，针对实际情况，考虑问题周全的项，则每个小项得2分； ·与项目实际匹配、符合项目特点一般的项，则每个小项得1分； ·完全不适用本项目情形的项，则不得分。 本项满分10分。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售后运维方案</w:t>
            </w:r>
          </w:p>
        </w:tc>
        <w:tc>
          <w:tcPr>
            <w:tcW w:type="dxa" w:w="2492"/>
          </w:tcPr>
          <w:p>
            <w:pPr>
              <w:pStyle w:val="null3"/>
              <w:jc w:val="both"/>
            </w:pPr>
            <w:r>
              <w:rPr>
                <w:rFonts w:ascii="仿宋_GB2312" w:hAnsi="仿宋_GB2312" w:cs="仿宋_GB2312" w:eastAsia="仿宋_GB2312"/>
              </w:rPr>
              <w:t>评审专家根据投标人提供的售后服务方案,包括服务承诺、服务体系、机构配置、工作流程、服务评估五项进行评分，缺少一项扣2分； ·内容详细完整，条理清晰，针对实际情况，考虑问题周全的项，则每个小项得2分； ·与项目实际匹配、符合项目特点一般的项，则每个小项得1分； ·完全不适用本项目情形的项，则不得分。 本项满分10分。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评审专家根据投标人提供的应急保障方案，包括应急人员配备、故障响应、运行维护服务、现场保障配合服务质量保障方案五项进行评分，缺少一项扣2分； ·内容详细完整，条理清晰，针对实际情况，考虑问题周全的项，则每个小项得2分; ·与项目实际匹配、符合项目特点一般的项，则每个小项得1分; ·完全不适用本项目情形的项，则不得分。 本项满分10分。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投标人具有（1）ISO9001质量管理体系认证、（2）ISO 20000信息技术服务管理体系认证、（3）ISO27701隐私信息管理体系认证、（4）信息系统建设和服务能力评估认证（CS） 证明材料：提供有效期内证书复印件并加盖投标人或原厂家公章，每个证书得1分，未提供得0分，满分4分。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信息安全管理体系证书</w:t>
            </w:r>
          </w:p>
        </w:tc>
        <w:tc>
          <w:tcPr>
            <w:tcW w:type="dxa" w:w="2492"/>
          </w:tcPr>
          <w:p>
            <w:pPr>
              <w:pStyle w:val="null3"/>
              <w:jc w:val="both"/>
            </w:pPr>
            <w:r>
              <w:rPr>
                <w:rFonts w:ascii="仿宋_GB2312" w:hAnsi="仿宋_GB2312" w:cs="仿宋_GB2312" w:eastAsia="仿宋_GB2312"/>
              </w:rPr>
              <w:t>为体现投标人或投标人所投产品设备制造商在数据信息安全管理方面的能力，能提供ISO 27001、ISO 27017、ISO 27018全部信息安全管理体系证书的得2分，能提供其中2项的得1分，其他情况不得分。 证明材料：提供有效期内证书复印件并加盖投标人或原厂家公章。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智能制造能力成熟度等级</w:t>
            </w:r>
          </w:p>
        </w:tc>
        <w:tc>
          <w:tcPr>
            <w:tcW w:type="dxa" w:w="2492"/>
          </w:tcPr>
          <w:p>
            <w:pPr>
              <w:pStyle w:val="null3"/>
              <w:jc w:val="both"/>
            </w:pPr>
            <w:r>
              <w:rPr>
                <w:rFonts w:ascii="仿宋_GB2312" w:hAnsi="仿宋_GB2312" w:cs="仿宋_GB2312" w:eastAsia="仿宋_GB2312"/>
              </w:rPr>
              <w:t>投标人所投的设备制造商具备较高的制造能力水平以及稳定的供应链保障交付能力，符合GB/T 39116-2020《智能制造能力成熟度模型》国家标准，达到智能制造能力成熟度等级五级的得2分，四级的得1分，三级及以下的得0.5分，未提供的不得分。 证明材料：提供有效期内证书复印件并加盖投标人或原厂家公章。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应急管理与保障能力</w:t>
            </w:r>
          </w:p>
        </w:tc>
        <w:tc>
          <w:tcPr>
            <w:tcW w:type="dxa" w:w="2492"/>
          </w:tcPr>
          <w:p>
            <w:pPr>
              <w:pStyle w:val="null3"/>
              <w:jc w:val="both"/>
            </w:pPr>
            <w:r>
              <w:rPr>
                <w:rFonts w:ascii="仿宋_GB2312" w:hAnsi="仿宋_GB2312" w:cs="仿宋_GB2312" w:eastAsia="仿宋_GB2312"/>
              </w:rPr>
              <w:t>为了提高本项目应急管理事故响应的速度，降低突发事件所带来的后果和影响，要求产品设备制造商须具备应急管理与保障的能力，提供GB/T 37228应急预案管理能力评价认证证书复印件，并提供国家市场监督管理总局全国认证认可信息公共服务平台查询链接及截图，满足得2分, 否则不得分。 证明材料：提供有效期内证书复印件并加盖投标人或原厂家公章。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商品和客户服务水平</w:t>
            </w:r>
          </w:p>
        </w:tc>
        <w:tc>
          <w:tcPr>
            <w:tcW w:type="dxa" w:w="2492"/>
          </w:tcPr>
          <w:p>
            <w:pPr>
              <w:pStyle w:val="null3"/>
              <w:jc w:val="both"/>
            </w:pPr>
            <w:r>
              <w:rPr>
                <w:rFonts w:ascii="仿宋_GB2312" w:hAnsi="仿宋_GB2312" w:cs="仿宋_GB2312" w:eastAsia="仿宋_GB2312"/>
              </w:rPr>
              <w:t>为保障货物售后服务质量，投标人或投标人所投产品设备制造商应具备较高的商品和客户服务水平，达到国家标准《商品售后服务评价体系》GB/T 27922-2011服务能力，具有五星级售后服务认证证书且配备售后服务高级管理师5人及以上的得2分，3-4人的得1分，3人以下的得0.5分，没有不得分。 证明材料：提供相关证书复印件以及在投标单位或原厂家近6个月社保证明并加盖投标人或原厂家公章。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投标人2022年1月1日至今具有同类项目案例，每个有效业绩得1分，满分2分。 证明材料：提供2022年1月1日（以合同签订日期为准）以来合同关键页复印件并加盖投标人或原厂家公章。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投标人拟派本项目的一名项目经理具有国家人力资源和社会保障部或工业和信息化部颁发的以下证书： （1）国家人力资源和社会保障部或工业和信息化部颁发的系统集成项目管理工程师证书（中级）； （2）国家人力资源和社会保障部或工业和信息化部颁发的网络工程师（中级）； （3）通信专业技术人员职业资格证书（传输与接入专业中级）； 每个证书得1分，未提供得0分，满分3分。 证明材料：提供相关证书复印件以及在投标单位近6个月社保证明并加盖投标人或原厂家公章。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投标人项目团队成员（除项目经理之外）需具备以下证书： 1、国家人力资源和社会保障部或工业和信息化部颁发的网络工程师证书。2、通信专业技术人员职业资格证书。3、注册信息安全专业人员证书（CISP）。一人多证只算一个，少一个证书扣1分，本项最高得分3分。 证明材料：提供相关证书复印件以及在投标单位或原厂家近6个月社保证明并加盖投标人或原厂家公章。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[HNDXSJYzhy]20250300001[GK]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文昌市公安局前端感知设备采购项目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前端感知设备采购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核心产品产地</w:t>
            </w:r>
          </w:p>
        </w:tc>
        <w:tc>
          <w:tcPr>
            <w:tcW w:type="dxa" w:w="593"/>
          </w:tcPr>
          <w:p>
            <w:pPr>
              <w:pStyle w:val="null3"/>
              <w:jc w:val="left"/>
            </w:pPr>
            <w:r>
              <w:rPr>
                <w:rFonts w:ascii="仿宋_GB2312" w:hAnsi="仿宋_GB2312" w:cs="仿宋_GB2312" w:eastAsia="仿宋_GB2312"/>
              </w:rPr>
              <w:t xml:space="preserve"> 核心产品品牌</w:t>
            </w:r>
          </w:p>
        </w:tc>
        <w:tc>
          <w:tcPr>
            <w:tcW w:type="dxa" w:w="593"/>
          </w:tcPr>
          <w:p>
            <w:pPr>
              <w:pStyle w:val="null3"/>
              <w:jc w:val="left"/>
            </w:pPr>
            <w:r>
              <w:rPr>
                <w:rFonts w:ascii="仿宋_GB2312" w:hAnsi="仿宋_GB2312" w:cs="仿宋_GB2312" w:eastAsia="仿宋_GB2312"/>
              </w:rPr>
              <w:t xml:space="preserve"> 核心产品规格</w:t>
            </w:r>
          </w:p>
        </w:tc>
        <w:tc>
          <w:tcPr>
            <w:tcW w:type="dxa" w:w="593"/>
          </w:tcPr>
          <w:p>
            <w:pPr>
              <w:pStyle w:val="null3"/>
              <w:jc w:val="left"/>
            </w:pPr>
            <w:r>
              <w:rPr>
                <w:rFonts w:ascii="仿宋_GB2312" w:hAnsi="仿宋_GB2312" w:cs="仿宋_GB2312" w:eastAsia="仿宋_GB2312"/>
              </w:rPr>
              <w:t xml:space="preserve"> 交付时间</w:t>
            </w:r>
          </w:p>
        </w:tc>
        <w:tc>
          <w:tcPr>
            <w:tcW w:type="dxa" w:w="593"/>
          </w:tcPr>
          <w:p>
            <w:pPr>
              <w:pStyle w:val="null3"/>
              <w:jc w:val="left"/>
            </w:pPr>
            <w:r>
              <w:rPr>
                <w:rFonts w:ascii="仿宋_GB2312" w:hAnsi="仿宋_GB2312" w:cs="仿宋_GB2312" w:eastAsia="仿宋_GB2312"/>
              </w:rPr>
              <w:t xml:space="preserve"> 交付地点</w:t>
            </w:r>
          </w:p>
        </w:tc>
        <w:tc>
          <w:tcPr>
            <w:tcW w:type="dxa" w:w="593"/>
          </w:tcPr>
          <w:p>
            <w:pPr>
              <w:pStyle w:val="null3"/>
              <w:jc w:val="left"/>
            </w:pPr>
            <w:r>
              <w:rPr>
                <w:rFonts w:ascii="仿宋_GB2312" w:hAnsi="仿宋_GB2312" w:cs="仿宋_GB2312" w:eastAsia="仿宋_GB2312"/>
              </w:rPr>
              <w:t xml:space="preserve"> 投标文件有效期</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前端感知设备采购</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批</w:t>
            </w:r>
          </w:p>
        </w:tc>
        <w:tc>
          <w:tcPr>
            <w:tcW w:type="dxa" w:w="593"/>
          </w:tcPr>
          <w:p>
            <w:pPr>
              <w:pStyle w:val="null3"/>
              <w:jc w:val="left"/>
            </w:pPr>
            <w:r>
              <w:rPr>
                <w:rFonts w:ascii="仿宋_GB2312" w:hAnsi="仿宋_GB2312" w:cs="仿宋_GB2312" w:eastAsia="仿宋_GB2312"/>
              </w:rPr>
              <w:t xml:space="preserve"> 3767400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签订合同后2个月内</w:t>
            </w:r>
          </w:p>
        </w:tc>
        <w:tc>
          <w:tcPr>
            <w:tcW w:type="dxa" w:w="593"/>
          </w:tcPr>
          <w:p>
            <w:pPr>
              <w:pStyle w:val="null3"/>
              <w:jc w:val="left"/>
            </w:pPr>
            <w:r>
              <w:rPr>
                <w:rFonts w:ascii="仿宋_GB2312" w:hAnsi="仿宋_GB2312" w:cs="仿宋_GB2312" w:eastAsia="仿宋_GB2312"/>
              </w:rPr>
              <w:t xml:space="preserve"> 招标人指定地点</w:t>
            </w:r>
          </w:p>
        </w:tc>
        <w:tc>
          <w:tcPr>
            <w:tcW w:type="dxa" w:w="593"/>
          </w:tcPr>
          <w:p>
            <w:pPr>
              <w:pStyle w:val="null3"/>
              <w:jc w:val="left"/>
            </w:pPr>
            <w:r>
              <w:rPr>
                <w:rFonts w:ascii="仿宋_GB2312" w:hAnsi="仿宋_GB2312" w:cs="仿宋_GB2312" w:eastAsia="仿宋_GB2312"/>
              </w:rPr>
              <w:t xml:space="preserve"> 90天</w:t>
            </w:r>
          </w:p>
        </w:tc>
        <w:tc>
          <w:tcPr>
            <w:tcW w:type="dxa" w:w="593"/>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本项目的2个核心产品的产地、品牌和规格须在一览表中填写</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