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文昌市公安司法鉴定中心DNA实验室更换设备项目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HNBD2024028</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文昌市公安局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海南保达工程管理有限公司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文昌市公安局</w:t>
      </w:r>
      <w:r>
        <w:rPr>
          <w:rFonts w:ascii="仿宋_GB2312" w:hAnsi="仿宋_GB2312" w:cs="仿宋_GB2312" w:eastAsia="仿宋_GB2312"/>
        </w:rPr>
        <w:t xml:space="preserve"> 的委托， </w:t>
      </w:r>
      <w:r>
        <w:rPr>
          <w:rFonts w:ascii="仿宋_GB2312" w:hAnsi="仿宋_GB2312" w:cs="仿宋_GB2312" w:eastAsia="仿宋_GB2312"/>
        </w:rPr>
        <w:t>海南保达工程管理有限公司</w:t>
      </w:r>
      <w:r>
        <w:rPr>
          <w:rFonts w:ascii="仿宋_GB2312" w:hAnsi="仿宋_GB2312" w:cs="仿宋_GB2312" w:eastAsia="仿宋_GB2312"/>
        </w:rPr>
        <w:t xml:space="preserve"> 对 </w:t>
      </w:r>
      <w:r>
        <w:rPr>
          <w:rFonts w:ascii="仿宋_GB2312" w:hAnsi="仿宋_GB2312" w:cs="仿宋_GB2312" w:eastAsia="仿宋_GB2312"/>
        </w:rPr>
        <w:t>文昌市公安司法鉴定中心DNA实验室更换设备项目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HNBD2024028</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文昌市公安司法鉴定中心DNA实验室更换设备项目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3,988,000.00元</w:t>
      </w:r>
      <w:r>
        <w:rPr>
          <w:rFonts w:ascii="仿宋_GB2312" w:hAnsi="仿宋_GB2312" w:cs="仿宋_GB2312" w:eastAsia="仿宋_GB2312"/>
        </w:rPr>
        <w:t>叁佰玖拾捌万捌仟元整</w:t>
      </w:r>
    </w:p>
    <w:p>
      <w:pPr>
        <w:pStyle w:val="null3"/>
        <w:ind w:firstLine="480"/>
        <w:jc w:val="left"/>
      </w:pPr>
      <w:r>
        <w:rPr>
          <w:rFonts w:ascii="仿宋_GB2312" w:hAnsi="仿宋_GB2312" w:cs="仿宋_GB2312" w:eastAsia="仿宋_GB2312"/>
        </w:rPr>
        <w:t xml:space="preserve">5.最高限价（如有）： </w:t>
      </w:r>
      <w:r>
        <w:rPr>
          <w:rFonts w:ascii="仿宋_GB2312" w:hAnsi="仿宋_GB2312" w:cs="仿宋_GB2312" w:eastAsia="仿宋_GB2312"/>
        </w:rPr>
        <w:t>3,988,000.00元</w:t>
      </w:r>
    </w:p>
    <w:p>
      <w:pPr>
        <w:pStyle w:val="null3"/>
        <w:ind w:firstLine="480"/>
        <w:jc w:val="left"/>
      </w:pPr>
      <w:r>
        <w:rPr>
          <w:rFonts w:ascii="仿宋_GB2312" w:hAnsi="仿宋_GB2312" w:cs="仿宋_GB2312" w:eastAsia="仿宋_GB2312"/>
        </w:rPr>
        <w:t>6.采购需求：详见“第三章 采购需求 ”</w:t>
      </w:r>
    </w:p>
    <w:p>
      <w:pPr>
        <w:pStyle w:val="null3"/>
        <w:ind w:firstLine="480"/>
        <w:jc w:val="left"/>
      </w:pPr>
      <w:r>
        <w:rPr>
          <w:rFonts w:ascii="仿宋_GB2312" w:hAnsi="仿宋_GB2312" w:cs="仿宋_GB2312" w:eastAsia="仿宋_GB2312"/>
        </w:rPr>
        <w:t>7.合同履行期限：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中标人应在合同签订日后，如①国产仪器设备应在60日历天内；②进口仪器设备应在90日历天内； 全部到位并完成安装调试及投入运营使用</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网址https://ccgphainan.gov.cn/maincms-web/)。关于本项目采购文件的补遗、澄清及变更信息以上述网站公告为准，代理机构不再另行通知，采购文件与更正公告的内容相互矛盾时，以最后发出的更正公告内容为准。 2、投标人须在海南政府采购网(https://ccgp-hainan.gov.cn/maincms-web/)中的海南省政府采购智慧云平台进行注册并完善信息，然后下载参与投标项目电子招标文件（数据包）及其他文件；3、电子标（招标文件数据包后缀名.wtbwj）:必须使用投标工具（帮助中心下载）制作电子版的投标文件， 并使用数字证书（https://www.yuque.com/haonan123/bzzx /ugmn1f）进行签字和加密，投标截至时间前，必须登录系统上传加密的电子投标文件（后缀名. wenc）,开标前必须进入电子开标大厅在线签到（未签到视为无效投标）； 4、非电子标：按照招标文件要求进行线下办理投标业务； 注意事项：电子标采用全程电子化操作，供应商应详细阅读海南政府采购网的通知《海南省财政厅关于进一步推进政府采购全流程电子化的通知》，供应商使用交易系统遇到问题可致电技术支持：0898-66220881/0898-66220882。</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文昌市公安局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海南省文昌市文城镇文清大道307号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伍先生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0898-65351003</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海南保达工程管理有限公司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海南省海口市琼山区红城湖路高路华小区3栋1302房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0898-65359322　</w:t>
      </w:r>
    </w:p>
    <w:p>
      <w:pPr>
        <w:pStyle w:val="null3"/>
        <w:jc w:val="left"/>
        <w:outlineLvl w:val="2"/>
      </w:pPr>
      <w:r>
        <w:rPr>
          <w:rFonts w:ascii="仿宋_GB2312" w:hAnsi="仿宋_GB2312" w:cs="仿宋_GB2312" w:eastAsia="仿宋_GB2312"/>
          <w:sz w:val="28"/>
          <w:b/>
        </w:rPr>
        <w:t>九、采购信息发布媒体：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采购包1：3,988,000.00元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说明：中标人提供由国内金融机构开立合同总价5%的等额质量保函原件或电子保单或银行转账等。</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自响应文件开启之日起60日历天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以预算金额为计费基数，参考原国家计委颁发的《招标代理服务收费管理暂行办法》（计价格[2002]1980号）和国家发改委办公厅颁发的《国家发改委关于招标代理服务收费有关问题的通知》（发改办价格[2003]857号）的规定标准收取本项目采购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1、技术方案部分方案编制应按照正常文本书写，不应把字体间距放大或缩小等，页数不得超过400页，超出此页数会对方案评审有影响，其后果由供应商自行承担。 2、中标单位（成交供应商）在领取成交通知书时提供正本 1 份、副本 2 份的纸质版响应文件用于资料汇总。 3、本项目为线上不见面开评标，各供应商无需到开标现场，根据文件要求按时登录系统进行操作。</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联系人：周工</w:t>
      </w:r>
    </w:p>
    <w:p>
      <w:pPr>
        <w:pStyle w:val="null3"/>
        <w:jc w:val="left"/>
      </w:pPr>
      <w:r>
        <w:rPr>
          <w:rFonts w:ascii="仿宋_GB2312" w:hAnsi="仿宋_GB2312" w:cs="仿宋_GB2312" w:eastAsia="仿宋_GB2312"/>
        </w:rPr>
        <w:t>联系电话：0898-65359322</w:t>
      </w:r>
    </w:p>
    <w:p>
      <w:pPr>
        <w:pStyle w:val="null3"/>
        <w:jc w:val="left"/>
      </w:pPr>
      <w:r>
        <w:rPr>
          <w:rFonts w:ascii="仿宋_GB2312" w:hAnsi="仿宋_GB2312" w:cs="仿宋_GB2312" w:eastAsia="仿宋_GB2312"/>
        </w:rPr>
        <w:t>地址：海南省海口市琼山区红城湖路高路华小区3栋1302房</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1、</w:t>
      </w:r>
      <w:r>
        <w:rPr>
          <w:rFonts w:ascii="仿宋_GB2312" w:hAnsi="仿宋_GB2312" w:cs="仿宋_GB2312" w:eastAsia="仿宋_GB2312"/>
          <w:sz w:val="24"/>
        </w:rPr>
        <w:t>项目名称：文昌市公安局司法鉴定中心DNA实验室更换设备项目；</w:t>
      </w:r>
    </w:p>
    <w:p>
      <w:pPr>
        <w:pStyle w:val="null3"/>
        <w:jc w:val="left"/>
      </w:pPr>
      <w:r>
        <w:rPr>
          <w:rFonts w:ascii="仿宋_GB2312" w:hAnsi="仿宋_GB2312" w:cs="仿宋_GB2312" w:eastAsia="仿宋_GB2312"/>
        </w:rPr>
        <w:t>2、</w:t>
      </w:r>
      <w:r>
        <w:rPr>
          <w:rFonts w:ascii="仿宋_GB2312" w:hAnsi="仿宋_GB2312" w:cs="仿宋_GB2312" w:eastAsia="仿宋_GB2312"/>
          <w:sz w:val="24"/>
        </w:rPr>
        <w:t>项目编号：HNBD2024029；</w:t>
      </w:r>
    </w:p>
    <w:p>
      <w:pPr>
        <w:pStyle w:val="null3"/>
        <w:jc w:val="left"/>
      </w:pPr>
      <w:r>
        <w:rPr>
          <w:rFonts w:ascii="仿宋_GB2312" w:hAnsi="仿宋_GB2312" w:cs="仿宋_GB2312" w:eastAsia="仿宋_GB2312"/>
        </w:rPr>
        <w:t>3、</w:t>
      </w:r>
      <w:r>
        <w:rPr>
          <w:rFonts w:ascii="仿宋_GB2312" w:hAnsi="仿宋_GB2312" w:cs="仿宋_GB2312" w:eastAsia="仿宋_GB2312"/>
          <w:sz w:val="24"/>
        </w:rPr>
        <w:t>采购方式：竞争性磋商；</w:t>
      </w:r>
    </w:p>
    <w:p>
      <w:pPr>
        <w:pStyle w:val="null3"/>
        <w:jc w:val="left"/>
      </w:pPr>
      <w:r>
        <w:rPr>
          <w:rFonts w:ascii="仿宋_GB2312" w:hAnsi="仿宋_GB2312" w:cs="仿宋_GB2312" w:eastAsia="仿宋_GB2312"/>
          <w:sz w:val="24"/>
        </w:rPr>
        <w:t>4、最高限价：3988000.00元，投标报价超过最高限价视为无效报价</w:t>
      </w:r>
    </w:p>
    <w:p>
      <w:pPr>
        <w:pStyle w:val="null3"/>
        <w:jc w:val="left"/>
      </w:pPr>
      <w:r>
        <w:rPr>
          <w:rFonts w:ascii="仿宋_GB2312" w:hAnsi="仿宋_GB2312" w:cs="仿宋_GB2312" w:eastAsia="仿宋_GB2312"/>
        </w:rPr>
        <w:t>5、</w:t>
      </w:r>
      <w:r>
        <w:rPr>
          <w:rFonts w:ascii="仿宋_GB2312" w:hAnsi="仿宋_GB2312" w:cs="仿宋_GB2312" w:eastAsia="仿宋_GB2312"/>
          <w:sz w:val="24"/>
        </w:rPr>
        <w:t>采购需求：遗传分析仪、遗传分析软件、PCR扩增仪、快速PCR扩增仪、平板离心机、恒温混匀仪、微型离心机、不间断电源；</w:t>
      </w:r>
    </w:p>
    <w:p>
      <w:pPr>
        <w:pStyle w:val="null3"/>
        <w:jc w:val="left"/>
      </w:pPr>
      <w:r>
        <w:rPr>
          <w:rFonts w:ascii="仿宋_GB2312" w:hAnsi="仿宋_GB2312" w:cs="仿宋_GB2312" w:eastAsia="仿宋_GB2312"/>
        </w:rPr>
        <w:t>6、</w:t>
      </w:r>
      <w:r>
        <w:rPr>
          <w:rFonts w:ascii="仿宋_GB2312" w:hAnsi="仿宋_GB2312" w:cs="仿宋_GB2312" w:eastAsia="仿宋_GB2312"/>
          <w:sz w:val="24"/>
        </w:rPr>
        <w:t>合同履行期限（服务期）： 中标人应在合同签订日后，如①国产仪器设备应在60日历天内；②进口仪器设备应在90日历天内； 全部到位并完成安装调试及投入运营使用；</w:t>
      </w:r>
    </w:p>
    <w:p>
      <w:pPr>
        <w:pStyle w:val="null3"/>
        <w:jc w:val="left"/>
      </w:pPr>
      <w:r>
        <w:rPr>
          <w:rFonts w:ascii="仿宋_GB2312" w:hAnsi="仿宋_GB2312" w:cs="仿宋_GB2312" w:eastAsia="仿宋_GB2312"/>
        </w:rPr>
        <w:t>7、</w:t>
      </w:r>
      <w:r>
        <w:rPr>
          <w:rFonts w:ascii="仿宋_GB2312" w:hAnsi="仿宋_GB2312" w:cs="仿宋_GB2312" w:eastAsia="仿宋_GB2312"/>
          <w:sz w:val="24"/>
        </w:rPr>
        <w:t>交货地点：中标人应在规定时间内，按采购单位提供指定装配地址，将仪器设备配送至目的地完成装配调试并交付使用；</w:t>
      </w:r>
    </w:p>
    <w:p>
      <w:pPr>
        <w:pStyle w:val="null3"/>
        <w:jc w:val="left"/>
      </w:pPr>
      <w:r>
        <w:rPr>
          <w:rFonts w:ascii="仿宋_GB2312" w:hAnsi="仿宋_GB2312" w:cs="仿宋_GB2312" w:eastAsia="仿宋_GB2312"/>
        </w:rPr>
        <w:t>8、质量标准：符合国家、省级及行业合格标准。</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3,988,000.00</w:t>
      </w:r>
    </w:p>
    <w:p>
      <w:pPr>
        <w:pStyle w:val="null3"/>
        <w:jc w:val="left"/>
      </w:pPr>
      <w:r>
        <w:rPr>
          <w:rFonts w:ascii="仿宋_GB2312" w:hAnsi="仿宋_GB2312" w:cs="仿宋_GB2312" w:eastAsia="仿宋_GB2312"/>
        </w:rPr>
        <w:t>采购包最高限价（元）: 3,988,000.00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文昌市公安局司法鉴定中心DNA实验室更换设备项目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3,988,000.00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A02370300-物证检验鉴定设备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3,988,000.00</w:t>
            </w:r>
          </w:p>
        </w:tc>
        <w:tc>
          <w:tcPr>
            <w:tcW w:type="dxa" w:w="1384"/>
          </w:tcPr>
          <w:p>
            <w:pPr>
              <w:pStyle w:val="null3"/>
              <w:jc w:val="left"/>
            </w:pPr>
            <w:r>
              <w:rPr>
                <w:rFonts w:ascii="仿宋_GB2312" w:hAnsi="仿宋_GB2312" w:cs="仿宋_GB2312" w:eastAsia="仿宋_GB2312"/>
              </w:rPr>
              <w:t>总价</w:t>
            </w:r>
          </w:p>
        </w:tc>
        <w:tc>
          <w:tcPr>
            <w:tcW w:type="dxa" w:w="1038"/>
          </w:tcP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标的名称：文昌市公安局司法鉴定中心DNA实验室更换设备项目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6"/>
              <w:gridCol w:w="2056"/>
              <w:gridCol w:w="290"/>
            </w:tblGrid>
            <w:tr>
              <w:tc>
                <w:tcPr>
                  <w:tcW w:type="dxa" w:w="20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名称</w:t>
                  </w:r>
                </w:p>
              </w:tc>
              <w:tc>
                <w:tcPr>
                  <w:tcW w:type="dxa" w:w="20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技术参数</w:t>
                  </w:r>
                </w:p>
              </w:tc>
              <w:tc>
                <w:tcPr>
                  <w:tcW w:type="dxa" w:w="29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备注</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遗传分析仪：</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▲1、24泳道毛细管的全自动电泳系统，分辨率范围：1bp。在检测400bp以内的DNA片段，平均测量精度≤0.15。（需提供第三方检测报告和官网截图、产品彩页等相关证明材料。）</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、先进的导热系统设计：动态温度控制至少从18℃到65℃，满足DNA片段分析时对温度控制的严格要求。激光光源：长寿命、波长505nm，固态激光激发源——采用标准电源供电，无需散热。</w:t>
                  </w:r>
                </w:p>
                <w:p>
                  <w:pPr>
                    <w:pStyle w:val="null3"/>
                    <w:jc w:val="left"/>
                  </w:pPr>
                  <w:r>
                    <w:rPr>
                      <w:rFonts w:ascii="仿宋_GB2312" w:hAnsi="仿宋_GB2312" w:cs="仿宋_GB2312" w:eastAsia="仿宋_GB2312"/>
                      <w:sz w:val="24"/>
                    </w:rPr>
                    <w:t>★3、基因分析仪内置一体式触摸屏计算机，无需额外的计算机，在仪器上触控操作。（需提供相应官网截图和彩页等相关证明材料。）</w:t>
                  </w:r>
                </w:p>
                <w:p>
                  <w:pPr>
                    <w:pStyle w:val="null3"/>
                    <w:jc w:val="left"/>
                  </w:pPr>
                  <w:r>
                    <w:rPr>
                      <w:rFonts w:ascii="仿宋_GB2312" w:hAnsi="仿宋_GB2312" w:cs="仿宋_GB2312" w:eastAsia="仿宋_GB2312"/>
                      <w:sz w:val="24"/>
                    </w:rPr>
                    <w:t>▲4、基因分析仪具备多色荧光分析能力：最多可支持检测8种不同的荧光染料。且支持无线射频识别（RFID）技术：为保证数据质量，该设备所使用的专用耗材为预包装，且支持无线射频识别（RFID）技术，能追踪关键消耗品数据并记录管理信息。（需提供官网截图、产品彩页等相关证明材料。）</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、两种长度的毛细管支持多种应用及运行方式：36cm，50cm。测序长度：选择合适的胶，检测长度可以超过850bp。</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、以HID36cm-POP4为例，平均一次电泳运行时间≤32分钟，24通道机型每天可以处理≥1035个样品。</w:t>
                  </w:r>
                </w:p>
                <w:p>
                  <w:pPr>
                    <w:pStyle w:val="null3"/>
                    <w:jc w:val="left"/>
                  </w:pPr>
                  <w:r>
                    <w:rPr>
                      <w:rFonts w:ascii="仿宋_GB2312" w:hAnsi="仿宋_GB2312" w:cs="仿宋_GB2312" w:eastAsia="仿宋_GB2312"/>
                      <w:sz w:val="24"/>
                    </w:rPr>
                    <w:t>▲7、基因分析仪单次可容纳≥4块样品版，支持样品盘规格：96孔（普通板或快速板)并兼容384孔样品盘，也可使用8联管（标准管或快速管）；（需提供第三方检测报告和官网截图、产品彩页等相关证明材料。）</w:t>
                  </w:r>
                </w:p>
                <w:p>
                  <w:pPr>
                    <w:pStyle w:val="null3"/>
                    <w:jc w:val="left"/>
                  </w:pPr>
                  <w:r>
                    <w:rPr>
                      <w:rFonts w:ascii="仿宋_GB2312" w:hAnsi="仿宋_GB2312" w:cs="仿宋_GB2312" w:eastAsia="仿宋_GB2312"/>
                      <w:sz w:val="24"/>
                    </w:rPr>
                    <w:t>★8、基因分析仪能够同时支持sanger测序、片段分析等功能，以满足法医身份鉴定应用的不同需求；需提供相关证明材料。</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配置的最新版本法医专用分析软件：是一个专为人类个人识别，包括刑侦案件、DNA数据库和亲权鉴定所设计的自动基因型分析软件，极大优化了DNA数据分析流程，提高分析可靠性和效率，降低分析所耗用的时间，需提供官网截图或产品彩页等相关证明材料。</w:t>
                  </w:r>
                </w:p>
                <w:p>
                  <w:pPr>
                    <w:pStyle w:val="null3"/>
                    <w:jc w:val="left"/>
                  </w:pPr>
                  <w:r>
                    <w:rPr>
                      <w:rFonts w:ascii="仿宋_GB2312" w:hAnsi="仿宋_GB2312" w:cs="仿宋_GB2312" w:eastAsia="仿宋_GB2312"/>
                      <w:sz w:val="24"/>
                    </w:rPr>
                    <w:t>▲10、制造商可提供选配同品牌的其他分析软件，包括但不限于：序列扫描软件、质量检查(QC)模块、变异分析(VA)软件、二代测序确认(NGC)模块、SeqScape软件、微卫星分析(MSA)软件、分析模块峰扫描(PS)软件、微生物鉴定软件等分析应用。（需提供相关证明资料并加盖制造商公章。）</w:t>
                  </w:r>
                </w:p>
                <w:p>
                  <w:pPr>
                    <w:pStyle w:val="null3"/>
                    <w:jc w:val="left"/>
                  </w:pPr>
                  <w:r>
                    <w:rPr>
                      <w:rFonts w:ascii="仿宋_GB2312" w:hAnsi="仿宋_GB2312" w:cs="仿宋_GB2312" w:eastAsia="仿宋_GB2312"/>
                      <w:sz w:val="24"/>
                    </w:rPr>
                    <w:t>▲11、制造商可提供同品牌配套25位点常STR试剂盒、41位点Y-STR试剂盒和9位点Mini试剂盒等多种法医DNA个体识别试剂盒，并经过严格验证，且相应试剂盒名称收录在由公安部发布的《质检合格的产品及制造商名录》中，可用于普通案件、DNA数据库及亲权鉴定。（需提供相关试剂盒彩页及其他证明材料并加盖制造商公章。）</w:t>
                  </w:r>
                </w:p>
                <w:p>
                  <w:pPr>
                    <w:pStyle w:val="null3"/>
                    <w:jc w:val="left"/>
                  </w:pPr>
                  <w:r>
                    <w:rPr>
                      <w:rFonts w:ascii="仿宋_GB2312" w:hAnsi="仿宋_GB2312" w:cs="仿宋_GB2312" w:eastAsia="仿宋_GB2312"/>
                      <w:sz w:val="24"/>
                    </w:rPr>
                    <w:t>▲12、该基因分析系统的仪器、配套试剂盒、专用分析软件，均通过SWGDAM/DAB开发性验证，可进行法医DNA实验室日常案件及构建DNA数据库；（需提供相关证明材料并加盖制造商公章。）</w:t>
                  </w:r>
                </w:p>
                <w:p>
                  <w:pPr>
                    <w:pStyle w:val="null3"/>
                    <w:jc w:val="left"/>
                  </w:pPr>
                  <w:r>
                    <w:rPr>
                      <w:rFonts w:ascii="仿宋_GB2312" w:hAnsi="仿宋_GB2312" w:cs="仿宋_GB2312" w:eastAsia="仿宋_GB2312"/>
                      <w:sz w:val="24"/>
                    </w:rPr>
                    <w:t>13</w:t>
                  </w:r>
                  <w:r>
                    <w:rPr>
                      <w:rFonts w:ascii="仿宋_GB2312" w:hAnsi="仿宋_GB2312" w:cs="仿宋_GB2312" w:eastAsia="仿宋_GB2312"/>
                      <w:sz w:val="24"/>
                    </w:rPr>
                    <w:t>、可进行大规模SNP的系列研究，24小时可进行3万个SNP分析。（提供相关证明文件。）</w:t>
                  </w:r>
                </w:p>
                <w:p>
                  <w:pPr>
                    <w:pStyle w:val="null3"/>
                    <w:jc w:val="left"/>
                  </w:pPr>
                  <w:r>
                    <w:rPr>
                      <w:rFonts w:ascii="仿宋_GB2312" w:hAnsi="仿宋_GB2312" w:cs="仿宋_GB2312" w:eastAsia="仿宋_GB2312"/>
                      <w:sz w:val="24"/>
                    </w:rPr>
                    <w:t>▲14、制造商经过严格的ISO18385和ISO13485质量认证，经过这两个认证的产品才能保证无人源性DNA污染，并保证数据的准确性和可靠性。（需提供证书复印件并加盖制造商公章。）</w:t>
                  </w:r>
                </w:p>
                <w:p>
                  <w:pPr>
                    <w:pStyle w:val="null3"/>
                    <w:jc w:val="left"/>
                  </w:pPr>
                  <w:r>
                    <w:rPr>
                      <w:rFonts w:ascii="仿宋_GB2312" w:hAnsi="仿宋_GB2312" w:cs="仿宋_GB2312" w:eastAsia="仿宋_GB2312"/>
                      <w:sz w:val="24"/>
                    </w:rPr>
                    <w:t>★15、为保证产品质量和售后服务，质量保证期：2年；为保障产品质量，售后服务由制造商直接负责。（须提供制造商出具的针对此项目的授权书或授权代理商的授权书和售后服务承诺书并加盖制造商公章。）</w:t>
                  </w:r>
                </w:p>
                <w:p>
                  <w:pPr>
                    <w:pStyle w:val="null3"/>
                    <w:jc w:val="left"/>
                  </w:pPr>
                  <w:r>
                    <w:rPr>
                      <w:rFonts w:ascii="仿宋_GB2312" w:hAnsi="仿宋_GB2312" w:cs="仿宋_GB2312" w:eastAsia="仿宋_GB2312"/>
                      <w:sz w:val="24"/>
                    </w:rPr>
                    <w:t>▲16、内置计算机及其功能：（需提供彩页及官网截图、第三方检测报告等相关材料证明，并加盖制造商公章。）</w:t>
                  </w:r>
                </w:p>
                <w:p>
                  <w:pPr>
                    <w:pStyle w:val="null3"/>
                    <w:jc w:val="left"/>
                  </w:pPr>
                  <w:r>
                    <w:rPr>
                      <w:rFonts w:ascii="仿宋_GB2312" w:hAnsi="仿宋_GB2312" w:cs="仿宋_GB2312" w:eastAsia="仿宋_GB2312"/>
                      <w:sz w:val="24"/>
                    </w:rPr>
                    <w:t>仪器可无需额外连接计算机，以自主模式运行，内置带触摸屏的一体化操作计算机，配置至少512GB固态硬盘；</w:t>
                  </w:r>
                </w:p>
                <w:p>
                  <w:pPr>
                    <w:pStyle w:val="null3"/>
                    <w:jc w:val="left"/>
                  </w:pPr>
                  <w:r>
                    <w:rPr>
                      <w:rFonts w:ascii="仿宋_GB2312" w:hAnsi="仿宋_GB2312" w:cs="仿宋_GB2312" w:eastAsia="仿宋_GB2312"/>
                      <w:sz w:val="24"/>
                    </w:rPr>
                    <w:t>专为各种经验水平的用户设计-简单的一键式启动、自动校准功能，屏幕上分布显示日常维护指南，内置自助培训视频。</w:t>
                  </w:r>
                </w:p>
                <w:p>
                  <w:pPr>
                    <w:pStyle w:val="null3"/>
                    <w:jc w:val="left"/>
                  </w:pPr>
                  <w:r>
                    <w:rPr>
                      <w:rFonts w:ascii="仿宋_GB2312" w:hAnsi="仿宋_GB2312" w:cs="仿宋_GB2312" w:eastAsia="仿宋_GB2312"/>
                      <w:sz w:val="24"/>
                    </w:rPr>
                    <w:t>支持远程故障排除功能，从而快速解决问题；</w:t>
                  </w:r>
                </w:p>
                <w:p>
                  <w:pPr>
                    <w:pStyle w:val="null3"/>
                    <w:jc w:val="left"/>
                  </w:pPr>
                  <w:r>
                    <w:rPr>
                      <w:rFonts w:ascii="仿宋_GB2312" w:hAnsi="仿宋_GB2312" w:cs="仿宋_GB2312" w:eastAsia="仿宋_GB2312"/>
                      <w:sz w:val="24"/>
                    </w:rPr>
                    <w:t>支持云功能链接平台。</w:t>
                  </w:r>
                </w:p>
                <w:p>
                  <w:pPr>
                    <w:pStyle w:val="null3"/>
                    <w:jc w:val="left"/>
                  </w:pPr>
                  <w:r>
                    <w:rPr>
                      <w:rFonts w:ascii="仿宋_GB2312" w:hAnsi="仿宋_GB2312" w:cs="仿宋_GB2312" w:eastAsia="仿宋_GB2312"/>
                      <w:sz w:val="24"/>
                    </w:rPr>
                    <w:t>▲17、设备支持自动光谱校准功能，设备更换毛细管阵列后，无需进行光谱校准；遗传分析仪支持每次进样时，收集样品的光谱数据，对各个毛细管自动执行自动光谱校准功能，优化并更新荧光染料矩阵。同时能利用样本特定的光谱数据来减少拔起峰(pull-up)。另外可选配安全、审计和电子签名(SAE)软件模块，实现可追溯性和数据安全性。（需提供第三方检测报告和官网截图、产品彩页等相关证明材料。）</w:t>
                  </w:r>
                </w:p>
                <w:p>
                  <w:pPr>
                    <w:pStyle w:val="null3"/>
                    <w:jc w:val="both"/>
                  </w:pPr>
                  <w:r>
                    <w:rPr>
                      <w:rFonts w:ascii="仿宋_GB2312" w:hAnsi="仿宋_GB2312" w:cs="仿宋_GB2312" w:eastAsia="仿宋_GB2312"/>
                      <w:sz w:val="24"/>
                    </w:rPr>
                    <w:t>18</w:t>
                  </w:r>
                  <w:r>
                    <w:rPr>
                      <w:rFonts w:ascii="仿宋_GB2312" w:hAnsi="仿宋_GB2312" w:cs="仿宋_GB2312" w:eastAsia="仿宋_GB2312"/>
                      <w:sz w:val="24"/>
                    </w:rPr>
                    <w:t>、(SAE)软件模块为：Security：提供用户管理以及在发生某些安全事件时设置提醒的功能；Audit：跟踪对库项目所做的更改、用户执行的操作以及对SAE设置的更改；E-Signature：确定是否允许用户、提示用户或在执行某些操作时需要提供用户名和密码。</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核心产品、允许进口</w:t>
                  </w:r>
                </w:p>
              </w:tc>
            </w:tr>
          </w:tbl>
          <w:p>
            <w:pPr>
              <w:pStyle w:val="null3"/>
              <w:jc w:val="both"/>
            </w:pP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6"/>
              <w:gridCol w:w="2056"/>
              <w:gridCol w:w="290"/>
            </w:tblGrid>
            <w:tr>
              <w:tc>
                <w:tcPr>
                  <w:tcW w:type="dxa" w:w="20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名称</w:t>
                  </w:r>
                </w:p>
              </w:tc>
              <w:tc>
                <w:tcPr>
                  <w:tcW w:type="dxa" w:w="20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技术参数</w:t>
                  </w:r>
                </w:p>
              </w:tc>
              <w:tc>
                <w:tcPr>
                  <w:tcW w:type="dxa" w:w="29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备注</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遗传分析软件：</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该分析软件能同时支持3130系列、3500系列和SeqStudioFlex系列基因分析仪生成的数据，需为最新版本，需提供相关证明材料。为保证数据准确，软件需通过SWGDAM/DAB开发性验证，可用于法庭科学。（需提供产品彩页和官网截图等相关证明材料并加盖制造商公章。）</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、软件需支持：自动保存、等位基因特异性影子峰、遗传标志特异性滤波器、光谱拔起峰（pull-up）滤波器、叠加影子峰（stutter）功能。（需提供软件截图或产品彩页等相关证明资料并加盖制造商公章。）</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所提供分析软件：支持多项目组打开，方便多组数据之间对比查看；支持多图谱同时浏览，方便多个图谱比较；图谱编辑功能：支持添加文本框，方便对图谱进行标注；（需提供对应功能的软件截图和产品彩页等相关证明资料并加盖制造商公章。）</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、为保障产品质量，售后服务由制造商直接负责。（须提供制造商出具的针对此项目的授权书或授权代理商的授权书和售后服务承诺书并加盖制造商公章。）</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6"/>
              <w:gridCol w:w="2056"/>
              <w:gridCol w:w="290"/>
            </w:tblGrid>
            <w:tr>
              <w:tc>
                <w:tcPr>
                  <w:tcW w:type="dxa" w:w="20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名称</w:t>
                  </w:r>
                </w:p>
              </w:tc>
              <w:tc>
                <w:tcPr>
                  <w:tcW w:type="dxa" w:w="20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技术参数</w:t>
                  </w:r>
                </w:p>
              </w:tc>
              <w:tc>
                <w:tcPr>
                  <w:tcW w:type="dxa" w:w="29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备注</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PCR</w:t>
                  </w:r>
                  <w:r>
                    <w:rPr>
                      <w:rFonts w:ascii="仿宋_GB2312" w:hAnsi="仿宋_GB2312" w:cs="仿宋_GB2312" w:eastAsia="仿宋_GB2312"/>
                      <w:sz w:val="24"/>
                      <w:b/>
                    </w:rPr>
                    <w:t>扩增仪：</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、加热模块：支持至少4种加热模块，3×32孔独立模块，优于梯度的VeriFlex96孔模块，双96孔高通量模块以及可以用于数字芯片的双槽式模块，可自由更换模块；（需提供相关证明材料）</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、3×32孔独立模块：可同时运行3个独立的实验，每个模块分为2个温控区域；（需提供相关证明材料）</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、样品模块配置：（需提供相关证明材料）</w:t>
                  </w:r>
                </w:p>
                <w:p>
                  <w:pPr>
                    <w:pStyle w:val="null3"/>
                    <w:jc w:val="left"/>
                  </w:pPr>
                  <w:r>
                    <w:rPr>
                      <w:rFonts w:ascii="仿宋_GB2312" w:hAnsi="仿宋_GB2312" w:cs="仿宋_GB2312" w:eastAsia="仿宋_GB2312"/>
                      <w:sz w:val="24"/>
                    </w:rPr>
                    <w:t>样品通量：支持0.2ml单管、八联管，96孔模块还可支持0.2ml96孔板；</w:t>
                  </w:r>
                </w:p>
                <w:p>
                  <w:pPr>
                    <w:pStyle w:val="null3"/>
                    <w:jc w:val="left"/>
                  </w:pPr>
                  <w:r>
                    <w:rPr>
                      <w:rFonts w:ascii="仿宋_GB2312" w:hAnsi="仿宋_GB2312" w:cs="仿宋_GB2312" w:eastAsia="仿宋_GB2312"/>
                      <w:sz w:val="24"/>
                    </w:rPr>
                    <w:t>PCR</w:t>
                  </w:r>
                  <w:r>
                    <w:rPr>
                      <w:rFonts w:ascii="仿宋_GB2312" w:hAnsi="仿宋_GB2312" w:cs="仿宋_GB2312" w:eastAsia="仿宋_GB2312"/>
                      <w:sz w:val="24"/>
                    </w:rPr>
                    <w:t>体积范围：最大10-100μl，其中双槽加热模块为33nL。温度范围：0℃-100.0℃；</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、加热模块最高升降温速率达6.0°C/秒，样品升降温速率达4.4℃/秒；温度准确度：±0.25°C（35-99.9°C）。重现性：任意温度达到时间误差小于5秒；（需提供相关证明材料）。</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、系统存储及功能：</w:t>
                  </w:r>
                </w:p>
                <w:p>
                  <w:pPr>
                    <w:pStyle w:val="null3"/>
                    <w:jc w:val="left"/>
                  </w:pPr>
                  <w:r>
                    <w:rPr>
                      <w:rFonts w:ascii="仿宋_GB2312" w:hAnsi="仿宋_GB2312" w:cs="仿宋_GB2312" w:eastAsia="仿宋_GB2312"/>
                      <w:sz w:val="24"/>
                    </w:rPr>
                    <w:t>存储能力：主机可储存PCR程序1000个，若使用U盘存储则无限制；自动断电保护，恢复供电后自动执行未完成循环；</w:t>
                  </w:r>
                </w:p>
                <w:p>
                  <w:pPr>
                    <w:pStyle w:val="null3"/>
                    <w:jc w:val="left"/>
                  </w:pPr>
                  <w:r>
                    <w:rPr>
                      <w:rFonts w:ascii="仿宋_GB2312" w:hAnsi="仿宋_GB2312" w:cs="仿宋_GB2312" w:eastAsia="仿宋_GB2312"/>
                      <w:sz w:val="24"/>
                    </w:rPr>
                    <w:t>软件功能：循环时间和温度自动延伸/自动下降；有时间日期显示；</w:t>
                  </w:r>
                </w:p>
                <w:p>
                  <w:pPr>
                    <w:pStyle w:val="null3"/>
                    <w:jc w:val="left"/>
                  </w:pPr>
                  <w:r>
                    <w:rPr>
                      <w:rFonts w:ascii="仿宋_GB2312" w:hAnsi="仿宋_GB2312" w:cs="仿宋_GB2312" w:eastAsia="仿宋_GB2312"/>
                      <w:sz w:val="24"/>
                    </w:rPr>
                    <w:t>具备用户自检程序：用户可常规运行多种诊断程序以检测仪器升降温速度和升降温精度。</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、无线连接，在任何地方都能通过手机实时监控仪器运行状态。具备热学模拟模式：简单准确地模拟市场上其他PCR仪的变温速率，实现无缝过渡。（需提供相关证明材料）</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、需通过SWGDAM/DAB开发性验证，可用于法庭科学，需提供相关证明材料并加盖制造商公章。</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、为保证产品质量和售后服务，售后服务由制造商直接负责，须提供制造商出具的针对此项目的代理商授权书和售后服务承诺书并加盖制造商公章</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核心产品、允许进口</w:t>
                  </w:r>
                </w:p>
              </w:tc>
            </w:tr>
          </w:tbl>
          <w:p>
            <w:pPr>
              <w:pStyle w:val="null3"/>
              <w:jc w:val="left"/>
            </w:pP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6"/>
              <w:gridCol w:w="2056"/>
              <w:gridCol w:w="290"/>
            </w:tblGrid>
            <w:tr>
              <w:tc>
                <w:tcPr>
                  <w:tcW w:type="dxa" w:w="20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名称</w:t>
                  </w:r>
                </w:p>
              </w:tc>
              <w:tc>
                <w:tcPr>
                  <w:tcW w:type="dxa" w:w="20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技术参数</w:t>
                  </w:r>
                </w:p>
              </w:tc>
              <w:tc>
                <w:tcPr>
                  <w:tcW w:type="dxa" w:w="29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备注</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快速PCR扩增仪：</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、加热块模式：0.2mL专用合金；反应孔特征：标准0.2mL形式和样品加热块。梯度控温：提供6个温控模块用于PCR优化一轮反应中同时运行6种退火温度。（需提供相关证明材料）</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、温控模块：（需提供相关证明材料）</w:t>
                  </w:r>
                </w:p>
                <w:p>
                  <w:pPr>
                    <w:pStyle w:val="null3"/>
                    <w:jc w:val="left"/>
                  </w:pPr>
                  <w:r>
                    <w:rPr>
                      <w:rFonts w:ascii="仿宋_GB2312" w:hAnsi="仿宋_GB2312" w:cs="仿宋_GB2312" w:eastAsia="仿宋_GB2312"/>
                      <w:sz w:val="24"/>
                    </w:rPr>
                    <w:t>VeriFlex</w:t>
                  </w:r>
                  <w:r>
                    <w:rPr>
                      <w:rFonts w:ascii="仿宋_GB2312" w:hAnsi="仿宋_GB2312" w:cs="仿宋_GB2312" w:eastAsia="仿宋_GB2312"/>
                      <w:sz w:val="24"/>
                    </w:rPr>
                    <w:t>温控模块范围：整个温控模块30°C，6个温度区（每个区最高10°C）。</w:t>
                  </w:r>
                </w:p>
                <w:p>
                  <w:pPr>
                    <w:pStyle w:val="null3"/>
                    <w:jc w:val="left"/>
                  </w:pPr>
                  <w:r>
                    <w:rPr>
                      <w:rFonts w:ascii="仿宋_GB2312" w:hAnsi="仿宋_GB2312" w:cs="仿宋_GB2312" w:eastAsia="仿宋_GB2312"/>
                      <w:sz w:val="24"/>
                    </w:rPr>
                    <w:t>PCR</w:t>
                  </w:r>
                  <w:r>
                    <w:rPr>
                      <w:rFonts w:ascii="仿宋_GB2312" w:hAnsi="仿宋_GB2312" w:cs="仿宋_GB2312" w:eastAsia="仿宋_GB2312"/>
                      <w:sz w:val="24"/>
                    </w:rPr>
                    <w:t>体积范围：10–100μL；加热模块最大升温速率：6℃/秒，样品最大升温速率：4.4℃/秒。</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、温度范围：0-100.0℃，温度精度：±0.25℃/秒(35-99℃)；温度均一性：＜0.5℃(到达95℃后30秒)；（需提供相关证明材料）</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仪器配有模拟模式的选项，模拟模式可使用户使用与其他热循环仪系统相同的升温速率运行仪器，便于仪器切换使用，确保实验程序的一致性。能兼容中央控制软件，使用热循环仪中央控制软件可以安全地管理多个仪器、用户和方法。（需提供相关证明材料）</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、需通过SWGDAM/DAB开发性验证，可用于法庭科学。（需提供相关证明材料并加盖制造商公章。）</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、为保证产品质量，（需提供制造商出具的针对本项目的代理授权书、售后服务承诺书并加盖制造商公章以保证原装进口产品。）</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核心产品、允许进口</w:t>
                  </w:r>
                </w:p>
              </w:tc>
            </w:tr>
          </w:tbl>
          <w:p>
            <w:pPr>
              <w:pStyle w:val="null3"/>
              <w:jc w:val="left"/>
            </w:pP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6"/>
              <w:gridCol w:w="2056"/>
              <w:gridCol w:w="290"/>
            </w:tblGrid>
            <w:tr>
              <w:tc>
                <w:tcPr>
                  <w:tcW w:type="dxa" w:w="20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名称</w:t>
                  </w:r>
                </w:p>
              </w:tc>
              <w:tc>
                <w:tcPr>
                  <w:tcW w:type="dxa" w:w="20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技术参数</w:t>
                  </w:r>
                </w:p>
              </w:tc>
              <w:tc>
                <w:tcPr>
                  <w:tcW w:type="dxa" w:w="29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备注</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平板离心机：</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、主机最高转速：≥16000rpm；主机最大离心力：≥24328×g；主</w:t>
                  </w:r>
                </w:p>
                <w:p>
                  <w:pPr>
                    <w:pStyle w:val="null3"/>
                    <w:jc w:val="both"/>
                  </w:pPr>
                  <w:r>
                    <w:rPr>
                      <w:rFonts w:ascii="仿宋_GB2312" w:hAnsi="仿宋_GB2312" w:cs="仿宋_GB2312" w:eastAsia="仿宋_GB2312"/>
                      <w:sz w:val="24"/>
                    </w:rPr>
                    <w:t>机最大离心容量：≥4×145ml；噪音（dBA）控制：最高转速时：≤58dB</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、驱动及控制系统：（需提供相关证明材料）</w:t>
                  </w:r>
                </w:p>
                <w:p>
                  <w:pPr>
                    <w:pStyle w:val="null3"/>
                    <w:jc w:val="both"/>
                  </w:pPr>
                  <w:r>
                    <w:rPr>
                      <w:rFonts w:ascii="仿宋_GB2312" w:hAnsi="仿宋_GB2312" w:cs="仿宋_GB2312" w:eastAsia="仿宋_GB2312"/>
                      <w:sz w:val="24"/>
                    </w:rPr>
                    <w:t>驱动系统：无碳刷电机直接驱动；</w:t>
                  </w:r>
                </w:p>
                <w:p>
                  <w:pPr>
                    <w:pStyle w:val="null3"/>
                    <w:jc w:val="both"/>
                  </w:pPr>
                  <w:r>
                    <w:rPr>
                      <w:rFonts w:ascii="仿宋_GB2312" w:hAnsi="仿宋_GB2312" w:cs="仿宋_GB2312" w:eastAsia="仿宋_GB2312"/>
                      <w:sz w:val="24"/>
                    </w:rPr>
                    <w:t>控制系统：微处理器控制系统，大屏幕数字显示，可显示离心程序、运行</w:t>
                  </w:r>
                </w:p>
                <w:p>
                  <w:pPr>
                    <w:pStyle w:val="null3"/>
                    <w:jc w:val="both"/>
                  </w:pPr>
                  <w:r>
                    <w:rPr>
                      <w:rFonts w:ascii="仿宋_GB2312" w:hAnsi="仿宋_GB2312" w:cs="仿宋_GB2312" w:eastAsia="仿宋_GB2312"/>
                      <w:sz w:val="24"/>
                    </w:rPr>
                    <w:t>状态、报警及维修信息；运行时间控制：0-9小时59分钟，瞬时离心及连</w:t>
                  </w:r>
                </w:p>
                <w:p>
                  <w:pPr>
                    <w:pStyle w:val="null3"/>
                    <w:jc w:val="both"/>
                  </w:pPr>
                  <w:r>
                    <w:rPr>
                      <w:rFonts w:ascii="仿宋_GB2312" w:hAnsi="仿宋_GB2312" w:cs="仿宋_GB2312" w:eastAsia="仿宋_GB2312"/>
                      <w:sz w:val="24"/>
                    </w:rPr>
                    <w:t>续离心方式；</w:t>
                  </w:r>
                </w:p>
                <w:p>
                  <w:pPr>
                    <w:pStyle w:val="null3"/>
                    <w:jc w:val="both"/>
                  </w:pPr>
                  <w:r>
                    <w:rPr>
                      <w:rFonts w:ascii="仿宋_GB2312" w:hAnsi="仿宋_GB2312" w:cs="仿宋_GB2312" w:eastAsia="仿宋_GB2312"/>
                      <w:sz w:val="24"/>
                    </w:rPr>
                    <w:t>程序：至少4个直接程序按钮；加/减速选择：≥2；</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、智能离心控制系统，可对转头最高转速、不平衡监测及加减速阶段马达</w:t>
                  </w:r>
                </w:p>
                <w:p>
                  <w:pPr>
                    <w:pStyle w:val="null3"/>
                    <w:jc w:val="both"/>
                  </w:pPr>
                  <w:r>
                    <w:rPr>
                      <w:rFonts w:ascii="仿宋_GB2312" w:hAnsi="仿宋_GB2312" w:cs="仿宋_GB2312" w:eastAsia="仿宋_GB2312"/>
                      <w:sz w:val="24"/>
                    </w:rPr>
                    <w:t>功率进行自动校准，提高运行安全性和运行效果；且具有转头自动锁定装</w:t>
                  </w:r>
                </w:p>
                <w:p>
                  <w:pPr>
                    <w:pStyle w:val="null3"/>
                    <w:jc w:val="both"/>
                  </w:pPr>
                  <w:r>
                    <w:rPr>
                      <w:rFonts w:ascii="仿宋_GB2312" w:hAnsi="仿宋_GB2312" w:cs="仿宋_GB2312" w:eastAsia="仿宋_GB2312"/>
                      <w:sz w:val="24"/>
                    </w:rPr>
                    <w:t>置，可以在5秒内实现转头安全锁定&amp;转头更换；</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、其他性能：转头自动识别、电动式门锁、多种语种选择，经第三方认证</w:t>
                  </w:r>
                </w:p>
                <w:p>
                  <w:pPr>
                    <w:pStyle w:val="null3"/>
                    <w:jc w:val="both"/>
                  </w:pPr>
                  <w:r>
                    <w:rPr>
                      <w:rFonts w:ascii="仿宋_GB2312" w:hAnsi="仿宋_GB2312" w:cs="仿宋_GB2312" w:eastAsia="仿宋_GB2312"/>
                      <w:sz w:val="24"/>
                    </w:rPr>
                    <w:t>的防生物污染密封盖。（需提供相关证明材料）</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、为保证产品质量和服务，需提供制造商出具的针对本项目的售后服务承</w:t>
                  </w:r>
                </w:p>
                <w:p>
                  <w:pPr>
                    <w:pStyle w:val="null3"/>
                    <w:jc w:val="both"/>
                  </w:pPr>
                  <w:r>
                    <w:rPr>
                      <w:rFonts w:ascii="仿宋_GB2312" w:hAnsi="仿宋_GB2312" w:cs="仿宋_GB2312" w:eastAsia="仿宋_GB2312"/>
                      <w:sz w:val="24"/>
                    </w:rPr>
                    <w:t>诺书并加盖公章。</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9"/>
              <w:gridCol w:w="2088"/>
              <w:gridCol w:w="256"/>
            </w:tblGrid>
            <w:tr>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名称</w:t>
                  </w:r>
                </w:p>
              </w:tc>
              <w:tc>
                <w:tcPr>
                  <w:tcW w:type="dxa" w:w="208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技术参数</w:t>
                  </w:r>
                </w:p>
              </w:tc>
              <w:tc>
                <w:tcPr>
                  <w:tcW w:type="dxa" w:w="2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备注</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恒温混匀仪：</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、硬件性能：</w:t>
                  </w:r>
                </w:p>
                <w:p>
                  <w:pPr>
                    <w:pStyle w:val="null3"/>
                    <w:jc w:val="both"/>
                  </w:pPr>
                  <w:r>
                    <w:rPr>
                      <w:rFonts w:ascii="仿宋_GB2312" w:hAnsi="仿宋_GB2312" w:cs="仿宋_GB2312" w:eastAsia="仿宋_GB2312"/>
                      <w:sz w:val="24"/>
                    </w:rPr>
                    <w:t>温度控制范围：室温+5~100℃；</w:t>
                  </w:r>
                </w:p>
                <w:p>
                  <w:pPr>
                    <w:pStyle w:val="null3"/>
                    <w:jc w:val="both"/>
                  </w:pPr>
                  <w:r>
                    <w:rPr>
                      <w:rFonts w:ascii="仿宋_GB2312" w:hAnsi="仿宋_GB2312" w:cs="仿宋_GB2312" w:eastAsia="仿宋_GB2312"/>
                      <w:sz w:val="24"/>
                    </w:rPr>
                    <w:t>温度均匀性：≤±0.5℃；温度稳定性：±0.2℃；</w:t>
                  </w:r>
                </w:p>
                <w:p>
                  <w:pPr>
                    <w:pStyle w:val="null3"/>
                    <w:jc w:val="both"/>
                  </w:pPr>
                  <w:r>
                    <w:rPr>
                      <w:rFonts w:ascii="仿宋_GB2312" w:hAnsi="仿宋_GB2312" w:cs="仿宋_GB2312" w:eastAsia="仿宋_GB2312"/>
                      <w:sz w:val="24"/>
                    </w:rPr>
                    <w:t>升温速度：≤12min(从20℃to100℃)；</w:t>
                  </w:r>
                </w:p>
                <w:p>
                  <w:pPr>
                    <w:pStyle w:val="null3"/>
                    <w:jc w:val="both"/>
                  </w:pPr>
                  <w:r>
                    <w:rPr>
                      <w:rFonts w:ascii="仿宋_GB2312" w:hAnsi="仿宋_GB2312" w:cs="仿宋_GB2312" w:eastAsia="仿宋_GB2312"/>
                      <w:sz w:val="24"/>
                    </w:rPr>
                    <w:t>振荡转速范围：100-1200rpm/min(步进1rpm)；</w:t>
                  </w:r>
                </w:p>
                <w:p>
                  <w:pPr>
                    <w:pStyle w:val="null3"/>
                    <w:jc w:val="both"/>
                  </w:pPr>
                  <w:r>
                    <w:rPr>
                      <w:rFonts w:ascii="仿宋_GB2312" w:hAnsi="仿宋_GB2312" w:cs="仿宋_GB2312" w:eastAsia="仿宋_GB2312"/>
                      <w:sz w:val="24"/>
                    </w:rPr>
                    <w:t>振荡幅度与方式：2mm(水平回转)；</w:t>
                  </w:r>
                </w:p>
                <w:p>
                  <w:pPr>
                    <w:pStyle w:val="null3"/>
                    <w:jc w:val="both"/>
                  </w:pPr>
                  <w:r>
                    <w:rPr>
                      <w:rFonts w:ascii="仿宋_GB2312" w:hAnsi="仿宋_GB2312" w:cs="仿宋_GB2312" w:eastAsia="仿宋_GB2312"/>
                      <w:sz w:val="24"/>
                    </w:rPr>
                    <w:t>定时范围：0~99h59min；</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6"/>
              <w:gridCol w:w="2056"/>
              <w:gridCol w:w="290"/>
            </w:tblGrid>
            <w:tr>
              <w:tc>
                <w:tcPr>
                  <w:tcW w:type="dxa" w:w="20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名称</w:t>
                  </w:r>
                </w:p>
              </w:tc>
              <w:tc>
                <w:tcPr>
                  <w:tcW w:type="dxa" w:w="20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技术参数</w:t>
                  </w:r>
                </w:p>
              </w:tc>
              <w:tc>
                <w:tcPr>
                  <w:tcW w:type="dxa" w:w="29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备注</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微型离心机：</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rPr>
                    <w:t>1</w:t>
                  </w:r>
                  <w:r>
                    <w:rPr>
                      <w:rFonts w:ascii="仿宋_GB2312" w:hAnsi="仿宋_GB2312" w:cs="仿宋_GB2312" w:eastAsia="仿宋_GB2312"/>
                      <w:sz w:val="24"/>
                    </w:rPr>
                    <w:t>、硬件及系统：</w:t>
                  </w:r>
                </w:p>
                <w:p>
                  <w:pPr>
                    <w:pStyle w:val="null3"/>
                    <w:jc w:val="both"/>
                  </w:pPr>
                  <w:r>
                    <w:rPr>
                      <w:rFonts w:ascii="仿宋_GB2312" w:hAnsi="仿宋_GB2312" w:cs="仿宋_GB2312" w:eastAsia="仿宋_GB2312"/>
                      <w:sz w:val="24"/>
                    </w:rPr>
                    <w:t>驱动系统：无碳刷免维护频率感应电机直接驱动</w:t>
                  </w:r>
                </w:p>
                <w:p>
                  <w:pPr>
                    <w:pStyle w:val="null3"/>
                    <w:jc w:val="both"/>
                  </w:pPr>
                  <w:r>
                    <w:rPr>
                      <w:rFonts w:ascii="仿宋_GB2312" w:hAnsi="仿宋_GB2312" w:cs="仿宋_GB2312" w:eastAsia="仿宋_GB2312"/>
                      <w:sz w:val="24"/>
                    </w:rPr>
                    <w:t>控制系统：Easycontrol型电脑控制系统，大屏幕数字显示运行时间控制：1-99分钟，快速离心或连续离心三种方式程序记忆：最后数据贮存，断电后保留三周.</w:t>
                  </w:r>
                </w:p>
                <w:p>
                  <w:pPr>
                    <w:pStyle w:val="null3"/>
                    <w:jc w:val="both"/>
                  </w:pPr>
                  <w:r>
                    <w:rPr>
                      <w:rFonts w:ascii="仿宋_GB2312" w:hAnsi="仿宋_GB2312" w:cs="仿宋_GB2312" w:eastAsia="仿宋_GB2312"/>
                      <w:sz w:val="24"/>
                    </w:rPr>
                    <w:t>加速时间：≤11S；制动时间：≤11S</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、安全性能：</w:t>
                  </w:r>
                </w:p>
                <w:p>
                  <w:pPr>
                    <w:pStyle w:val="null3"/>
                    <w:jc w:val="both"/>
                  </w:pPr>
                  <w:r>
                    <w:rPr>
                      <w:rFonts w:ascii="仿宋_GB2312" w:hAnsi="仿宋_GB2312" w:cs="仿宋_GB2312" w:eastAsia="仿宋_GB2312"/>
                      <w:sz w:val="24"/>
                    </w:rPr>
                    <w:t>自动锁盖和内锁装置</w:t>
                  </w:r>
                </w:p>
                <w:p>
                  <w:pPr>
                    <w:pStyle w:val="null3"/>
                    <w:jc w:val="both"/>
                  </w:pPr>
                  <w:r>
                    <w:rPr>
                      <w:rFonts w:ascii="仿宋_GB2312" w:hAnsi="仿宋_GB2312" w:cs="仿宋_GB2312" w:eastAsia="仿宋_GB2312"/>
                      <w:sz w:val="24"/>
                    </w:rPr>
                    <w:t>不平衡保护</w:t>
                  </w:r>
                </w:p>
                <w:p>
                  <w:pPr>
                    <w:pStyle w:val="null3"/>
                    <w:jc w:val="both"/>
                  </w:pPr>
                  <w:r>
                    <w:rPr>
                      <w:rFonts w:ascii="仿宋_GB2312" w:hAnsi="仿宋_GB2312" w:cs="仿宋_GB2312" w:eastAsia="仿宋_GB2312"/>
                      <w:sz w:val="24"/>
                    </w:rPr>
                    <w:t>状态自诊断</w:t>
                  </w:r>
                </w:p>
                <w:p>
                  <w:pPr>
                    <w:pStyle w:val="null3"/>
                    <w:jc w:val="both"/>
                  </w:pPr>
                  <w:r>
                    <w:rPr>
                      <w:rFonts w:ascii="仿宋_GB2312" w:hAnsi="仿宋_GB2312" w:cs="仿宋_GB2312" w:eastAsia="仿宋_GB2312"/>
                      <w:sz w:val="24"/>
                    </w:rPr>
                    <w:t>多种电路保护转头自动识别</w:t>
                  </w:r>
                </w:p>
                <w:p>
                  <w:pPr>
                    <w:pStyle w:val="null3"/>
                    <w:jc w:val="both"/>
                  </w:pPr>
                  <w:r>
                    <w:rPr>
                      <w:rFonts w:ascii="仿宋_GB2312" w:hAnsi="仿宋_GB2312" w:cs="仿宋_GB2312" w:eastAsia="仿宋_GB2312"/>
                      <w:sz w:val="24"/>
                    </w:rPr>
                    <w:t>运行结束，声音提示标准微量转头</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、标配微量转头24×1.5/2.0ml‘ClickSeal’防生物污染转头，14800转/分，21100×g。转头特性：独特的CLICKSEAL防生物污染转头，单手操作，安装简便，密封防泄露，可高压灭菌，PP材质。（需提供相关证明材料)</w:t>
                  </w:r>
                  <w:r>
                    <w:rPr>
                      <w:rFonts w:ascii="仿宋_GB2312" w:hAnsi="仿宋_GB2312" w:cs="仿宋_GB2312" w:eastAsia="仿宋_GB2312"/>
                      <w:sz w:val="24"/>
                    </w:rPr>
                    <w:t>4</w:t>
                  </w:r>
                  <w:r>
                    <w:rPr>
                      <w:rFonts w:ascii="仿宋_GB2312" w:hAnsi="仿宋_GB2312" w:cs="仿宋_GB2312" w:eastAsia="仿宋_GB2312"/>
                      <w:sz w:val="24"/>
                    </w:rPr>
                    <w:t>、为保证产品质量和服务，需提供制造商出具的针对本项目的售后服务承诺书并加盖公章。</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9"/>
              <w:gridCol w:w="2088"/>
              <w:gridCol w:w="256"/>
            </w:tblGrid>
            <w:tr>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名称</w:t>
                  </w:r>
                </w:p>
              </w:tc>
              <w:tc>
                <w:tcPr>
                  <w:tcW w:type="dxa" w:w="208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技术参数</w:t>
                  </w:r>
                </w:p>
              </w:tc>
              <w:tc>
                <w:tcPr>
                  <w:tcW w:type="dxa" w:w="2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备注</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不间断电源</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6KVA</w:t>
                  </w:r>
                  <w:r>
                    <w:rPr>
                      <w:rFonts w:ascii="仿宋_GB2312" w:hAnsi="仿宋_GB2312" w:cs="仿宋_GB2312" w:eastAsia="仿宋_GB2312"/>
                      <w:sz w:val="24"/>
                    </w:rPr>
                    <w:t>，4小时持续供电</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rPr>
              <w:t>（一）售后伴随服务要求</w:t>
            </w:r>
          </w:p>
          <w:p>
            <w:pPr>
              <w:pStyle w:val="null3"/>
              <w:ind w:firstLine="480"/>
              <w:jc w:val="both"/>
            </w:pPr>
            <w:r>
              <w:rPr>
                <w:rFonts w:ascii="仿宋_GB2312" w:hAnsi="仿宋_GB2312" w:cs="仿宋_GB2312" w:eastAsia="仿宋_GB2312"/>
                <w:sz w:val="24"/>
              </w:rPr>
              <w:t>投标人必须提供详细的质保期内外的技术支持和伴随服务方案,以及相关的人员技能指导培训方案等，应包含但不限于以下内容：</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．为保证产品质量，产品需为全新原厂正品。需提供相应货物来源保障材料及证明文件。</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．产品质保期限：项目整体质保期不少于1年,自项目验收通过之日起计算。其中:-</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硬件类：“遗传分析仪”等核心设备质保期不少于2年或制造商承诺的期限(以长者为准)；其他非核心类设备硬件质保期不少于1年或制造商承诺的期限(以长者为准)；质保期内免费提供使用指导、技术咨询、定期或不定期巡查、维护维修及零配部件等售后维保服务；</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软件类：所购设备配套运行平台、操作系统、培训软件等软件产品质保期不少于2年或制造商承诺的期限(以长者为准), 质保期内免费提供使用培训指导、平台系统维护、软件升级或更新等售后运维服务。</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投标人须承诺质保期滿后,将根据采购人需求继续提供可靠的后续终身维保服务，所需的零配部件及服务费用按市场优惠价计收；</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．售后运维服务要求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投标人提供5×8小时现场维保服务，以及7×24小时技术支持，收到系统提示或用户故障通知1小时内作出实质性响应，对重大问题提供现场技术支持，4小时内到达指定现场。如在报障后24小时内无法修复，则提供(相同或更高规格档次的备用设备)冗余服务, 直至故障设备修复,确保设备在24小时内恢复正常运行。</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）投标人应配备专职售后运维人员对所供仪器设备至少提供每半年1次定期现场巡检服务；每次巡检完成后应编制巡检报告或记录表报送采购人存档备查。</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4"/>
                <w:b/>
              </w:rPr>
              <w:t>（二）报价要求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价格组成：投标人所报价格应包括但不限于运输、装卸配送、安装调试、操作指导专业培训、售后运维及相关后续伴随服务、保险税务以及合同实施过程中应预见和不可预见费用等各项费用。</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报价限额：本项目报价采用总价报价方式: 本项目预算总额为</w:t>
            </w:r>
            <w:r>
              <w:rPr>
                <w:rFonts w:ascii="仿宋_GB2312" w:hAnsi="仿宋_GB2312" w:cs="仿宋_GB2312" w:eastAsia="仿宋_GB2312"/>
                <w:sz w:val="24"/>
              </w:rPr>
              <w:t>¥</w:t>
            </w:r>
            <w:r>
              <w:rPr>
                <w:rFonts w:ascii="仿宋_GB2312" w:hAnsi="仿宋_GB2312" w:cs="仿宋_GB2312" w:eastAsia="仿宋_GB2312"/>
                <w:sz w:val="24"/>
              </w:rPr>
              <w:t>398.8</w:t>
            </w:r>
            <w:r>
              <w:rPr>
                <w:rFonts w:ascii="仿宋_GB2312" w:hAnsi="仿宋_GB2312" w:cs="仿宋_GB2312" w:eastAsia="仿宋_GB2312"/>
                <w:sz w:val="24"/>
              </w:rPr>
              <w:t>万元，是本项目采购最高限额。即各投标人在报价时需报出项目所供货总价，但任何报价不得超过项目预算总额，否则均按无效报价处理。</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付款方式：（以采购双方最终商订为准）：</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预付款：合同签订10个工作日内，中标人提交合同总价30%金额的发票，采购人支付中标人合同总价的30%项目款项；</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验收款：中标人将设备运送至采购人指定地点，设备安装调试完成并通过采购人验收合格后，中标人提交合同总价70%金额的发票，①采购人支付中标人合同总价的65%款项；或②中标人提供由国内金融机构开立合同总价5%的等额质量保函原件或电子保单，采购人支付给中标人剩余合同总价70%项目款项；</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b/>
        </w:rPr>
        <w:t>（一）验收要求: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验收标准：应按国家、行业、地方标准以及招投标文件约定技术参数指标、由采购单位组织专家验收或委托第三方机构代理验收。</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项目验收依次执行标准为：①符合中华人民共和国国家和履约地相关安全质量标准、行业技术规范标准、环保节能标准；②符合招标文件和采购人认可的合理最佳方案及各项要求；③方案内容来源为国家官方颁布的最新标准；④采购双方约定其他验收标准。</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验收时间：仪器设备到位安装调试后 7 个工作日内采购人安排验收。验收时,中标人应提供设备验收所需的相关手续材料。</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验收费用：有关验收费用由中标人承担。</w:t>
      </w:r>
    </w:p>
    <w:p>
      <w:pPr>
        <w:pStyle w:val="null3"/>
        <w:jc w:val="both"/>
      </w:pPr>
      <w:r>
        <w:rPr>
          <w:rFonts w:ascii="仿宋_GB2312" w:hAnsi="仿宋_GB2312" w:cs="仿宋_GB2312" w:eastAsia="仿宋_GB2312"/>
          <w:sz w:val="24"/>
        </w:rPr>
        <w:t>中标人提供的设备不符合质量要求致使设备未达到采购方要求的使用性能，采购方可拒收设备。采购人拒收的设备，标的物的损毁、丢失及产生的一切费用由中标人自行承担。</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磋商保证金缴纳证明材料 其他材料 封面 法定代表人资格证明书或法定代表人授权委托书 投标人自觉抵制政府采购领域商业贿赂行为承诺书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技术部分27.00分</w:t>
            </w:r>
          </w:p>
          <w:p>
            <w:pPr>
              <w:pStyle w:val="null3"/>
              <w:jc w:val="left"/>
            </w:pPr>
            <w:r>
              <w:rPr>
                <w:rFonts w:ascii="仿宋_GB2312" w:hAnsi="仿宋_GB2312" w:cs="仿宋_GB2312" w:eastAsia="仿宋_GB2312"/>
              </w:rPr>
              <w:t>商务部分43.00分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根据投标人项目实施方案进行综合评分，包括但不限于组织实施方案、进 度控制、供货、工作日程安排、管理制度、验收方案等进行综合评分： 优：方案完整合理、可行性强，完全满足并优于招标文件要求，得8分； 良：方案比较完整、可行性较强，完全满足招标文件要求，得6分； 中：方案基本完整、可行性一般，基本符合招标文件要求，得4分； 差：方案内容完整度一般，存在瑕疵或不足，与本项目有偏差，得2分。 未提供对应方案不得分。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492"/>
          </w:tcPr>
          <w:p>
            <w:pPr>
              <w:pStyle w:val="null3"/>
              <w:jc w:val="left"/>
            </w:pPr>
            <w:r>
              <w:rPr>
                <w:rFonts w:ascii="仿宋_GB2312" w:hAnsi="仿宋_GB2312" w:cs="仿宋_GB2312" w:eastAsia="仿宋_GB2312"/>
              </w:rPr>
              <w:t>根据供应商所提出的售后服务方案，在服务体系、服务内容、响应时间、 备品备件、出现紧急情况时的服务及应急措施等方面进行综合评分： 优：售后服务完整合理、可行性强，完全满足或优于招标文件要求，得6分； 良：售后服务完整、可行性良好，符合招标件要求，得4分； 中：售后服务基本完整、可行性一般，基本符合招标文件要求，得2分； 差：方案内容完整度一般，存在瑕疵或不足，与本项目有偏差，得1分。 未提供售后服务不得分。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所投产品可靠性</w:t>
            </w:r>
          </w:p>
        </w:tc>
        <w:tc>
          <w:tcPr>
            <w:tcW w:type="dxa" w:w="2492"/>
          </w:tcPr>
          <w:p>
            <w:pPr>
              <w:pStyle w:val="null3"/>
              <w:jc w:val="left"/>
            </w:pPr>
            <w:r>
              <w:rPr>
                <w:rFonts w:ascii="仿宋_GB2312" w:hAnsi="仿宋_GB2312" w:cs="仿宋_GB2312" w:eastAsia="仿宋_GB2312"/>
              </w:rPr>
              <w:t>根据投标人所投产品可靠性等进行综合评分： 优：产品设计及配置先进， 材质可靠，实用性、耐用性好，实际使用情况好，得7分； 良：产品设计及配置较为先进，材质可靠，实用性、耐用性较好，实际使用情况较好，得5分； 中：产品设计及配置一般，材质一般，实用性、耐用性一般，实际使用情况一般，得3分； 差：产品内容完整度一般，存在瑕疵或不足，与本项目有偏差，得1分。 未提供售后服务不得分。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培训及质量保证方案</w:t>
            </w:r>
          </w:p>
        </w:tc>
        <w:tc>
          <w:tcPr>
            <w:tcW w:type="dxa" w:w="2492"/>
          </w:tcPr>
          <w:p>
            <w:pPr>
              <w:pStyle w:val="null3"/>
              <w:jc w:val="left"/>
            </w:pPr>
            <w:r>
              <w:rPr>
                <w:rFonts w:ascii="仿宋_GB2312" w:hAnsi="仿宋_GB2312" w:cs="仿宋_GB2312" w:eastAsia="仿宋_GB2312"/>
              </w:rPr>
              <w:t>根据投标人培训及质量保证方案等进行综合评分： 优：培训及质量保证方 案完整合理、可行性强，完全满足或优于招标文件要求，得6分； 良：培训及质量保证方案完整合理、可行性良好，得4分； 中：培训及质量保证方案完整合理、可行性一般，得2分； 差：方案内容完整度一般，存在瑕疵或不足，与本项目有偏差，得1分。 未提供售后服务不得分。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采购需求的响应（标“▲”条款）</w:t>
            </w:r>
          </w:p>
        </w:tc>
        <w:tc>
          <w:tcPr>
            <w:tcW w:type="dxa" w:w="2492"/>
          </w:tcPr>
          <w:p>
            <w:pPr>
              <w:pStyle w:val="null3"/>
              <w:jc w:val="left"/>
            </w:pPr>
            <w:r>
              <w:rPr>
                <w:rFonts w:ascii="仿宋_GB2312" w:hAnsi="仿宋_GB2312" w:cs="仿宋_GB2312" w:eastAsia="仿宋_GB2312"/>
              </w:rPr>
              <w:t>1. 供应商所投产品完全符合磋商文件第三章技术和服务要求标“▲”条款得36分：每负偏离1项扣2分，负偏离达18项的，此项得0分； 注：供应商必须按照《商务响应表》要求逐条响应，并按以下要求提供证明材料：①单项条款中有要求的按要求提供证明材料；②单项条款中未要求提供证明资料的，则投标文件中须提供所投产品制造商的公开网址链接及参数截图，或制造商针对本项目所作的技术参数说明，或产品彩页，或第三方检测机构出具的检测报告，须复印件加盖供应商公章。</w:t>
            </w:r>
          </w:p>
        </w:tc>
        <w:tc>
          <w:tcPr>
            <w:tcW w:type="dxa" w:w="831"/>
          </w:tcPr>
          <w:p>
            <w:pPr>
              <w:pStyle w:val="null3"/>
              <w:jc w:val="right"/>
            </w:pPr>
            <w:r>
              <w:rPr>
                <w:rFonts w:ascii="仿宋_GB2312" w:hAnsi="仿宋_GB2312" w:cs="仿宋_GB2312" w:eastAsia="仿宋_GB2312"/>
              </w:rPr>
              <w:t>36.00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采购需求的响应（非“▲”、“★”条款）</w:t>
            </w:r>
          </w:p>
        </w:tc>
        <w:tc>
          <w:tcPr>
            <w:tcW w:type="dxa" w:w="2492"/>
          </w:tcPr>
          <w:p>
            <w:pPr>
              <w:pStyle w:val="null3"/>
              <w:jc w:val="left"/>
            </w:pPr>
            <w:r>
              <w:rPr>
                <w:rFonts w:ascii="仿宋_GB2312" w:hAnsi="仿宋_GB2312" w:cs="仿宋_GB2312" w:eastAsia="仿宋_GB2312"/>
              </w:rPr>
              <w:t>1.供应商所投产品完全符合磋商文件第三章技术和服务要求非“▲”、“★”条款(6分)，每负偏离1项扣0.24分，负偏离达25项的，此项得0分。 注：供应商必须按照《商务响应表》要求逐条响应，并按以下要求提供证明材料：①单项条款中有要求的按要求提供证明材料；②单项条款中未要求提供证明资料的，则投标文件中须提供所投产品制造商的公开网址链接及参数截图，或制造商针对本项目所作的技术参数说明，或产品彩页，或第三方检测机构出具的检测报告，须复印件加盖供应商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业绩情况</w:t>
            </w:r>
          </w:p>
        </w:tc>
        <w:tc>
          <w:tcPr>
            <w:tcW w:type="dxa" w:w="2492"/>
          </w:tcPr>
          <w:p>
            <w:pPr>
              <w:pStyle w:val="null3"/>
              <w:jc w:val="left"/>
            </w:pPr>
            <w:r>
              <w:rPr>
                <w:rFonts w:ascii="仿宋_GB2312" w:hAnsi="仿宋_GB2312" w:cs="仿宋_GB2312" w:eastAsia="仿宋_GB2312"/>
              </w:rPr>
              <w:t>提供自2023年以来具有的类似项目业绩，每提供一个类似业绩得1分，加到满分为止。 注：投标文件需提供中标通知书或相关合同业绩关键页（含签订合同双方的单位名称、合同项目名称、含签订合同双方的落款盖章、签订日期的关键页）。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供应商类似项目业绩一览表（如有）</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分项报价明细表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HNBD2024028</w:t>
      </w:r>
    </w:p>
    <w:p>
      <w:pPr>
        <w:pStyle w:val="null3"/>
        <w:jc w:val="left"/>
      </w:pPr>
      <w:r>
        <w:rPr>
          <w:rFonts w:ascii="仿宋_GB2312" w:hAnsi="仿宋_GB2312" w:cs="仿宋_GB2312" w:eastAsia="仿宋_GB2312"/>
        </w:rPr>
        <w:t>项目名称：</w:t>
      </w:r>
      <w:r>
        <w:rPr>
          <w:rFonts w:ascii="仿宋_GB2312" w:hAnsi="仿宋_GB2312" w:cs="仿宋_GB2312" w:eastAsia="仿宋_GB2312"/>
        </w:rPr>
        <w:t>文昌市公安司法鉴定中心DNA实验室更换设备项目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文昌市公安司法鉴定中心DNA实验室更换设备项目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A02370300-物证检验鉴定设备</w:t>
            </w:r>
          </w:p>
        </w:tc>
        <w:tc>
          <w:tcPr>
            <w:tcW w:type="dxa" w:w="831"/>
          </w:tcPr>
          <w:p>
            <w:pPr>
              <w:pStyle w:val="null3"/>
              <w:jc w:val="left"/>
            </w:pPr>
            <w:r>
              <w:rPr>
                <w:rFonts w:ascii="仿宋_GB2312" w:hAnsi="仿宋_GB2312" w:cs="仿宋_GB2312" w:eastAsia="仿宋_GB2312"/>
              </w:rPr>
              <w:t xml:space="preserve"> 1.00批</w:t>
            </w:r>
          </w:p>
        </w:tc>
        <w:tc>
          <w:tcPr>
            <w:tcW w:type="dxa" w:w="831"/>
          </w:tcPr>
          <w:p>
            <w:pPr>
              <w:pStyle w:val="null3"/>
              <w:jc w:val="left"/>
            </w:pPr>
            <w:r>
              <w:rPr>
                <w:rFonts w:ascii="仿宋_GB2312" w:hAnsi="仿宋_GB2312" w:cs="仿宋_GB2312" w:eastAsia="仿宋_GB2312"/>
              </w:rPr>
              <w:t xml:space="preserve"> 3988000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注:1、投标报价应包括招标文件所规定的招标范围的全部内容；</w:t>
      </w:r>
    </w:p>
    <w:p>
      <w:pPr>
        <w:pStyle w:val="null3"/>
        <w:jc w:val="left"/>
      </w:pPr>
      <w:r>
        <w:rPr>
          <w:rFonts w:ascii="仿宋_GB2312" w:hAnsi="仿宋_GB2312" w:cs="仿宋_GB2312" w:eastAsia="仿宋_GB2312"/>
        </w:rPr>
        <w:t>2、投标报价必须是唯一的，不接受任何有选择的报价。</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详见附件：分项报价明细表</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详见附件：投标人自觉抵制政府采购领域商业贿赂行为承诺书</w:t>
      </w:r>
    </w:p>
    <w:p>
      <w:pPr>
        <w:pStyle w:val="null3"/>
        <w:ind w:firstLine="960"/>
        <w:jc w:val="left"/>
      </w:pPr>
      <w:r>
        <w:rPr>
          <w:rFonts w:ascii="仿宋_GB2312" w:hAnsi="仿宋_GB2312" w:cs="仿宋_GB2312" w:eastAsia="仿宋_GB2312"/>
        </w:rPr>
        <w:t>详见附件：供应商类似项目业绩一览表（如有）</w:t>
      </w:r>
    </w:p>
    <w:p>
      <w:pPr>
        <w:pStyle w:val="null3"/>
        <w:ind w:firstLine="960"/>
        <w:jc w:val="left"/>
      </w:pPr>
      <w:r>
        <w:rPr>
          <w:rFonts w:ascii="仿宋_GB2312" w:hAnsi="仿宋_GB2312" w:cs="仿宋_GB2312" w:eastAsia="仿宋_GB2312"/>
        </w:rPr>
        <w:t>详见附件：技术方案</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