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A498A">
      <w:pPr>
        <w:pStyle w:val="2"/>
        <w:keepNext w:val="0"/>
        <w:keepLines w:val="0"/>
        <w:pageBreakBefore w:val="0"/>
        <w:widowControl/>
        <w:suppressLineNumbers w:val="0"/>
        <w:kinsoku/>
        <w:wordWrap/>
        <w:overflowPunct/>
        <w:topLinePunct w:val="0"/>
        <w:autoSpaceDE/>
        <w:autoSpaceDN/>
        <w:bidi w:val="0"/>
        <w:adjustRightInd/>
        <w:snapToGrid/>
        <w:ind w:left="0" w:firstLine="0"/>
        <w:jc w:val="center"/>
        <w:textAlignment w:val="auto"/>
        <w:rPr>
          <w:rFonts w:hint="eastAsia" w:ascii="仿宋" w:hAnsi="仿宋" w:eastAsia="仿宋" w:cs="仿宋"/>
          <w:b/>
          <w:bCs/>
          <w:i w:val="0"/>
          <w:iCs w:val="0"/>
          <w:caps w:val="0"/>
          <w:color w:val="000000"/>
          <w:spacing w:val="0"/>
          <w:sz w:val="24"/>
          <w:szCs w:val="24"/>
          <w:lang w:eastAsia="zh-CN"/>
        </w:rPr>
      </w:pPr>
      <w:bookmarkStart w:id="1" w:name="_GoBack"/>
      <w:bookmarkEnd w:id="1"/>
      <w:r>
        <w:rPr>
          <w:rFonts w:hint="eastAsia" w:ascii="仿宋" w:hAnsi="仿宋" w:eastAsia="仿宋" w:cs="仿宋"/>
          <w:b/>
          <w:bCs/>
          <w:i w:val="0"/>
          <w:iCs w:val="0"/>
          <w:caps w:val="0"/>
          <w:color w:val="000000"/>
          <w:spacing w:val="0"/>
          <w:sz w:val="24"/>
          <w:szCs w:val="24"/>
          <w:lang w:eastAsia="zh-CN"/>
        </w:rPr>
        <w:t>（</w:t>
      </w:r>
      <w:r>
        <w:rPr>
          <w:rFonts w:hint="eastAsia" w:ascii="仿宋" w:hAnsi="仿宋" w:eastAsia="仿宋" w:cs="仿宋"/>
          <w:b/>
          <w:bCs/>
          <w:i w:val="0"/>
          <w:iCs w:val="0"/>
          <w:caps w:val="0"/>
          <w:color w:val="000000"/>
          <w:spacing w:val="0"/>
          <w:sz w:val="24"/>
          <w:szCs w:val="24"/>
          <w:lang w:val="en-US" w:eastAsia="zh-CN"/>
        </w:rPr>
        <w:t>本合同仅供参考，以最终签订的合同为准</w:t>
      </w:r>
      <w:r>
        <w:rPr>
          <w:rFonts w:hint="eastAsia" w:ascii="仿宋" w:hAnsi="仿宋" w:eastAsia="仿宋" w:cs="仿宋"/>
          <w:b/>
          <w:bCs/>
          <w:i w:val="0"/>
          <w:iCs w:val="0"/>
          <w:caps w:val="0"/>
          <w:color w:val="000000"/>
          <w:spacing w:val="0"/>
          <w:sz w:val="24"/>
          <w:szCs w:val="24"/>
          <w:lang w:eastAsia="zh-CN"/>
        </w:rPr>
        <w:t>）</w:t>
      </w:r>
    </w:p>
    <w:p w14:paraId="4F361920">
      <w:pPr>
        <w:pStyle w:val="2"/>
        <w:keepNext w:val="0"/>
        <w:keepLines w:val="0"/>
        <w:pageBreakBefore w:val="0"/>
        <w:widowControl/>
        <w:suppressLineNumbers w:val="0"/>
        <w:kinsoku/>
        <w:wordWrap/>
        <w:overflowPunct/>
        <w:topLinePunct w:val="0"/>
        <w:autoSpaceDE/>
        <w:autoSpaceDN/>
        <w:bidi w:val="0"/>
        <w:adjustRightInd/>
        <w:snapToGrid/>
        <w:ind w:left="0" w:firstLine="0"/>
        <w:jc w:val="center"/>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b/>
          <w:bCs/>
          <w:i w:val="0"/>
          <w:iCs w:val="0"/>
          <w:caps w:val="0"/>
          <w:color w:val="000000"/>
          <w:spacing w:val="0"/>
          <w:sz w:val="48"/>
          <w:szCs w:val="48"/>
        </w:rPr>
        <w:t>2025年中国航海日主场活动会务服务项目服务合同</w:t>
      </w:r>
    </w:p>
    <w:p w14:paraId="229DF7A4">
      <w:pPr>
        <w:pStyle w:val="2"/>
        <w:keepNext w:val="0"/>
        <w:keepLines w:val="0"/>
        <w:pageBreakBefore w:val="0"/>
        <w:widowControl/>
        <w:suppressLineNumbers w:val="0"/>
        <w:kinsoku/>
        <w:wordWrap/>
        <w:overflowPunct/>
        <w:topLinePunct w:val="0"/>
        <w:autoSpaceDE/>
        <w:autoSpaceDN/>
        <w:bidi w:val="0"/>
        <w:adjustRightInd/>
        <w:snapToGrid/>
        <w:ind w:left="0" w:firstLine="0"/>
        <w:jc w:val="right"/>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4"/>
          <w:szCs w:val="24"/>
        </w:rPr>
        <w:t>合同编号：</w:t>
      </w:r>
    </w:p>
    <w:p w14:paraId="49B97B80">
      <w:pPr>
        <w:pStyle w:val="2"/>
        <w:keepNext w:val="0"/>
        <w:keepLines w:val="0"/>
        <w:pageBreakBefore w:val="0"/>
        <w:widowControl/>
        <w:suppressLineNumbers w:val="0"/>
        <w:kinsoku/>
        <w:wordWrap/>
        <w:overflowPunct/>
        <w:topLinePunct w:val="0"/>
        <w:autoSpaceDE/>
        <w:autoSpaceDN/>
        <w:bidi w:val="0"/>
        <w:adjustRightInd/>
        <w:snapToGrid/>
        <w:ind w:left="0" w:firstLine="0"/>
        <w:jc w:val="center"/>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w:t>
      </w:r>
    </w:p>
    <w:p w14:paraId="4CA2C53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甲方：琼海市交通运输局</w:t>
      </w:r>
    </w:p>
    <w:p w14:paraId="6EB50C6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地址：</w:t>
      </w:r>
    </w:p>
    <w:p w14:paraId="79B85DD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联系人：</w:t>
      </w:r>
    </w:p>
    <w:p w14:paraId="34CF997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联系电话： </w:t>
      </w:r>
    </w:p>
    <w:p w14:paraId="4400E01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乙方：</w:t>
      </w:r>
    </w:p>
    <w:p w14:paraId="1CD84FC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地址：</w:t>
      </w:r>
    </w:p>
    <w:p w14:paraId="0A3DD79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联系人：</w:t>
      </w:r>
    </w:p>
    <w:p w14:paraId="1E175C6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联系电话： </w:t>
      </w:r>
    </w:p>
    <w:p w14:paraId="755C527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2025年中国航海日主场活动将于2025年7月10日至12日在</w:t>
      </w:r>
      <w:r>
        <w:rPr>
          <w:rFonts w:hint="eastAsia" w:ascii="仿宋" w:hAnsi="仿宋" w:eastAsia="仿宋" w:cs="仿宋"/>
          <w:i w:val="0"/>
          <w:iCs w:val="0"/>
          <w:caps w:val="0"/>
          <w:color w:val="000000"/>
          <w:spacing w:val="0"/>
          <w:sz w:val="27"/>
          <w:szCs w:val="27"/>
          <w:lang w:val="en-US" w:eastAsia="zh-CN"/>
        </w:rPr>
        <w:t>海南省琼海市</w:t>
      </w:r>
      <w:r>
        <w:rPr>
          <w:rFonts w:hint="eastAsia" w:ascii="仿宋" w:hAnsi="仿宋" w:eastAsia="仿宋" w:cs="仿宋"/>
          <w:i w:val="0"/>
          <w:iCs w:val="0"/>
          <w:caps w:val="0"/>
          <w:color w:val="000000"/>
          <w:spacing w:val="0"/>
          <w:sz w:val="27"/>
          <w:szCs w:val="27"/>
        </w:rPr>
        <w:t>举办，主要内容包括中国航海日论坛、平行论坛、主题活动、科普活动等。为共同做好本次活动服务保障工作，根据《中华人民共和国民法典》</w:t>
      </w:r>
      <w:r>
        <w:rPr>
          <w:rFonts w:hint="eastAsia" w:ascii="仿宋" w:hAnsi="仿宋" w:eastAsia="仿宋" w:cs="仿宋"/>
          <w:i w:val="0"/>
          <w:iCs w:val="0"/>
          <w:caps w:val="0"/>
          <w:color w:val="000000"/>
          <w:spacing w:val="0"/>
          <w:sz w:val="27"/>
          <w:szCs w:val="27"/>
          <w:lang w:eastAsia="zh-CN"/>
        </w:rPr>
        <w:t>、</w:t>
      </w:r>
      <w:r>
        <w:rPr>
          <w:rFonts w:hint="eastAsia" w:ascii="仿宋" w:hAnsi="仿宋" w:eastAsia="仿宋" w:cs="仿宋"/>
          <w:i w:val="0"/>
          <w:iCs w:val="0"/>
          <w:caps w:val="0"/>
          <w:color w:val="000000"/>
          <w:spacing w:val="0"/>
          <w:sz w:val="27"/>
          <w:szCs w:val="27"/>
        </w:rPr>
        <w:t>其他有关法律法规</w:t>
      </w:r>
      <w:r>
        <w:rPr>
          <w:rFonts w:hint="eastAsia" w:ascii="仿宋" w:hAnsi="仿宋" w:eastAsia="仿宋" w:cs="仿宋"/>
          <w:i w:val="0"/>
          <w:iCs w:val="0"/>
          <w:caps w:val="0"/>
          <w:color w:val="000000"/>
          <w:spacing w:val="0"/>
          <w:sz w:val="27"/>
          <w:szCs w:val="27"/>
          <w:lang w:val="en-US" w:eastAsia="zh-CN"/>
        </w:rPr>
        <w:t>以及采购文件</w:t>
      </w:r>
      <w:r>
        <w:rPr>
          <w:rFonts w:hint="eastAsia" w:ascii="仿宋" w:hAnsi="仿宋" w:eastAsia="仿宋" w:cs="仿宋"/>
          <w:i w:val="0"/>
          <w:iCs w:val="0"/>
          <w:caps w:val="0"/>
          <w:color w:val="000000"/>
          <w:spacing w:val="0"/>
          <w:sz w:val="27"/>
          <w:szCs w:val="27"/>
        </w:rPr>
        <w:t>规定，经甲乙双方友好协商一致，达成如下协议，以资共同遵守： </w:t>
      </w:r>
    </w:p>
    <w:p w14:paraId="4E65D95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w:t>
      </w:r>
      <w:r>
        <w:rPr>
          <w:rFonts w:hint="eastAsia" w:ascii="仿宋" w:hAnsi="仿宋" w:eastAsia="仿宋" w:cs="仿宋"/>
          <w:b/>
          <w:bCs/>
          <w:i w:val="0"/>
          <w:iCs w:val="0"/>
          <w:caps w:val="0"/>
          <w:color w:val="000000"/>
          <w:spacing w:val="0"/>
          <w:sz w:val="27"/>
          <w:szCs w:val="27"/>
        </w:rPr>
        <w:t>一、合作内容</w:t>
      </w:r>
    </w:p>
    <w:p w14:paraId="74A1EFF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（一）会议时间：</w:t>
      </w:r>
      <w:r>
        <w:rPr>
          <w:rFonts w:hint="eastAsia" w:ascii="仿宋" w:hAnsi="仿宋" w:eastAsia="仿宋" w:cs="仿宋"/>
          <w:i w:val="0"/>
          <w:iCs w:val="0"/>
          <w:caps w:val="0"/>
          <w:color w:val="000000"/>
          <w:spacing w:val="0"/>
          <w:sz w:val="27"/>
          <w:szCs w:val="27"/>
          <w:u w:val="single"/>
        </w:rPr>
        <w:t>2025</w:t>
      </w:r>
      <w:r>
        <w:rPr>
          <w:rFonts w:hint="eastAsia" w:ascii="仿宋" w:hAnsi="仿宋" w:eastAsia="仿宋" w:cs="仿宋"/>
          <w:i w:val="0"/>
          <w:iCs w:val="0"/>
          <w:caps w:val="0"/>
          <w:color w:val="000000"/>
          <w:spacing w:val="0"/>
          <w:sz w:val="27"/>
          <w:szCs w:val="27"/>
        </w:rPr>
        <w:t>年</w:t>
      </w:r>
      <w:r>
        <w:rPr>
          <w:rFonts w:hint="eastAsia" w:ascii="仿宋" w:hAnsi="仿宋" w:eastAsia="仿宋" w:cs="仿宋"/>
          <w:i w:val="0"/>
          <w:iCs w:val="0"/>
          <w:caps w:val="0"/>
          <w:color w:val="000000"/>
          <w:spacing w:val="0"/>
          <w:sz w:val="27"/>
          <w:szCs w:val="27"/>
          <w:u w:val="single"/>
        </w:rPr>
        <w:t> 7 </w:t>
      </w:r>
      <w:r>
        <w:rPr>
          <w:rFonts w:hint="eastAsia" w:ascii="仿宋" w:hAnsi="仿宋" w:eastAsia="仿宋" w:cs="仿宋"/>
          <w:i w:val="0"/>
          <w:iCs w:val="0"/>
          <w:caps w:val="0"/>
          <w:color w:val="000000"/>
          <w:spacing w:val="0"/>
          <w:sz w:val="27"/>
          <w:szCs w:val="27"/>
        </w:rPr>
        <w:t>月</w:t>
      </w:r>
      <w:r>
        <w:rPr>
          <w:rFonts w:hint="eastAsia" w:ascii="仿宋" w:hAnsi="仿宋" w:eastAsia="仿宋" w:cs="仿宋"/>
          <w:i w:val="0"/>
          <w:iCs w:val="0"/>
          <w:caps w:val="0"/>
          <w:color w:val="000000"/>
          <w:spacing w:val="0"/>
          <w:sz w:val="27"/>
          <w:szCs w:val="27"/>
          <w:u w:val="single"/>
        </w:rPr>
        <w:t> 10 </w:t>
      </w:r>
      <w:r>
        <w:rPr>
          <w:rFonts w:hint="eastAsia" w:ascii="仿宋" w:hAnsi="仿宋" w:eastAsia="仿宋" w:cs="仿宋"/>
          <w:i w:val="0"/>
          <w:iCs w:val="0"/>
          <w:caps w:val="0"/>
          <w:color w:val="000000"/>
          <w:spacing w:val="0"/>
          <w:sz w:val="27"/>
          <w:szCs w:val="27"/>
        </w:rPr>
        <w:t>日至</w:t>
      </w:r>
      <w:r>
        <w:rPr>
          <w:rFonts w:hint="eastAsia" w:ascii="仿宋" w:hAnsi="仿宋" w:eastAsia="仿宋" w:cs="仿宋"/>
          <w:i w:val="0"/>
          <w:iCs w:val="0"/>
          <w:caps w:val="0"/>
          <w:color w:val="000000"/>
          <w:spacing w:val="0"/>
          <w:sz w:val="27"/>
          <w:szCs w:val="27"/>
          <w:u w:val="single"/>
        </w:rPr>
        <w:t> 2025 </w:t>
      </w:r>
      <w:r>
        <w:rPr>
          <w:rFonts w:hint="eastAsia" w:ascii="仿宋" w:hAnsi="仿宋" w:eastAsia="仿宋" w:cs="仿宋"/>
          <w:i w:val="0"/>
          <w:iCs w:val="0"/>
          <w:caps w:val="0"/>
          <w:color w:val="000000"/>
          <w:spacing w:val="0"/>
          <w:sz w:val="27"/>
          <w:szCs w:val="27"/>
        </w:rPr>
        <w:t>年</w:t>
      </w:r>
      <w:r>
        <w:rPr>
          <w:rFonts w:hint="eastAsia" w:ascii="仿宋" w:hAnsi="仿宋" w:eastAsia="仿宋" w:cs="仿宋"/>
          <w:i w:val="0"/>
          <w:iCs w:val="0"/>
          <w:caps w:val="0"/>
          <w:color w:val="000000"/>
          <w:spacing w:val="0"/>
          <w:sz w:val="27"/>
          <w:szCs w:val="27"/>
          <w:u w:val="single"/>
        </w:rPr>
        <w:t> 7 </w:t>
      </w:r>
      <w:r>
        <w:rPr>
          <w:rFonts w:hint="eastAsia" w:ascii="仿宋" w:hAnsi="仿宋" w:eastAsia="仿宋" w:cs="仿宋"/>
          <w:i w:val="0"/>
          <w:iCs w:val="0"/>
          <w:caps w:val="0"/>
          <w:color w:val="000000"/>
          <w:spacing w:val="0"/>
          <w:sz w:val="27"/>
          <w:szCs w:val="27"/>
        </w:rPr>
        <w:t>月</w:t>
      </w:r>
      <w:r>
        <w:rPr>
          <w:rFonts w:hint="eastAsia" w:ascii="仿宋" w:hAnsi="仿宋" w:eastAsia="仿宋" w:cs="仿宋"/>
          <w:i w:val="0"/>
          <w:iCs w:val="0"/>
          <w:caps w:val="0"/>
          <w:color w:val="000000"/>
          <w:spacing w:val="0"/>
          <w:sz w:val="27"/>
          <w:szCs w:val="27"/>
          <w:u w:val="single"/>
        </w:rPr>
        <w:t> 12 </w:t>
      </w:r>
      <w:r>
        <w:rPr>
          <w:rFonts w:hint="eastAsia" w:ascii="仿宋" w:hAnsi="仿宋" w:eastAsia="仿宋" w:cs="仿宋"/>
          <w:i w:val="0"/>
          <w:iCs w:val="0"/>
          <w:caps w:val="0"/>
          <w:color w:val="000000"/>
          <w:spacing w:val="0"/>
          <w:sz w:val="27"/>
          <w:szCs w:val="27"/>
        </w:rPr>
        <w:t>日。</w:t>
      </w:r>
    </w:p>
    <w:p w14:paraId="09695C6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（二）甲方委托乙方负责2025年中国航海日主场活动相关事宜，具体如下：</w:t>
      </w:r>
    </w:p>
    <w:p w14:paraId="2C61990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418" w:firstLineChars="155"/>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lang w:val="en-US" w:eastAsia="zh-CN"/>
        </w:rPr>
        <w:t>1、</w:t>
      </w:r>
      <w:r>
        <w:rPr>
          <w:rFonts w:hint="eastAsia" w:ascii="仿宋" w:hAnsi="仿宋" w:eastAsia="仿宋" w:cs="仿宋"/>
          <w:i w:val="0"/>
          <w:iCs w:val="0"/>
          <w:caps w:val="0"/>
          <w:color w:val="000000"/>
          <w:spacing w:val="0"/>
          <w:sz w:val="27"/>
          <w:szCs w:val="27"/>
        </w:rPr>
        <w:t>配合主办方做好活动现场的设计、布置、搭建、物料、翻译等相关会场服务；</w:t>
      </w:r>
    </w:p>
    <w:p w14:paraId="60DE04E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418" w:firstLineChars="155"/>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lang w:val="en-US" w:eastAsia="zh-CN"/>
        </w:rPr>
        <w:t>2、</w:t>
      </w:r>
      <w:r>
        <w:rPr>
          <w:rFonts w:hint="eastAsia" w:ascii="仿宋" w:hAnsi="仿宋" w:eastAsia="仿宋" w:cs="仿宋"/>
          <w:i w:val="0"/>
          <w:iCs w:val="0"/>
          <w:caps w:val="0"/>
          <w:color w:val="000000"/>
          <w:spacing w:val="0"/>
          <w:sz w:val="27"/>
          <w:szCs w:val="27"/>
        </w:rPr>
        <w:t>做好参会嘉宾的前期线上注册、现场签到、接送站、会场间接驳、食宿等保障；</w:t>
      </w:r>
    </w:p>
    <w:p w14:paraId="6ACD219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418" w:firstLineChars="155"/>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lang w:val="en-US" w:eastAsia="zh-CN"/>
        </w:rPr>
        <w:t>3、</w:t>
      </w:r>
      <w:r>
        <w:rPr>
          <w:rFonts w:hint="eastAsia" w:ascii="仿宋" w:hAnsi="仿宋" w:eastAsia="仿宋" w:cs="仿宋"/>
          <w:i w:val="0"/>
          <w:iCs w:val="0"/>
          <w:caps w:val="0"/>
          <w:color w:val="000000"/>
          <w:spacing w:val="0"/>
          <w:sz w:val="27"/>
          <w:szCs w:val="27"/>
        </w:rPr>
        <w:t>组织志愿者做好会务服务；</w:t>
      </w:r>
    </w:p>
    <w:p w14:paraId="2971BA4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leftChars="0" w:firstLine="418" w:firstLineChars="155"/>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lang w:val="en-US" w:eastAsia="zh-CN"/>
        </w:rPr>
        <w:t>4、</w:t>
      </w:r>
      <w:r>
        <w:rPr>
          <w:rFonts w:hint="eastAsia" w:ascii="仿宋" w:hAnsi="仿宋" w:eastAsia="仿宋" w:cs="仿宋"/>
          <w:i w:val="0"/>
          <w:iCs w:val="0"/>
          <w:caps w:val="0"/>
          <w:color w:val="000000"/>
          <w:spacing w:val="0"/>
          <w:sz w:val="27"/>
          <w:szCs w:val="27"/>
        </w:rPr>
        <w:t>配合主办方做好会场外的宣传保障工作。   </w:t>
      </w:r>
    </w:p>
    <w:p w14:paraId="130BDCD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lang w:val="en-US" w:eastAsia="zh-CN"/>
        </w:rPr>
      </w:pPr>
      <w:r>
        <w:rPr>
          <w:rFonts w:hint="eastAsia" w:ascii="仿宋" w:hAnsi="仿宋" w:eastAsia="仿宋" w:cs="仿宋"/>
          <w:i w:val="0"/>
          <w:iCs w:val="0"/>
          <w:caps w:val="0"/>
          <w:color w:val="000000"/>
          <w:spacing w:val="0"/>
          <w:sz w:val="27"/>
          <w:szCs w:val="27"/>
          <w:lang w:val="en-US" w:eastAsia="zh-CN"/>
        </w:rPr>
        <w:t>具体内容如下：</w:t>
      </w:r>
    </w:p>
    <w:tbl>
      <w:tblPr>
        <w:tblStyle w:val="4"/>
        <w:tblW w:w="4998"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
        <w:gridCol w:w="971"/>
        <w:gridCol w:w="2664"/>
        <w:gridCol w:w="927"/>
        <w:gridCol w:w="825"/>
        <w:gridCol w:w="2205"/>
      </w:tblGrid>
      <w:tr w14:paraId="44655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1114" w:type="pct"/>
            <w:gridSpan w:val="2"/>
            <w:noWrap w:val="0"/>
            <w:vAlign w:val="center"/>
          </w:tcPr>
          <w:p w14:paraId="66DE7E5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b/>
                <w:bCs/>
                <w:i w:val="0"/>
                <w:iCs w:val="0"/>
                <w:caps w:val="0"/>
                <w:color w:val="222222"/>
                <w:spacing w:val="0"/>
                <w:kern w:val="0"/>
                <w:sz w:val="21"/>
                <w:szCs w:val="21"/>
                <w:lang w:val="en-US" w:eastAsia="zh-CN" w:bidi="ar"/>
              </w:rPr>
            </w:pPr>
            <w:r>
              <w:rPr>
                <w:rFonts w:hint="eastAsia" w:ascii="仿宋" w:hAnsi="仿宋" w:eastAsia="仿宋" w:cs="仿宋"/>
                <w:b/>
                <w:bCs/>
                <w:i w:val="0"/>
                <w:iCs w:val="0"/>
                <w:caps w:val="0"/>
                <w:color w:val="222222"/>
                <w:spacing w:val="0"/>
                <w:kern w:val="0"/>
                <w:sz w:val="21"/>
                <w:szCs w:val="21"/>
                <w:lang w:val="en-US" w:eastAsia="zh-CN" w:bidi="ar"/>
              </w:rPr>
              <w:t>项目名称</w:t>
            </w:r>
          </w:p>
        </w:tc>
        <w:tc>
          <w:tcPr>
            <w:tcW w:w="1563" w:type="pct"/>
            <w:noWrap w:val="0"/>
            <w:vAlign w:val="center"/>
          </w:tcPr>
          <w:p w14:paraId="1002A21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b/>
                <w:bCs/>
                <w:i w:val="0"/>
                <w:iCs w:val="0"/>
                <w:caps w:val="0"/>
                <w:color w:val="222222"/>
                <w:spacing w:val="0"/>
                <w:kern w:val="0"/>
                <w:sz w:val="21"/>
                <w:szCs w:val="21"/>
                <w:lang w:val="en-US" w:eastAsia="zh-CN" w:bidi="ar"/>
              </w:rPr>
            </w:pPr>
            <w:r>
              <w:rPr>
                <w:rFonts w:hint="eastAsia" w:ascii="仿宋" w:hAnsi="仿宋" w:eastAsia="仿宋" w:cs="仿宋"/>
                <w:b/>
                <w:bCs/>
                <w:i w:val="0"/>
                <w:iCs w:val="0"/>
                <w:caps w:val="0"/>
                <w:color w:val="222222"/>
                <w:spacing w:val="0"/>
                <w:kern w:val="0"/>
                <w:sz w:val="21"/>
                <w:szCs w:val="21"/>
                <w:lang w:val="en-US" w:eastAsia="zh-CN" w:bidi="ar"/>
              </w:rPr>
              <w:t>项目内容</w:t>
            </w:r>
          </w:p>
        </w:tc>
        <w:tc>
          <w:tcPr>
            <w:tcW w:w="544" w:type="pct"/>
            <w:noWrap w:val="0"/>
            <w:vAlign w:val="center"/>
          </w:tcPr>
          <w:p w14:paraId="4D56B18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b/>
                <w:bCs/>
                <w:i w:val="0"/>
                <w:iCs w:val="0"/>
                <w:caps w:val="0"/>
                <w:color w:val="222222"/>
                <w:spacing w:val="0"/>
                <w:kern w:val="0"/>
                <w:sz w:val="21"/>
                <w:szCs w:val="21"/>
                <w:lang w:val="en-US" w:eastAsia="zh-CN" w:bidi="ar"/>
              </w:rPr>
            </w:pPr>
            <w:r>
              <w:rPr>
                <w:rFonts w:hint="eastAsia" w:ascii="仿宋" w:hAnsi="仿宋" w:eastAsia="仿宋" w:cs="仿宋"/>
                <w:b/>
                <w:bCs/>
                <w:i w:val="0"/>
                <w:iCs w:val="0"/>
                <w:caps w:val="0"/>
                <w:color w:val="222222"/>
                <w:spacing w:val="0"/>
                <w:kern w:val="0"/>
                <w:sz w:val="21"/>
                <w:szCs w:val="21"/>
                <w:lang w:val="en-US" w:eastAsia="zh-CN" w:bidi="ar"/>
              </w:rPr>
              <w:t>数量</w:t>
            </w:r>
          </w:p>
        </w:tc>
        <w:tc>
          <w:tcPr>
            <w:tcW w:w="484" w:type="pct"/>
            <w:noWrap w:val="0"/>
            <w:vAlign w:val="center"/>
          </w:tcPr>
          <w:p w14:paraId="0E6EECB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b/>
                <w:bCs/>
                <w:i w:val="0"/>
                <w:iCs w:val="0"/>
                <w:caps w:val="0"/>
                <w:color w:val="222222"/>
                <w:spacing w:val="0"/>
                <w:kern w:val="0"/>
                <w:sz w:val="21"/>
                <w:szCs w:val="21"/>
                <w:lang w:val="en-US" w:eastAsia="zh-CN" w:bidi="ar"/>
              </w:rPr>
            </w:pPr>
            <w:r>
              <w:rPr>
                <w:rFonts w:hint="eastAsia" w:ascii="仿宋" w:hAnsi="仿宋" w:eastAsia="仿宋" w:cs="仿宋"/>
                <w:b/>
                <w:bCs/>
                <w:i w:val="0"/>
                <w:iCs w:val="0"/>
                <w:caps w:val="0"/>
                <w:color w:val="222222"/>
                <w:spacing w:val="0"/>
                <w:kern w:val="0"/>
                <w:sz w:val="21"/>
                <w:szCs w:val="21"/>
                <w:lang w:val="en-US" w:eastAsia="zh-CN" w:bidi="ar"/>
              </w:rPr>
              <w:t>单位</w:t>
            </w:r>
          </w:p>
        </w:tc>
        <w:tc>
          <w:tcPr>
            <w:tcW w:w="1294" w:type="pct"/>
            <w:noWrap w:val="0"/>
            <w:vAlign w:val="center"/>
          </w:tcPr>
          <w:p w14:paraId="2B0E8F1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b/>
                <w:bCs/>
                <w:i w:val="0"/>
                <w:iCs w:val="0"/>
                <w:caps w:val="0"/>
                <w:color w:val="222222"/>
                <w:spacing w:val="0"/>
                <w:kern w:val="0"/>
                <w:sz w:val="21"/>
                <w:szCs w:val="21"/>
                <w:lang w:val="en-US" w:eastAsia="zh-CN" w:bidi="ar"/>
              </w:rPr>
            </w:pPr>
            <w:r>
              <w:rPr>
                <w:rFonts w:hint="eastAsia" w:ascii="仿宋" w:hAnsi="仿宋" w:eastAsia="仿宋" w:cs="仿宋"/>
                <w:b/>
                <w:bCs/>
                <w:i w:val="0"/>
                <w:iCs w:val="0"/>
                <w:caps w:val="0"/>
                <w:color w:val="222222"/>
                <w:spacing w:val="0"/>
                <w:kern w:val="0"/>
                <w:sz w:val="21"/>
                <w:szCs w:val="21"/>
                <w:lang w:val="en-US" w:eastAsia="zh-CN" w:bidi="ar"/>
              </w:rPr>
              <w:t>备注</w:t>
            </w:r>
          </w:p>
        </w:tc>
      </w:tr>
      <w:tr w14:paraId="1BF7C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restart"/>
            <w:noWrap w:val="0"/>
            <w:vAlign w:val="center"/>
          </w:tcPr>
          <w:p w14:paraId="0019EF7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会务保障</w:t>
            </w:r>
          </w:p>
        </w:tc>
        <w:tc>
          <w:tcPr>
            <w:tcW w:w="570" w:type="pct"/>
            <w:noWrap w:val="0"/>
            <w:vAlign w:val="center"/>
          </w:tcPr>
          <w:p w14:paraId="01A3CAF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交通保障</w:t>
            </w:r>
          </w:p>
        </w:tc>
        <w:tc>
          <w:tcPr>
            <w:tcW w:w="1563" w:type="pct"/>
            <w:noWrap w:val="0"/>
            <w:vAlign w:val="center"/>
          </w:tcPr>
          <w:p w14:paraId="0A3D05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lang w:val="en-US" w:eastAsia="zh-CN"/>
              </w:rPr>
            </w:pPr>
            <w:r>
              <w:rPr>
                <w:rFonts w:hint="eastAsia" w:ascii="仿宋" w:hAnsi="仿宋" w:eastAsia="仿宋" w:cs="仿宋"/>
                <w:i w:val="0"/>
                <w:iCs w:val="0"/>
                <w:caps w:val="0"/>
                <w:color w:val="222222"/>
                <w:spacing w:val="0"/>
                <w:kern w:val="0"/>
                <w:sz w:val="21"/>
                <w:szCs w:val="21"/>
                <w:lang w:val="en-US" w:eastAsia="zh-CN" w:bidi="ar"/>
              </w:rPr>
              <w:t>做好出席会议的所有参会嘉宾交通保障，包括嘉宾联络、接送站（机场）的组织协调、会场间接驳以及为重要嘉宾提供用车服务。</w:t>
            </w:r>
          </w:p>
        </w:tc>
        <w:tc>
          <w:tcPr>
            <w:tcW w:w="544" w:type="pct"/>
            <w:noWrap w:val="0"/>
            <w:vAlign w:val="center"/>
          </w:tcPr>
          <w:p w14:paraId="01B5FF7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4F96D35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12BDFC9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6EF62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45A9304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275E645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志愿者服务</w:t>
            </w:r>
          </w:p>
        </w:tc>
        <w:tc>
          <w:tcPr>
            <w:tcW w:w="1563" w:type="pct"/>
            <w:noWrap w:val="0"/>
            <w:vAlign w:val="center"/>
          </w:tcPr>
          <w:p w14:paraId="0F2613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负责志愿者的培训工作；做好志愿者的证件服务与管理（包括工作证、服装等）；志愿者后勤服务与管理（包括住宿、用餐、补贴等）等。</w:t>
            </w:r>
          </w:p>
        </w:tc>
        <w:tc>
          <w:tcPr>
            <w:tcW w:w="544" w:type="pct"/>
            <w:noWrap w:val="0"/>
            <w:vAlign w:val="center"/>
          </w:tcPr>
          <w:p w14:paraId="68BB075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08B7756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0EF4717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1B6B9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4664752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5BD08C6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签到注册</w:t>
            </w:r>
          </w:p>
        </w:tc>
        <w:tc>
          <w:tcPr>
            <w:tcW w:w="1563" w:type="pct"/>
            <w:noWrap w:val="0"/>
            <w:vAlign w:val="center"/>
          </w:tcPr>
          <w:p w14:paraId="03EB5C4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现场签到系统、技术、注册小程序等。</w:t>
            </w:r>
          </w:p>
        </w:tc>
        <w:tc>
          <w:tcPr>
            <w:tcW w:w="544" w:type="pct"/>
            <w:noWrap w:val="0"/>
            <w:vAlign w:val="center"/>
          </w:tcPr>
          <w:p w14:paraId="19C6B6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5F06835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270833C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4865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367555D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7465A4F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0000FF"/>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物料印刷制作</w:t>
            </w:r>
          </w:p>
        </w:tc>
        <w:tc>
          <w:tcPr>
            <w:tcW w:w="1563" w:type="pct"/>
            <w:noWrap w:val="0"/>
            <w:vAlign w:val="center"/>
          </w:tcPr>
          <w:p w14:paraId="17D2E644">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根据活动周主题，提供主视觉设计以及会场内外背景布置、展板展台布置；</w:t>
            </w:r>
          </w:p>
          <w:p w14:paraId="02CFA56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color w:val="auto"/>
                <w:lang w:val="en-US" w:eastAsia="zh-CN"/>
              </w:rPr>
            </w:pPr>
            <w:r>
              <w:rPr>
                <w:rFonts w:hint="eastAsia" w:ascii="仿宋" w:hAnsi="仿宋" w:eastAsia="仿宋" w:cs="仿宋"/>
                <w:i w:val="0"/>
                <w:iCs w:val="0"/>
                <w:caps w:val="0"/>
                <w:color w:val="auto"/>
                <w:spacing w:val="0"/>
                <w:kern w:val="0"/>
                <w:sz w:val="21"/>
                <w:szCs w:val="21"/>
                <w:lang w:val="en-US" w:eastAsia="zh-CN" w:bidi="ar"/>
              </w:rPr>
              <w:t>2、根据会务需求，编制并提供会议手册、证件等物料。</w:t>
            </w:r>
          </w:p>
        </w:tc>
        <w:tc>
          <w:tcPr>
            <w:tcW w:w="544" w:type="pct"/>
            <w:noWrap w:val="0"/>
            <w:vAlign w:val="center"/>
          </w:tcPr>
          <w:p w14:paraId="5A78C54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0713E0F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7667FF8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1663B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restart"/>
            <w:noWrap w:val="0"/>
            <w:vAlign w:val="center"/>
          </w:tcPr>
          <w:p w14:paraId="11E3F3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中国航海日主论坛暨启动仪式、闭幕式</w:t>
            </w:r>
          </w:p>
        </w:tc>
        <w:tc>
          <w:tcPr>
            <w:tcW w:w="570" w:type="pct"/>
            <w:noWrap w:val="0"/>
            <w:vAlign w:val="center"/>
          </w:tcPr>
          <w:p w14:paraId="57C6EE5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场地保障</w:t>
            </w:r>
          </w:p>
        </w:tc>
        <w:tc>
          <w:tcPr>
            <w:tcW w:w="1563" w:type="pct"/>
            <w:noWrap w:val="0"/>
            <w:vAlign w:val="center"/>
          </w:tcPr>
          <w:p w14:paraId="7D551BF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根据会务方案，提供满足主会场会议需求的场地，并保障主会场的会务工作，为参会贵宾准备休息室，以及提供预计两天的工作人员工作室。</w:t>
            </w:r>
          </w:p>
        </w:tc>
        <w:tc>
          <w:tcPr>
            <w:tcW w:w="544" w:type="pct"/>
            <w:noWrap w:val="0"/>
            <w:vAlign w:val="center"/>
          </w:tcPr>
          <w:p w14:paraId="19B434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3224F95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vMerge w:val="restart"/>
            <w:noWrap w:val="0"/>
            <w:vAlign w:val="center"/>
          </w:tcPr>
          <w:p w14:paraId="328DB44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1、2025年中国航海日主论坛暨全国航海日活动周启动仪式于7 月 11 日上午召开；</w:t>
            </w:r>
          </w:p>
          <w:p w14:paraId="26B9D1F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2、2025 年中国航海日论坛暨全国航海日活动周主场活动闭幕式于7 月 12 日下午召开。</w:t>
            </w:r>
          </w:p>
        </w:tc>
      </w:tr>
      <w:tr w14:paraId="00EA7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544" w:type="pct"/>
            <w:vMerge w:val="continue"/>
            <w:noWrap w:val="0"/>
            <w:vAlign w:val="center"/>
          </w:tcPr>
          <w:p w14:paraId="3C8A844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vMerge w:val="restart"/>
            <w:noWrap w:val="0"/>
            <w:vAlign w:val="center"/>
          </w:tcPr>
          <w:p w14:paraId="57D685B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参会代表用餐</w:t>
            </w:r>
          </w:p>
        </w:tc>
        <w:tc>
          <w:tcPr>
            <w:tcW w:w="1563" w:type="pct"/>
            <w:noWrap w:val="0"/>
            <w:vAlign w:val="center"/>
          </w:tcPr>
          <w:p w14:paraId="59138DC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保障参会代表11日中午的自助午餐。</w:t>
            </w:r>
          </w:p>
        </w:tc>
        <w:tc>
          <w:tcPr>
            <w:tcW w:w="544" w:type="pct"/>
            <w:noWrap w:val="0"/>
            <w:vAlign w:val="center"/>
          </w:tcPr>
          <w:p w14:paraId="0A422D4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4436980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场</w:t>
            </w:r>
          </w:p>
        </w:tc>
        <w:tc>
          <w:tcPr>
            <w:tcW w:w="1294" w:type="pct"/>
            <w:vMerge w:val="continue"/>
            <w:noWrap w:val="0"/>
            <w:vAlign w:val="center"/>
          </w:tcPr>
          <w:p w14:paraId="0A5ACE3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267CE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restart"/>
            <w:noWrap w:val="0"/>
            <w:vAlign w:val="center"/>
          </w:tcPr>
          <w:p w14:paraId="48DEC01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2025年全国航海科普季启动仪式暨“匠说航海”科普讲座</w:t>
            </w:r>
          </w:p>
        </w:tc>
        <w:tc>
          <w:tcPr>
            <w:tcW w:w="570" w:type="pct"/>
            <w:noWrap w:val="0"/>
            <w:vAlign w:val="center"/>
          </w:tcPr>
          <w:p w14:paraId="3C6FCAB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物料印刷制作</w:t>
            </w:r>
          </w:p>
        </w:tc>
        <w:tc>
          <w:tcPr>
            <w:tcW w:w="1563" w:type="pct"/>
            <w:noWrap w:val="0"/>
            <w:vAlign w:val="center"/>
          </w:tcPr>
          <w:p w14:paraId="7AFCD36A">
            <w:pPr>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left"/>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根据讲座主题，提供主视觉设计以及讲座背景板制作；</w:t>
            </w:r>
          </w:p>
          <w:p w14:paraId="3DD6AC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2、根据会务需求，并提供会议资料、麦克风套、桌签、讲台贴等物料。</w:t>
            </w:r>
          </w:p>
        </w:tc>
        <w:tc>
          <w:tcPr>
            <w:tcW w:w="544" w:type="pct"/>
            <w:noWrap w:val="0"/>
            <w:vAlign w:val="center"/>
          </w:tcPr>
          <w:p w14:paraId="5875020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798F34B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vMerge w:val="restart"/>
            <w:noWrap w:val="0"/>
            <w:vAlign w:val="center"/>
          </w:tcPr>
          <w:p w14:paraId="0EB6890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启动仪式于7月10日上午举行，地点：南海博物馆</w:t>
            </w:r>
          </w:p>
        </w:tc>
      </w:tr>
      <w:tr w14:paraId="6B0C4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0A19689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31AC829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场地设备及搭建</w:t>
            </w:r>
          </w:p>
        </w:tc>
        <w:tc>
          <w:tcPr>
            <w:tcW w:w="1563" w:type="pct"/>
            <w:noWrap w:val="0"/>
            <w:vAlign w:val="center"/>
          </w:tcPr>
          <w:p w14:paraId="6289AA3B">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auto"/>
              <w:rPr>
                <w:rFonts w:hint="eastAsia" w:ascii="仿宋" w:hAnsi="仿宋" w:eastAsia="仿宋" w:cs="仿宋"/>
                <w:color w:val="auto"/>
                <w:kern w:val="0"/>
                <w:sz w:val="21"/>
                <w:szCs w:val="21"/>
                <w:lang w:bidi="ar"/>
              </w:rPr>
            </w:pPr>
            <w:r>
              <w:rPr>
                <w:rFonts w:hint="eastAsia" w:ascii="仿宋" w:hAnsi="仿宋" w:eastAsia="仿宋" w:cs="仿宋"/>
                <w:color w:val="auto"/>
                <w:kern w:val="0"/>
                <w:sz w:val="21"/>
                <w:szCs w:val="21"/>
                <w:lang w:val="en-US" w:eastAsia="zh-CN" w:bidi="ar"/>
              </w:rPr>
              <w:t>场地</w:t>
            </w:r>
            <w:r>
              <w:rPr>
                <w:rFonts w:hint="eastAsia" w:ascii="仿宋" w:hAnsi="仿宋" w:eastAsia="仿宋" w:cs="仿宋"/>
                <w:color w:val="auto"/>
                <w:kern w:val="0"/>
                <w:sz w:val="21"/>
                <w:szCs w:val="21"/>
                <w:lang w:bidi="ar"/>
              </w:rPr>
              <w:t>设计</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lang w:bidi="ar"/>
              </w:rPr>
              <w:t>搭建</w:t>
            </w:r>
            <w:r>
              <w:rPr>
                <w:rFonts w:hint="eastAsia" w:ascii="仿宋" w:hAnsi="仿宋" w:eastAsia="仿宋" w:cs="仿宋"/>
                <w:color w:val="auto"/>
                <w:kern w:val="0"/>
                <w:sz w:val="21"/>
                <w:szCs w:val="21"/>
                <w:lang w:val="en-US" w:eastAsia="zh-CN" w:bidi="ar"/>
              </w:rPr>
              <w:t>及撤除</w:t>
            </w:r>
            <w:r>
              <w:rPr>
                <w:rFonts w:hint="eastAsia" w:ascii="仿宋" w:hAnsi="仿宋" w:eastAsia="仿宋" w:cs="仿宋"/>
                <w:color w:val="auto"/>
                <w:kern w:val="0"/>
                <w:sz w:val="21"/>
                <w:szCs w:val="21"/>
                <w:lang w:bidi="ar"/>
              </w:rPr>
              <w:t>服务工作</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lang w:val="en-US" w:eastAsia="zh-CN" w:bidi="ar"/>
              </w:rPr>
              <w:t>包括但不限于背景板的布置、舞台的设计、灯光、屏幕、反馈屏以及音响等；</w:t>
            </w:r>
          </w:p>
          <w:p w14:paraId="5778AA2B">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auto"/>
              <w:rPr>
                <w:rFonts w:hint="eastAsia" w:ascii="仿宋" w:hAnsi="仿宋" w:eastAsia="仿宋" w:cs="仿宋"/>
                <w:color w:val="auto"/>
                <w:kern w:val="0"/>
                <w:sz w:val="21"/>
                <w:szCs w:val="21"/>
                <w:lang w:bidi="ar"/>
              </w:rPr>
            </w:pPr>
            <w:r>
              <w:rPr>
                <w:rFonts w:hint="eastAsia" w:ascii="仿宋" w:hAnsi="仿宋" w:eastAsia="仿宋" w:cs="仿宋"/>
                <w:color w:val="auto"/>
                <w:kern w:val="0"/>
                <w:sz w:val="21"/>
                <w:szCs w:val="21"/>
                <w:lang w:val="en-US" w:eastAsia="zh-CN" w:bidi="ar"/>
              </w:rPr>
              <w:t>供应商应提供相应的技术服务，保障讲座灯光及音响的正常运行，音响无噪音清晰；</w:t>
            </w:r>
          </w:p>
          <w:p w14:paraId="1B3566C6">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color w:val="auto"/>
                <w:kern w:val="0"/>
                <w:sz w:val="21"/>
                <w:szCs w:val="21"/>
                <w:lang w:val="en-US" w:eastAsia="zh-CN" w:bidi="ar"/>
              </w:rPr>
              <w:t>提供航海书画作品展示板；</w:t>
            </w:r>
          </w:p>
          <w:p w14:paraId="10DB9704">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color w:val="auto"/>
                <w:kern w:val="0"/>
                <w:sz w:val="21"/>
                <w:szCs w:val="21"/>
                <w:lang w:val="en-US" w:eastAsia="zh-CN" w:bidi="ar"/>
              </w:rPr>
              <w:t>提供摄影摄像服务。</w:t>
            </w:r>
          </w:p>
        </w:tc>
        <w:tc>
          <w:tcPr>
            <w:tcW w:w="544" w:type="pct"/>
            <w:noWrap w:val="0"/>
            <w:vAlign w:val="center"/>
          </w:tcPr>
          <w:p w14:paraId="7364E47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46E8B2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vMerge w:val="continue"/>
            <w:noWrap w:val="0"/>
            <w:vAlign w:val="center"/>
          </w:tcPr>
          <w:p w14:paraId="4AF0738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1A5C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restart"/>
            <w:noWrap w:val="0"/>
            <w:vAlign w:val="center"/>
          </w:tcPr>
          <w:p w14:paraId="5C909E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宣传推广</w:t>
            </w:r>
          </w:p>
        </w:tc>
        <w:tc>
          <w:tcPr>
            <w:tcW w:w="570" w:type="pct"/>
            <w:noWrap w:val="0"/>
            <w:vAlign w:val="center"/>
          </w:tcPr>
          <w:p w14:paraId="7DDA1A7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000000"/>
                <w:spacing w:val="0"/>
                <w:kern w:val="0"/>
                <w:sz w:val="21"/>
                <w:szCs w:val="21"/>
                <w:lang w:val="en-US" w:eastAsia="zh-CN" w:bidi="ar"/>
              </w:rPr>
            </w:pPr>
            <w:r>
              <w:rPr>
                <w:rFonts w:hint="eastAsia" w:ascii="仿宋" w:hAnsi="仿宋" w:eastAsia="仿宋" w:cs="仿宋"/>
                <w:i w:val="0"/>
                <w:iCs w:val="0"/>
                <w:caps w:val="0"/>
                <w:color w:val="000000"/>
                <w:spacing w:val="0"/>
                <w:kern w:val="0"/>
                <w:sz w:val="21"/>
                <w:szCs w:val="21"/>
                <w:lang w:val="en-US" w:eastAsia="zh-CN" w:bidi="ar"/>
              </w:rPr>
              <w:t>城市氛围营造</w:t>
            </w:r>
          </w:p>
        </w:tc>
        <w:tc>
          <w:tcPr>
            <w:tcW w:w="1563" w:type="pct"/>
            <w:noWrap w:val="0"/>
            <w:vAlign w:val="center"/>
          </w:tcPr>
          <w:p w14:paraId="5C5D61C2">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000000"/>
                <w:spacing w:val="0"/>
                <w:kern w:val="0"/>
                <w:sz w:val="21"/>
                <w:szCs w:val="21"/>
                <w:lang w:val="en-US" w:eastAsia="zh-CN" w:bidi="ar"/>
              </w:rPr>
            </w:pPr>
            <w:r>
              <w:rPr>
                <w:rFonts w:hint="eastAsia" w:ascii="仿宋" w:hAnsi="仿宋" w:eastAsia="仿宋" w:cs="仿宋"/>
                <w:i w:val="0"/>
                <w:iCs w:val="0"/>
                <w:caps w:val="0"/>
                <w:color w:val="000000"/>
                <w:spacing w:val="0"/>
                <w:kern w:val="0"/>
                <w:sz w:val="21"/>
                <w:szCs w:val="21"/>
                <w:lang w:val="en-US" w:eastAsia="zh-CN" w:bidi="ar"/>
              </w:rPr>
              <w:t>在海口美兰机场、琼海博鳌机场、三亚凤凰机场、海口美兰动车站、琼海博鳌动车站、高速路出入口进行宣传，包括海报、LED屏幕等；</w:t>
            </w:r>
          </w:p>
          <w:p w14:paraId="415F4751">
            <w:pPr>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000000"/>
                <w:spacing w:val="0"/>
                <w:kern w:val="0"/>
                <w:sz w:val="21"/>
                <w:szCs w:val="21"/>
                <w:lang w:val="en-US" w:eastAsia="zh-CN" w:bidi="ar"/>
              </w:rPr>
            </w:pPr>
            <w:r>
              <w:rPr>
                <w:rFonts w:hint="eastAsia" w:ascii="仿宋" w:hAnsi="仿宋" w:eastAsia="仿宋" w:cs="仿宋"/>
                <w:i w:val="0"/>
                <w:iCs w:val="0"/>
                <w:caps w:val="0"/>
                <w:color w:val="000000"/>
                <w:spacing w:val="0"/>
                <w:kern w:val="0"/>
                <w:sz w:val="21"/>
                <w:szCs w:val="21"/>
                <w:lang w:val="en-US" w:eastAsia="zh-CN" w:bidi="ar"/>
              </w:rPr>
              <w:t>在琼海城市主干道道路、博鳌互通到东屿岛的迎宾路以及博鳌核心区域提供灯杆道旗，营造城市氛围。</w:t>
            </w:r>
          </w:p>
        </w:tc>
        <w:tc>
          <w:tcPr>
            <w:tcW w:w="544" w:type="pct"/>
            <w:noWrap w:val="0"/>
            <w:vAlign w:val="center"/>
          </w:tcPr>
          <w:p w14:paraId="68CA96B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42F928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39A5DA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2F70E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2AC3282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18FD01E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媒体现场采访</w:t>
            </w:r>
          </w:p>
        </w:tc>
        <w:tc>
          <w:tcPr>
            <w:tcW w:w="1563" w:type="pct"/>
            <w:noWrap w:val="0"/>
            <w:vAlign w:val="center"/>
          </w:tcPr>
          <w:p w14:paraId="1A91125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7月9日-12日媒体现场采访，保障媒体人员往返及市内交通、食宿等。</w:t>
            </w:r>
          </w:p>
        </w:tc>
        <w:tc>
          <w:tcPr>
            <w:tcW w:w="544" w:type="pct"/>
            <w:noWrap w:val="0"/>
            <w:vAlign w:val="center"/>
          </w:tcPr>
          <w:p w14:paraId="7D3AF69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312433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0B9EC22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7E005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1F8EABD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0AEBC87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新闻通气会</w:t>
            </w:r>
          </w:p>
        </w:tc>
        <w:tc>
          <w:tcPr>
            <w:tcW w:w="1563" w:type="pct"/>
            <w:noWrap w:val="0"/>
            <w:vAlign w:val="center"/>
          </w:tcPr>
          <w:p w14:paraId="199C637E">
            <w:pPr>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提供满足会议需求的场地，并保障主会场的会务工作，提供会议所需的物料（包括会议资料、麦克风套、桌签、讲台贴等）；</w:t>
            </w:r>
          </w:p>
          <w:p w14:paraId="5F6D3289">
            <w:pPr>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color w:val="auto"/>
                <w:kern w:val="0"/>
                <w:sz w:val="21"/>
                <w:szCs w:val="21"/>
                <w:lang w:val="en-US" w:eastAsia="zh-CN" w:bidi="ar"/>
              </w:rPr>
              <w:t>场地</w:t>
            </w:r>
            <w:r>
              <w:rPr>
                <w:rFonts w:hint="eastAsia" w:ascii="仿宋" w:hAnsi="仿宋" w:eastAsia="仿宋" w:cs="仿宋"/>
                <w:color w:val="auto"/>
                <w:kern w:val="0"/>
                <w:sz w:val="21"/>
                <w:szCs w:val="21"/>
                <w:lang w:bidi="ar"/>
              </w:rPr>
              <w:t>设计</w:t>
            </w:r>
            <w:r>
              <w:rPr>
                <w:rFonts w:hint="eastAsia" w:ascii="仿宋" w:hAnsi="仿宋" w:eastAsia="仿宋" w:cs="仿宋"/>
                <w:color w:val="auto"/>
                <w:kern w:val="0"/>
                <w:sz w:val="21"/>
                <w:szCs w:val="21"/>
                <w:lang w:eastAsia="zh-CN" w:bidi="ar"/>
              </w:rPr>
              <w:t>、</w:t>
            </w:r>
            <w:r>
              <w:rPr>
                <w:rFonts w:hint="eastAsia" w:ascii="仿宋" w:hAnsi="仿宋" w:eastAsia="仿宋" w:cs="仿宋"/>
                <w:color w:val="auto"/>
                <w:kern w:val="0"/>
                <w:sz w:val="21"/>
                <w:szCs w:val="21"/>
                <w:lang w:bidi="ar"/>
              </w:rPr>
              <w:t>搭建</w:t>
            </w:r>
            <w:r>
              <w:rPr>
                <w:rFonts w:hint="eastAsia" w:ascii="仿宋" w:hAnsi="仿宋" w:eastAsia="仿宋" w:cs="仿宋"/>
                <w:color w:val="auto"/>
                <w:kern w:val="0"/>
                <w:sz w:val="21"/>
                <w:szCs w:val="21"/>
                <w:lang w:val="en-US" w:eastAsia="zh-CN" w:bidi="ar"/>
              </w:rPr>
              <w:t>及撤除</w:t>
            </w:r>
            <w:r>
              <w:rPr>
                <w:rFonts w:hint="eastAsia" w:ascii="仿宋" w:hAnsi="仿宋" w:eastAsia="仿宋" w:cs="仿宋"/>
                <w:color w:val="auto"/>
                <w:kern w:val="0"/>
                <w:sz w:val="21"/>
                <w:szCs w:val="21"/>
                <w:lang w:bidi="ar"/>
              </w:rPr>
              <w:t>服务工作</w:t>
            </w:r>
            <w:r>
              <w:rPr>
                <w:rFonts w:hint="eastAsia" w:ascii="仿宋" w:hAnsi="仿宋" w:eastAsia="仿宋" w:cs="仿宋"/>
                <w:color w:val="auto"/>
                <w:kern w:val="0"/>
                <w:sz w:val="21"/>
                <w:szCs w:val="21"/>
                <w:lang w:eastAsia="zh-CN" w:bidi="ar"/>
              </w:rPr>
              <w:t>。</w:t>
            </w:r>
          </w:p>
        </w:tc>
        <w:tc>
          <w:tcPr>
            <w:tcW w:w="544" w:type="pct"/>
            <w:noWrap w:val="0"/>
            <w:vAlign w:val="center"/>
          </w:tcPr>
          <w:p w14:paraId="40FC493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48CABBD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7013D69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新闻通气会于7 月 10 日下午召开，地点：博鳌</w:t>
            </w:r>
          </w:p>
        </w:tc>
      </w:tr>
      <w:tr w14:paraId="1E85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0B8DB3C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6B066D2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直播推流</w:t>
            </w:r>
          </w:p>
        </w:tc>
        <w:tc>
          <w:tcPr>
            <w:tcW w:w="1563" w:type="pct"/>
            <w:noWrap w:val="0"/>
            <w:vAlign w:val="center"/>
          </w:tcPr>
          <w:p w14:paraId="00B4D2C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Chars="0" w:right="0" w:rightChars="0"/>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活动期间保证5-10场的现场直播，不少于30个推拉流平台合作。</w:t>
            </w:r>
          </w:p>
        </w:tc>
        <w:tc>
          <w:tcPr>
            <w:tcW w:w="544" w:type="pct"/>
            <w:noWrap w:val="0"/>
            <w:vAlign w:val="center"/>
          </w:tcPr>
          <w:p w14:paraId="7C5F2A9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484" w:type="pct"/>
            <w:noWrap w:val="0"/>
            <w:vAlign w:val="center"/>
          </w:tcPr>
          <w:p w14:paraId="07449E6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1D79E5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3D23A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6FC7AD5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3ED12FA9">
            <w:pPr>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olor w:val="222222"/>
                <w:kern w:val="0"/>
                <w:sz w:val="21"/>
                <w:szCs w:val="21"/>
                <w:u w:val="none"/>
                <w:lang w:val="en-US" w:eastAsia="zh-CN" w:bidi="ar"/>
              </w:rPr>
              <w:t>网站和新媒体</w:t>
            </w:r>
          </w:p>
        </w:tc>
        <w:tc>
          <w:tcPr>
            <w:tcW w:w="1563" w:type="pct"/>
            <w:noWrap w:val="0"/>
            <w:vAlign w:val="center"/>
          </w:tcPr>
          <w:p w14:paraId="6DA24D89">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line="240" w:lineRule="auto"/>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制作“2025 年中国航海日活动周”专题网页，在中国航海学会网站、交通运输部网站、中国交通新闻网、海事服务网发布；</w:t>
            </w:r>
          </w:p>
          <w:p w14:paraId="32BEEE85">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line="240" w:lineRule="auto"/>
              <w:jc w:val="both"/>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新媒体宣传，包括发布微博公益广告、微博话题接龙、开展短视频创作活动等</w:t>
            </w:r>
            <w:r>
              <w:rPr>
                <w:rFonts w:hint="eastAsia" w:ascii="仿宋" w:hAnsi="仿宋" w:eastAsia="仿宋" w:cs="仿宋"/>
                <w:i w:val="0"/>
                <w:iCs w:val="0"/>
                <w:caps w:val="0"/>
                <w:color w:val="222222"/>
                <w:spacing w:val="0"/>
                <w:kern w:val="0"/>
                <w:sz w:val="21"/>
                <w:szCs w:val="21"/>
                <w:lang w:val="en-US" w:eastAsia="zh-CN" w:bidi="ar"/>
              </w:rPr>
              <w:t>。</w:t>
            </w:r>
          </w:p>
        </w:tc>
        <w:tc>
          <w:tcPr>
            <w:tcW w:w="653" w:type="dxa"/>
            <w:noWrap w:val="0"/>
            <w:vAlign w:val="center"/>
          </w:tcPr>
          <w:p w14:paraId="6FC19AF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581" w:type="dxa"/>
            <w:noWrap w:val="0"/>
            <w:vAlign w:val="center"/>
          </w:tcPr>
          <w:p w14:paraId="56FB10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4FB96B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17620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083F1DF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3283DAFF">
            <w:pPr>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olor w:val="222222"/>
                <w:kern w:val="0"/>
                <w:sz w:val="21"/>
                <w:szCs w:val="21"/>
                <w:u w:val="none"/>
                <w:lang w:val="en-US" w:eastAsia="zh-CN" w:bidi="ar"/>
              </w:rPr>
              <w:t>专版宣传</w:t>
            </w:r>
          </w:p>
        </w:tc>
        <w:tc>
          <w:tcPr>
            <w:tcW w:w="1563" w:type="pct"/>
            <w:noWrap w:val="0"/>
            <w:vAlign w:val="center"/>
          </w:tcPr>
          <w:p w14:paraId="4D046E28">
            <w:pPr>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olor w:val="222222"/>
                <w:kern w:val="0"/>
                <w:sz w:val="21"/>
                <w:szCs w:val="21"/>
                <w:u w:val="none"/>
                <w:lang w:val="en-US" w:eastAsia="zh-CN" w:bidi="ar"/>
              </w:rPr>
              <w:t>6个专版宣传</w:t>
            </w:r>
          </w:p>
        </w:tc>
        <w:tc>
          <w:tcPr>
            <w:tcW w:w="653" w:type="dxa"/>
            <w:noWrap w:val="0"/>
            <w:vAlign w:val="center"/>
          </w:tcPr>
          <w:p w14:paraId="418BD26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581" w:type="dxa"/>
            <w:noWrap w:val="0"/>
            <w:vAlign w:val="center"/>
          </w:tcPr>
          <w:p w14:paraId="44A97EC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704F7D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r w14:paraId="05F2D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 w:type="pct"/>
            <w:vMerge w:val="continue"/>
            <w:noWrap w:val="0"/>
            <w:vAlign w:val="center"/>
          </w:tcPr>
          <w:p w14:paraId="6CD7260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c>
          <w:tcPr>
            <w:tcW w:w="570" w:type="pct"/>
            <w:noWrap w:val="0"/>
            <w:vAlign w:val="center"/>
          </w:tcPr>
          <w:p w14:paraId="0AEEB9C7">
            <w:pPr>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olor w:val="222222"/>
                <w:kern w:val="0"/>
                <w:sz w:val="21"/>
                <w:szCs w:val="21"/>
                <w:u w:val="none"/>
                <w:lang w:val="en-US" w:eastAsia="zh-CN" w:bidi="ar"/>
              </w:rPr>
              <w:t>舆情监控</w:t>
            </w:r>
          </w:p>
        </w:tc>
        <w:tc>
          <w:tcPr>
            <w:tcW w:w="1563" w:type="pct"/>
            <w:noWrap w:val="0"/>
            <w:vAlign w:val="center"/>
          </w:tcPr>
          <w:p w14:paraId="6EE82068">
            <w:pPr>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olor w:val="222222"/>
                <w:kern w:val="0"/>
                <w:sz w:val="21"/>
                <w:szCs w:val="21"/>
                <w:u w:val="none"/>
                <w:lang w:val="en-US" w:eastAsia="zh-CN" w:bidi="ar"/>
              </w:rPr>
              <w:t>活动周期间监测舆情走向，汇总宣传情况</w:t>
            </w:r>
          </w:p>
        </w:tc>
        <w:tc>
          <w:tcPr>
            <w:tcW w:w="653" w:type="dxa"/>
            <w:noWrap w:val="0"/>
            <w:vAlign w:val="center"/>
          </w:tcPr>
          <w:p w14:paraId="5E35B60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1</w:t>
            </w:r>
          </w:p>
        </w:tc>
        <w:tc>
          <w:tcPr>
            <w:tcW w:w="581" w:type="dxa"/>
            <w:noWrap w:val="0"/>
            <w:vAlign w:val="center"/>
          </w:tcPr>
          <w:p w14:paraId="0701225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r>
              <w:rPr>
                <w:rFonts w:hint="eastAsia" w:ascii="仿宋" w:hAnsi="仿宋" w:eastAsia="仿宋" w:cs="仿宋"/>
                <w:i w:val="0"/>
                <w:iCs w:val="0"/>
                <w:caps w:val="0"/>
                <w:color w:val="222222"/>
                <w:spacing w:val="0"/>
                <w:kern w:val="0"/>
                <w:sz w:val="21"/>
                <w:szCs w:val="21"/>
                <w:lang w:val="en-US" w:eastAsia="zh-CN" w:bidi="ar"/>
              </w:rPr>
              <w:t>项</w:t>
            </w:r>
          </w:p>
        </w:tc>
        <w:tc>
          <w:tcPr>
            <w:tcW w:w="1294" w:type="pct"/>
            <w:noWrap w:val="0"/>
            <w:vAlign w:val="center"/>
          </w:tcPr>
          <w:p w14:paraId="434BFBC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ascii="仿宋" w:hAnsi="仿宋" w:eastAsia="仿宋" w:cs="仿宋"/>
                <w:i w:val="0"/>
                <w:iCs w:val="0"/>
                <w:caps w:val="0"/>
                <w:color w:val="222222"/>
                <w:spacing w:val="0"/>
                <w:kern w:val="0"/>
                <w:sz w:val="21"/>
                <w:szCs w:val="21"/>
                <w:lang w:val="en-US" w:eastAsia="zh-CN" w:bidi="ar"/>
              </w:rPr>
            </w:pPr>
          </w:p>
        </w:tc>
      </w:tr>
    </w:tbl>
    <w:p w14:paraId="21B2783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default" w:ascii="仿宋" w:hAnsi="仿宋" w:eastAsia="仿宋" w:cs="仿宋"/>
          <w:i w:val="0"/>
          <w:iCs w:val="0"/>
          <w:caps w:val="0"/>
          <w:color w:val="000000"/>
          <w:spacing w:val="0"/>
          <w:sz w:val="27"/>
          <w:szCs w:val="27"/>
          <w:lang w:val="en-US" w:eastAsia="zh-CN"/>
        </w:rPr>
      </w:pPr>
    </w:p>
    <w:p w14:paraId="74497E2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default" w:ascii="仿宋" w:hAnsi="仿宋" w:eastAsia="仿宋" w:cs="仿宋"/>
          <w:i w:val="0"/>
          <w:iCs w:val="0"/>
          <w:caps w:val="0"/>
          <w:color w:val="000000"/>
          <w:spacing w:val="0"/>
          <w:sz w:val="27"/>
          <w:szCs w:val="27"/>
          <w:lang w:val="en-US" w:eastAsia="zh-CN"/>
        </w:rPr>
      </w:pPr>
      <w:r>
        <w:rPr>
          <w:rFonts w:hint="eastAsia" w:ascii="仿宋" w:hAnsi="仿宋" w:eastAsia="仿宋" w:cs="仿宋"/>
          <w:i w:val="0"/>
          <w:iCs w:val="0"/>
          <w:caps w:val="0"/>
          <w:color w:val="000000"/>
          <w:spacing w:val="0"/>
          <w:sz w:val="27"/>
          <w:szCs w:val="27"/>
        </w:rPr>
        <w:t> （三）</w:t>
      </w:r>
      <w:r>
        <w:rPr>
          <w:rFonts w:hint="eastAsia" w:ascii="仿宋" w:hAnsi="仿宋" w:eastAsia="仿宋" w:cs="仿宋"/>
          <w:i w:val="0"/>
          <w:iCs w:val="0"/>
          <w:caps w:val="0"/>
          <w:color w:val="000000"/>
          <w:spacing w:val="0"/>
          <w:sz w:val="27"/>
          <w:szCs w:val="27"/>
          <w:lang w:val="en-US" w:eastAsia="zh-CN"/>
        </w:rPr>
        <w:t>合同金额为</w:t>
      </w:r>
      <w:r>
        <w:rPr>
          <w:rFonts w:hint="eastAsia" w:ascii="仿宋" w:hAnsi="仿宋" w:eastAsia="仿宋" w:cs="仿宋"/>
          <w:i w:val="0"/>
          <w:iCs w:val="0"/>
          <w:caps w:val="0"/>
          <w:color w:val="000000"/>
          <w:spacing w:val="0"/>
          <w:sz w:val="27"/>
          <w:szCs w:val="27"/>
        </w:rPr>
        <w:t>¥xxx元（大写：人民币xxx万元整）。</w:t>
      </w:r>
      <w:r>
        <w:rPr>
          <w:rFonts w:hint="eastAsia" w:ascii="仿宋" w:hAnsi="仿宋" w:eastAsia="仿宋" w:cs="仿宋"/>
          <w:i w:val="0"/>
          <w:iCs w:val="0"/>
          <w:caps w:val="0"/>
          <w:color w:val="000000"/>
          <w:spacing w:val="0"/>
          <w:sz w:val="27"/>
          <w:szCs w:val="27"/>
          <w:lang w:val="en-US" w:eastAsia="zh-CN"/>
        </w:rPr>
        <w:t>合同有效期为自合同签订之日起至活动结束。</w:t>
      </w:r>
    </w:p>
    <w:p w14:paraId="24BA62F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bookmarkStart w:id="0" w:name="table01"/>
      <w:bookmarkEnd w:id="0"/>
      <w:r>
        <w:rPr>
          <w:rFonts w:hint="eastAsia" w:ascii="仿宋" w:hAnsi="仿宋" w:eastAsia="仿宋" w:cs="仿宋"/>
          <w:i w:val="0"/>
          <w:iCs w:val="0"/>
          <w:caps w:val="0"/>
          <w:color w:val="000000"/>
          <w:spacing w:val="0"/>
          <w:sz w:val="27"/>
          <w:szCs w:val="27"/>
        </w:rPr>
        <w:t>    </w:t>
      </w:r>
      <w:r>
        <w:rPr>
          <w:rFonts w:hint="eastAsia" w:ascii="仿宋" w:hAnsi="仿宋" w:eastAsia="仿宋" w:cs="仿宋"/>
          <w:b/>
          <w:bCs/>
          <w:i w:val="0"/>
          <w:iCs w:val="0"/>
          <w:caps w:val="0"/>
          <w:color w:val="000000"/>
          <w:spacing w:val="0"/>
          <w:sz w:val="27"/>
          <w:szCs w:val="27"/>
        </w:rPr>
        <w:t>二、付款方式</w:t>
      </w:r>
    </w:p>
    <w:p w14:paraId="7229827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本项目采用分期方式拨付款项，合同签订后，采购人凭成交供应商开具的正式有效发票向成交供应商支付合总金额的70%作为项目预付款。成交供应商提供会务服务活动总结、有效发票、服务内容及数量的佐证材料,采购人逐一核对服务条款内容及数量的佐证材料，予以验收，未按服务条款内容及数量执行的部分，予以核减，活动结束在采购人确认成交供应商如约履行各项义务、完成各项善后工作，经采购人验收合格且收到成交供应商出具的有效发票后支付合同款项剩余30%。因财政原因造成未能如期付款，不视为采购人违约（具体以合同签订为准）。</w:t>
      </w:r>
    </w:p>
    <w:p w14:paraId="074AE0C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（二）双方结算相关信息如下：</w:t>
      </w:r>
    </w:p>
    <w:p w14:paraId="06551B9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1、甲方开票信息：</w:t>
      </w:r>
    </w:p>
    <w:p w14:paraId="067F9A7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（1）甲方名称：</w:t>
      </w:r>
      <w:r>
        <w:rPr>
          <w:rFonts w:hint="eastAsia" w:ascii="仿宋" w:hAnsi="仿宋" w:eastAsia="仿宋" w:cs="仿宋"/>
          <w:i w:val="0"/>
          <w:iCs w:val="0"/>
          <w:caps w:val="0"/>
          <w:color w:val="000000"/>
          <w:spacing w:val="0"/>
          <w:sz w:val="27"/>
          <w:szCs w:val="27"/>
          <w:u w:val="single"/>
        </w:rPr>
        <w:t> 琼海市交通运输局</w:t>
      </w:r>
    </w:p>
    <w:p w14:paraId="0F0FB26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（2）纳税人识别号：</w:t>
      </w:r>
      <w:r>
        <w:rPr>
          <w:rFonts w:hint="eastAsia" w:ascii="仿宋" w:hAnsi="仿宋" w:eastAsia="仿宋" w:cs="仿宋"/>
          <w:i w:val="0"/>
          <w:iCs w:val="0"/>
          <w:caps w:val="0"/>
          <w:color w:val="000000"/>
          <w:spacing w:val="0"/>
          <w:sz w:val="27"/>
          <w:szCs w:val="27"/>
          <w:u w:val="single"/>
        </w:rPr>
        <w:t>                     </w:t>
      </w:r>
    </w:p>
    <w:p w14:paraId="7D2F26C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（3）户名：</w:t>
      </w:r>
      <w:r>
        <w:rPr>
          <w:rFonts w:hint="eastAsia" w:ascii="仿宋" w:hAnsi="仿宋" w:eastAsia="仿宋" w:cs="仿宋"/>
          <w:i w:val="0"/>
          <w:iCs w:val="0"/>
          <w:caps w:val="0"/>
          <w:color w:val="000000"/>
          <w:spacing w:val="0"/>
          <w:sz w:val="27"/>
          <w:szCs w:val="27"/>
          <w:u w:val="single"/>
        </w:rPr>
        <w:t>                            </w:t>
      </w:r>
    </w:p>
    <w:p w14:paraId="65A85A9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（4）开户行：</w:t>
      </w:r>
      <w:r>
        <w:rPr>
          <w:rFonts w:hint="eastAsia" w:ascii="仿宋" w:hAnsi="仿宋" w:eastAsia="仿宋" w:cs="仿宋"/>
          <w:i w:val="0"/>
          <w:iCs w:val="0"/>
          <w:caps w:val="0"/>
          <w:color w:val="000000"/>
          <w:spacing w:val="0"/>
          <w:sz w:val="27"/>
          <w:szCs w:val="27"/>
          <w:u w:val="single"/>
        </w:rPr>
        <w:t>                          </w:t>
      </w:r>
    </w:p>
    <w:p w14:paraId="11E5691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（5）账号：</w:t>
      </w:r>
      <w:r>
        <w:rPr>
          <w:rFonts w:hint="eastAsia" w:ascii="仿宋" w:hAnsi="仿宋" w:eastAsia="仿宋" w:cs="仿宋"/>
          <w:i w:val="0"/>
          <w:iCs w:val="0"/>
          <w:caps w:val="0"/>
          <w:color w:val="000000"/>
          <w:spacing w:val="0"/>
          <w:sz w:val="27"/>
          <w:szCs w:val="27"/>
          <w:u w:val="single"/>
        </w:rPr>
        <w:t>                            </w:t>
      </w:r>
    </w:p>
    <w:p w14:paraId="50C3EAA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（6）地址、电话：</w:t>
      </w:r>
      <w:r>
        <w:rPr>
          <w:rFonts w:hint="eastAsia" w:ascii="仿宋" w:hAnsi="仿宋" w:eastAsia="仿宋" w:cs="仿宋"/>
          <w:i w:val="0"/>
          <w:iCs w:val="0"/>
          <w:caps w:val="0"/>
          <w:color w:val="000000"/>
          <w:spacing w:val="0"/>
          <w:sz w:val="27"/>
          <w:szCs w:val="27"/>
          <w:u w:val="single"/>
        </w:rPr>
        <w:t>                            </w:t>
      </w:r>
    </w:p>
    <w:p w14:paraId="5E432E7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2、乙方收款账户信息：</w:t>
      </w:r>
    </w:p>
    <w:p w14:paraId="26353AC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（1）乙方名称：</w:t>
      </w:r>
    </w:p>
    <w:p w14:paraId="0D8A6FA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（2）纳税人识别号：</w:t>
      </w:r>
    </w:p>
    <w:p w14:paraId="1F4006B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（3）户名：</w:t>
      </w:r>
    </w:p>
    <w:p w14:paraId="5BA7670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（4）开户行：</w:t>
      </w:r>
    </w:p>
    <w:p w14:paraId="7CBF40D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（5）账号：</w:t>
      </w:r>
    </w:p>
    <w:p w14:paraId="3019284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（6）地址、电话：</w:t>
      </w:r>
    </w:p>
    <w:p w14:paraId="50612EC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w:t>
      </w:r>
      <w:r>
        <w:rPr>
          <w:rFonts w:hint="eastAsia" w:ascii="仿宋" w:hAnsi="仿宋" w:eastAsia="仿宋" w:cs="仿宋"/>
          <w:b/>
          <w:bCs/>
          <w:i w:val="0"/>
          <w:iCs w:val="0"/>
          <w:caps w:val="0"/>
          <w:color w:val="000000"/>
          <w:spacing w:val="0"/>
          <w:sz w:val="27"/>
          <w:szCs w:val="27"/>
        </w:rPr>
        <w:t>三、甲、乙双方的权利和义务</w:t>
      </w:r>
    </w:p>
    <w:p w14:paraId="3A3970E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（一）甲方应事先明确对活动安排的要求，告知乙方行程安排、服务需求等必要信息，以便乙方根据安排制定服务方案。</w:t>
      </w:r>
    </w:p>
    <w:p w14:paraId="2FAC52B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二）乙方按照甲方的要求事先提交本次活动安排方案，并取得甲方授权代表的同意；如甲方在上述方案确定后提出取消或增加等变更服务项目的要求，乙方在条件允许的情况下，应积极配合妥善解决。若增加服务事项的，双方应签订补充协议，协商预算增加事宜，若变更产生实际损失，则该损失由甲方承担。</w:t>
      </w:r>
    </w:p>
    <w:p w14:paraId="5B7C7F4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（三）甲方对参加会议人员应尽到管理职责。非因乙方原因，参加会议人员的行为造成甲方或第三方损失时，甲方应当先行履行赔付义务。</w:t>
      </w:r>
    </w:p>
    <w:p w14:paraId="61B3C72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（四）甲方应当按照约定支付活动费用，自本合同生效之日起至活动开始之日前，足额支付乙方费用。</w:t>
      </w:r>
    </w:p>
    <w:p w14:paraId="7663C9C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（五）甲方不得举办违反国家政策和法律法规的会议，不得在会议中从事非法活动，否则，造成的一切后果由甲方承担，对乙方造成损失的，乙方有权要求甲方赔偿。</w:t>
      </w:r>
    </w:p>
    <w:p w14:paraId="342C5F9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（六）其他法律法规规定或本合同约定的权利与义务。 </w:t>
      </w:r>
    </w:p>
    <w:p w14:paraId="55379F0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w:t>
      </w:r>
      <w:r>
        <w:rPr>
          <w:rFonts w:hint="eastAsia" w:ascii="仿宋" w:hAnsi="仿宋" w:eastAsia="仿宋" w:cs="仿宋"/>
          <w:b/>
          <w:bCs/>
          <w:i w:val="0"/>
          <w:iCs w:val="0"/>
          <w:caps w:val="0"/>
          <w:color w:val="000000"/>
          <w:spacing w:val="0"/>
          <w:sz w:val="27"/>
          <w:szCs w:val="27"/>
        </w:rPr>
        <w:t>四、争议的解决</w:t>
      </w:r>
    </w:p>
    <w:p w14:paraId="23041F7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lang w:val="en-US" w:eastAsia="zh-CN"/>
        </w:rPr>
        <w:t xml:space="preserve">  </w:t>
      </w:r>
      <w:r>
        <w:rPr>
          <w:rFonts w:hint="eastAsia" w:ascii="仿宋" w:hAnsi="仿宋" w:eastAsia="仿宋" w:cs="仿宋"/>
          <w:i w:val="0"/>
          <w:iCs w:val="0"/>
          <w:caps w:val="0"/>
          <w:color w:val="000000"/>
          <w:spacing w:val="0"/>
          <w:sz w:val="27"/>
          <w:szCs w:val="27"/>
        </w:rPr>
        <w:t>如在本合同签订、履行过程中发生争议，甲乙双方应该本着友好合作的精神协商解决。若协商不能达成一致，甲、乙双方均可向原告方所在地人民法院提起诉讼。 </w:t>
      </w:r>
    </w:p>
    <w:p w14:paraId="26A3A26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w:t>
      </w:r>
      <w:r>
        <w:rPr>
          <w:rFonts w:hint="eastAsia" w:ascii="仿宋" w:hAnsi="仿宋" w:eastAsia="仿宋" w:cs="仿宋"/>
          <w:b/>
          <w:bCs/>
          <w:i w:val="0"/>
          <w:iCs w:val="0"/>
          <w:caps w:val="0"/>
          <w:color w:val="000000"/>
          <w:spacing w:val="0"/>
          <w:sz w:val="27"/>
          <w:szCs w:val="27"/>
        </w:rPr>
        <w:t>五、反商业贿赂条款</w:t>
      </w:r>
    </w:p>
    <w:p w14:paraId="5D12705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一）与甲方、乙方签署本合同的交易方应严格遵守有关反腐败、反商业贿赂的法律、法规和政策规定；不得直接或间接向签署、执行本合同或对本交易的达成或执行具有影响力的甲方、乙方有关人员给予或承诺给予任何现金、实物或其他不正当利益。</w:t>
      </w:r>
    </w:p>
    <w:p w14:paraId="175DF46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（二）交易方陈述并保证：本方的股东、合伙人、董事、经理均不存在与履行本合同相冲突的经济利益或其他利益。</w:t>
      </w:r>
    </w:p>
    <w:p w14:paraId="39D0D13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（三）交易方承诺：违反本条款约定，将承担由此产生的一切法律后果和责任。</w:t>
      </w:r>
    </w:p>
    <w:p w14:paraId="6D609D4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w:t>
      </w:r>
      <w:r>
        <w:rPr>
          <w:rFonts w:hint="eastAsia" w:ascii="仿宋" w:hAnsi="仿宋" w:eastAsia="仿宋" w:cs="仿宋"/>
          <w:b/>
          <w:bCs/>
          <w:i w:val="0"/>
          <w:iCs w:val="0"/>
          <w:caps w:val="0"/>
          <w:color w:val="000000"/>
          <w:spacing w:val="0"/>
          <w:sz w:val="27"/>
          <w:szCs w:val="27"/>
        </w:rPr>
        <w:t>六、其他</w:t>
      </w:r>
    </w:p>
    <w:p w14:paraId="63E899D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一）合同签订后，如发生了合同当事人无法预见、无法克服、无法避免的事件和因素，包括但不限于洪水、地震及其他自然灾害、战争、疫情、骚乱、火灾、省级以上政府安排的临时会议征用等因素，使合同不能履行或延迟履行，乙方不承担违约责任。</w:t>
      </w:r>
    </w:p>
    <w:p w14:paraId="319A7FC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（二）本合同未尽事宜，经甲、乙双方协商一致，可订立补充条款。补充条款及附件均为本合同组成部分，与本合同具有同等法律效力。</w:t>
      </w:r>
    </w:p>
    <w:p w14:paraId="6C9587BB">
      <w:pPr>
        <w:keepNext w:val="0"/>
        <w:keepLines w:val="0"/>
        <w:pageBreakBefore w:val="0"/>
        <w:widowControl/>
        <w:numPr>
          <w:ilvl w:val="0"/>
          <w:numId w:val="7"/>
        </w:numPr>
        <w:suppressLineNumbers w:val="0"/>
        <w:kinsoku/>
        <w:wordWrap/>
        <w:overflowPunct/>
        <w:topLinePunct w:val="0"/>
        <w:autoSpaceDE/>
        <w:autoSpaceDN/>
        <w:bidi w:val="0"/>
        <w:adjustRightInd/>
        <w:snapToGrid/>
        <w:spacing w:beforeAutospacing="0" w:afterAutospacing="0"/>
        <w:ind w:left="720" w:hanging="360"/>
        <w:textAlignment w:val="auto"/>
        <w:rPr>
          <w:rFonts w:hint="eastAsia" w:ascii="仿宋" w:hAnsi="仿宋" w:eastAsia="仿宋" w:cs="仿宋"/>
        </w:rPr>
      </w:pPr>
      <w:r>
        <w:rPr>
          <w:rFonts w:hint="eastAsia" w:ascii="仿宋" w:hAnsi="仿宋" w:eastAsia="仿宋" w:cs="仿宋"/>
          <w:i w:val="0"/>
          <w:iCs w:val="0"/>
          <w:caps w:val="0"/>
          <w:color w:val="000000"/>
          <w:spacing w:val="0"/>
          <w:sz w:val="27"/>
          <w:szCs w:val="27"/>
        </w:rPr>
        <w:t>本合同一方发给另一方的任何文件均应以书面形式通过挂号邮寄、特快专递、传真、专人送交或电子邮件的方式送达本合同中的双方地址、传真号码、电子邮箱。若一方变更地址或传真号码或电子邮箱，应当在5日内以书面形式通知对方。否则，本合同中的双方地址或传真号码或电子邮箱视为双方准确的送达地址，双方将任何文件寄达该地址或传真至该号码或发送到该电子邮箱即视为送达。</w:t>
      </w:r>
    </w:p>
    <w:p w14:paraId="60E6C709">
      <w:pPr>
        <w:keepNext w:val="0"/>
        <w:keepLines w:val="0"/>
        <w:pageBreakBefore w:val="0"/>
        <w:widowControl/>
        <w:numPr>
          <w:ilvl w:val="0"/>
          <w:numId w:val="7"/>
        </w:numPr>
        <w:suppressLineNumbers w:val="0"/>
        <w:kinsoku/>
        <w:wordWrap/>
        <w:overflowPunct/>
        <w:topLinePunct w:val="0"/>
        <w:autoSpaceDE/>
        <w:autoSpaceDN/>
        <w:bidi w:val="0"/>
        <w:adjustRightInd/>
        <w:snapToGrid/>
        <w:spacing w:beforeAutospacing="0" w:afterAutospacing="0"/>
        <w:ind w:left="720" w:hanging="360"/>
        <w:textAlignment w:val="auto"/>
        <w:rPr>
          <w:rFonts w:hint="eastAsia" w:ascii="仿宋" w:hAnsi="仿宋" w:eastAsia="仿宋" w:cs="仿宋"/>
        </w:rPr>
      </w:pPr>
      <w:r>
        <w:rPr>
          <w:rFonts w:hint="eastAsia" w:ascii="仿宋" w:hAnsi="仿宋" w:eastAsia="仿宋" w:cs="仿宋"/>
          <w:i w:val="0"/>
          <w:iCs w:val="0"/>
          <w:caps w:val="0"/>
          <w:color w:val="000000"/>
          <w:spacing w:val="0"/>
          <w:sz w:val="27"/>
          <w:szCs w:val="27"/>
        </w:rPr>
        <w:t>甲方地址：</w:t>
      </w:r>
      <w:r>
        <w:rPr>
          <w:rFonts w:hint="eastAsia" w:ascii="仿宋" w:hAnsi="仿宋" w:eastAsia="仿宋" w:cs="仿宋"/>
          <w:i w:val="0"/>
          <w:iCs w:val="0"/>
          <w:caps w:val="0"/>
          <w:color w:val="000000"/>
          <w:spacing w:val="0"/>
          <w:sz w:val="27"/>
          <w:szCs w:val="27"/>
          <w:u w:val="single"/>
        </w:rPr>
        <w:t>         </w:t>
      </w:r>
      <w:r>
        <w:rPr>
          <w:rFonts w:hint="eastAsia" w:ascii="仿宋" w:hAnsi="仿宋" w:eastAsia="仿宋" w:cs="仿宋"/>
          <w:i w:val="0"/>
          <w:iCs w:val="0"/>
          <w:caps w:val="0"/>
          <w:color w:val="000000"/>
          <w:spacing w:val="0"/>
          <w:sz w:val="27"/>
          <w:szCs w:val="27"/>
        </w:rPr>
        <w:t>，联系人：</w:t>
      </w:r>
      <w:r>
        <w:rPr>
          <w:rFonts w:hint="eastAsia" w:ascii="仿宋" w:hAnsi="仿宋" w:eastAsia="仿宋" w:cs="仿宋"/>
          <w:i w:val="0"/>
          <w:iCs w:val="0"/>
          <w:caps w:val="0"/>
          <w:color w:val="000000"/>
          <w:spacing w:val="0"/>
          <w:sz w:val="27"/>
          <w:szCs w:val="27"/>
          <w:u w:val="single"/>
        </w:rPr>
        <w:t>        </w:t>
      </w:r>
      <w:r>
        <w:rPr>
          <w:rFonts w:hint="eastAsia" w:ascii="仿宋" w:hAnsi="仿宋" w:eastAsia="仿宋" w:cs="仿宋"/>
          <w:i w:val="0"/>
          <w:iCs w:val="0"/>
          <w:caps w:val="0"/>
          <w:color w:val="000000"/>
          <w:spacing w:val="0"/>
          <w:sz w:val="27"/>
          <w:szCs w:val="27"/>
        </w:rPr>
        <w:t>,电话：</w:t>
      </w:r>
      <w:r>
        <w:rPr>
          <w:rFonts w:hint="eastAsia" w:ascii="仿宋" w:hAnsi="仿宋" w:eastAsia="仿宋" w:cs="仿宋"/>
          <w:i w:val="0"/>
          <w:iCs w:val="0"/>
          <w:caps w:val="0"/>
          <w:color w:val="000000"/>
          <w:spacing w:val="0"/>
          <w:sz w:val="27"/>
          <w:szCs w:val="27"/>
          <w:u w:val="single"/>
        </w:rPr>
        <w:t>       </w:t>
      </w:r>
    </w:p>
    <w:p w14:paraId="1BE25063">
      <w:pPr>
        <w:keepNext w:val="0"/>
        <w:keepLines w:val="0"/>
        <w:pageBreakBefore w:val="0"/>
        <w:widowControl/>
        <w:numPr>
          <w:ilvl w:val="0"/>
          <w:numId w:val="7"/>
        </w:numPr>
        <w:suppressLineNumbers w:val="0"/>
        <w:kinsoku/>
        <w:wordWrap/>
        <w:overflowPunct/>
        <w:topLinePunct w:val="0"/>
        <w:autoSpaceDE/>
        <w:autoSpaceDN/>
        <w:bidi w:val="0"/>
        <w:adjustRightInd/>
        <w:snapToGrid/>
        <w:spacing w:beforeAutospacing="0" w:afterAutospacing="0"/>
        <w:ind w:left="720" w:hanging="360"/>
        <w:textAlignment w:val="auto"/>
        <w:rPr>
          <w:rFonts w:hint="eastAsia" w:ascii="仿宋" w:hAnsi="仿宋" w:eastAsia="仿宋" w:cs="仿宋"/>
        </w:rPr>
      </w:pPr>
      <w:r>
        <w:rPr>
          <w:rFonts w:hint="eastAsia" w:ascii="仿宋" w:hAnsi="仿宋" w:eastAsia="仿宋" w:cs="仿宋"/>
          <w:i w:val="0"/>
          <w:iCs w:val="0"/>
          <w:caps w:val="0"/>
          <w:color w:val="000000"/>
          <w:spacing w:val="0"/>
          <w:sz w:val="27"/>
          <w:szCs w:val="27"/>
        </w:rPr>
        <w:t>乙方地址：</w:t>
      </w:r>
      <w:r>
        <w:rPr>
          <w:rFonts w:hint="eastAsia" w:ascii="仿宋" w:hAnsi="仿宋" w:eastAsia="仿宋" w:cs="仿宋"/>
          <w:i w:val="0"/>
          <w:iCs w:val="0"/>
          <w:caps w:val="0"/>
          <w:color w:val="000000"/>
          <w:spacing w:val="0"/>
          <w:sz w:val="27"/>
          <w:szCs w:val="27"/>
          <w:u w:val="single"/>
        </w:rPr>
        <w:t>              </w:t>
      </w:r>
      <w:r>
        <w:rPr>
          <w:rFonts w:hint="eastAsia" w:ascii="仿宋" w:hAnsi="仿宋" w:eastAsia="仿宋" w:cs="仿宋"/>
          <w:i w:val="0"/>
          <w:iCs w:val="0"/>
          <w:caps w:val="0"/>
          <w:color w:val="000000"/>
          <w:spacing w:val="0"/>
          <w:sz w:val="27"/>
          <w:szCs w:val="27"/>
        </w:rPr>
        <w:t>，联系人:</w:t>
      </w:r>
      <w:r>
        <w:rPr>
          <w:rFonts w:hint="eastAsia" w:ascii="仿宋" w:hAnsi="仿宋" w:eastAsia="仿宋" w:cs="仿宋"/>
          <w:i w:val="0"/>
          <w:iCs w:val="0"/>
          <w:caps w:val="0"/>
          <w:color w:val="000000"/>
          <w:spacing w:val="0"/>
          <w:sz w:val="27"/>
          <w:szCs w:val="27"/>
          <w:u w:val="single"/>
        </w:rPr>
        <w:t>       </w:t>
      </w:r>
      <w:r>
        <w:rPr>
          <w:rFonts w:hint="eastAsia" w:ascii="仿宋" w:hAnsi="仿宋" w:eastAsia="仿宋" w:cs="仿宋"/>
          <w:i w:val="0"/>
          <w:iCs w:val="0"/>
          <w:caps w:val="0"/>
          <w:color w:val="000000"/>
          <w:spacing w:val="0"/>
          <w:sz w:val="27"/>
          <w:szCs w:val="27"/>
        </w:rPr>
        <w:t>,联系电话：</w:t>
      </w:r>
      <w:r>
        <w:rPr>
          <w:rFonts w:hint="eastAsia" w:ascii="仿宋" w:hAnsi="仿宋" w:eastAsia="仿宋" w:cs="仿宋"/>
          <w:i w:val="0"/>
          <w:iCs w:val="0"/>
          <w:caps w:val="0"/>
          <w:color w:val="000000"/>
          <w:spacing w:val="0"/>
          <w:sz w:val="27"/>
          <w:szCs w:val="27"/>
          <w:u w:val="single"/>
        </w:rPr>
        <w:t>         </w:t>
      </w:r>
    </w:p>
    <w:p w14:paraId="3864EDE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    （四）本合同自双方签字盖章之日起生效，一式四份，双方各执两份。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p>
    <w:p w14:paraId="7D29405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center"/>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br w:type="page"/>
      </w:r>
      <w:r>
        <w:rPr>
          <w:rFonts w:hint="eastAsia" w:ascii="仿宋" w:hAnsi="仿宋" w:eastAsia="仿宋" w:cs="仿宋"/>
          <w:i w:val="0"/>
          <w:iCs w:val="0"/>
          <w:caps w:val="0"/>
          <w:color w:val="000000"/>
          <w:spacing w:val="0"/>
          <w:sz w:val="27"/>
          <w:szCs w:val="27"/>
        </w:rPr>
        <w:t>（以下无正文，为签章内容）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p>
    <w:p w14:paraId="138EEEF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甲方（盖章）：琼海市交通运输局                                        </w:t>
      </w:r>
    </w:p>
    <w:p w14:paraId="7FC3E45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法人代表或授权代表（签字/盖章）：                      </w:t>
      </w:r>
    </w:p>
    <w:p w14:paraId="076F09B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地址：                               </w:t>
      </w:r>
    </w:p>
    <w:p w14:paraId="31BC74A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联系人：                            </w:t>
      </w:r>
    </w:p>
    <w:p w14:paraId="20218C1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联系电话：                                                          </w:t>
      </w:r>
    </w:p>
    <w:p w14:paraId="2775FD8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签订地点：</w:t>
      </w:r>
    </w:p>
    <w:p w14:paraId="09A2E16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签订日期：    年  月  日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p>
    <w:p w14:paraId="1495153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乙方（盖章）：                                        </w:t>
      </w:r>
    </w:p>
    <w:p w14:paraId="52F958F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法人代表或授权代表（签字/盖章）：                      </w:t>
      </w:r>
    </w:p>
    <w:p w14:paraId="5CD346A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地址：                               </w:t>
      </w:r>
    </w:p>
    <w:p w14:paraId="5639A29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联系人：                       </w:t>
      </w:r>
    </w:p>
    <w:p w14:paraId="5B6B15D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联系电话：                                                         </w:t>
      </w:r>
    </w:p>
    <w:p w14:paraId="0A23167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签订地点：</w:t>
      </w:r>
    </w:p>
    <w:p w14:paraId="26107B6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firstLine="0"/>
        <w:jc w:val="both"/>
        <w:textAlignment w:val="auto"/>
        <w:rPr>
          <w:rFonts w:hint="eastAsia" w:ascii="仿宋" w:hAnsi="仿宋" w:eastAsia="仿宋" w:cs="仿宋"/>
          <w:i w:val="0"/>
          <w:iCs w:val="0"/>
          <w:caps w:val="0"/>
          <w:color w:val="000000"/>
          <w:spacing w:val="0"/>
          <w:sz w:val="27"/>
          <w:szCs w:val="27"/>
        </w:rPr>
      </w:pPr>
      <w:r>
        <w:rPr>
          <w:rFonts w:hint="eastAsia" w:ascii="仿宋" w:hAnsi="仿宋" w:eastAsia="仿宋" w:cs="仿宋"/>
          <w:i w:val="0"/>
          <w:iCs w:val="0"/>
          <w:caps w:val="0"/>
          <w:color w:val="000000"/>
          <w:spacing w:val="0"/>
          <w:sz w:val="27"/>
          <w:szCs w:val="27"/>
        </w:rPr>
        <w:t>签订日期：    年  月  日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r>
        <w:rPr>
          <w:rFonts w:hint="eastAsia" w:ascii="仿宋" w:hAnsi="仿宋" w:eastAsia="仿宋" w:cs="仿宋"/>
          <w:i w:val="0"/>
          <w:iCs w:val="0"/>
          <w:caps w:val="0"/>
          <w:color w:val="000000"/>
          <w:spacing w:val="0"/>
          <w:sz w:val="27"/>
          <w:szCs w:val="27"/>
        </w:rPr>
        <w:br w:type="textWrapping"/>
      </w:r>
      <w:r>
        <w:rPr>
          <w:rFonts w:hint="eastAsia" w:ascii="仿宋" w:hAnsi="仿宋" w:eastAsia="仿宋" w:cs="仿宋"/>
          <w:i w:val="0"/>
          <w:iCs w:val="0"/>
          <w:caps w:val="0"/>
          <w:color w:val="000000"/>
          <w:spacing w:val="0"/>
          <w:sz w:val="27"/>
          <w:szCs w:val="27"/>
        </w:rPr>
        <w:t> </w:t>
      </w:r>
    </w:p>
    <w:p w14:paraId="6FBF9734">
      <w:pPr>
        <w:keepNext w:val="0"/>
        <w:keepLines w:val="0"/>
        <w:pageBreakBefore w:val="0"/>
        <w:kinsoku/>
        <w:wordWrap/>
        <w:overflowPunct/>
        <w:topLinePunct w:val="0"/>
        <w:autoSpaceDE/>
        <w:autoSpaceDN/>
        <w:bidi w:val="0"/>
        <w:adjustRightInd/>
        <w:snapToGrid/>
        <w:textAlignment w:val="auto"/>
        <w:rPr>
          <w:rFonts w:hint="eastAsia"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89FCD"/>
    <w:multiLevelType w:val="singleLevel"/>
    <w:tmpl w:val="8CF89FCD"/>
    <w:lvl w:ilvl="0" w:tentative="0">
      <w:start w:val="1"/>
      <w:numFmt w:val="decimal"/>
      <w:suff w:val="nothing"/>
      <w:lvlText w:val="%1、"/>
      <w:lvlJc w:val="left"/>
      <w:rPr>
        <w:rFonts w:hint="default" w:ascii="仿宋" w:hAnsi="仿宋" w:eastAsia="仿宋" w:cs="仿宋"/>
        <w:color w:val="auto"/>
      </w:rPr>
    </w:lvl>
  </w:abstractNum>
  <w:abstractNum w:abstractNumId="1">
    <w:nsid w:val="94D046BE"/>
    <w:multiLevelType w:val="singleLevel"/>
    <w:tmpl w:val="94D046BE"/>
    <w:lvl w:ilvl="0" w:tentative="0">
      <w:start w:val="1"/>
      <w:numFmt w:val="decimal"/>
      <w:suff w:val="nothing"/>
      <w:lvlText w:val="%1、"/>
      <w:lvlJc w:val="left"/>
    </w:lvl>
  </w:abstractNum>
  <w:abstractNum w:abstractNumId="2">
    <w:nsid w:val="965DFF37"/>
    <w:multiLevelType w:val="singleLevel"/>
    <w:tmpl w:val="965DFF37"/>
    <w:lvl w:ilvl="0" w:tentative="0">
      <w:start w:val="1"/>
      <w:numFmt w:val="decimal"/>
      <w:suff w:val="nothing"/>
      <w:lvlText w:val="%1、"/>
      <w:lvlJc w:val="left"/>
      <w:rPr>
        <w:rFonts w:hint="default" w:ascii="仿宋" w:hAnsi="仿宋" w:eastAsia="仿宋" w:cs="仿宋"/>
      </w:rPr>
    </w:lvl>
  </w:abstractNum>
  <w:abstractNum w:abstractNumId="3">
    <w:nsid w:val="E593439D"/>
    <w:multiLevelType w:val="multilevel"/>
    <w:tmpl w:val="E59343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4D69FE23"/>
    <w:multiLevelType w:val="singleLevel"/>
    <w:tmpl w:val="4D69FE23"/>
    <w:lvl w:ilvl="0" w:tentative="0">
      <w:start w:val="1"/>
      <w:numFmt w:val="decimal"/>
      <w:suff w:val="nothing"/>
      <w:lvlText w:val="%1、"/>
      <w:lvlJc w:val="left"/>
      <w:rPr>
        <w:rFonts w:hint="default" w:ascii="仿宋" w:hAnsi="仿宋" w:eastAsia="仿宋" w:cs="仿宋"/>
      </w:rPr>
    </w:lvl>
  </w:abstractNum>
  <w:abstractNum w:abstractNumId="5">
    <w:nsid w:val="65D80E22"/>
    <w:multiLevelType w:val="singleLevel"/>
    <w:tmpl w:val="65D80E22"/>
    <w:lvl w:ilvl="0" w:tentative="0">
      <w:start w:val="1"/>
      <w:numFmt w:val="decimal"/>
      <w:suff w:val="nothing"/>
      <w:lvlText w:val="%1、"/>
      <w:lvlJc w:val="left"/>
      <w:rPr>
        <w:rFonts w:hint="default"/>
        <w:color w:val="auto"/>
      </w:rPr>
    </w:lvl>
  </w:abstractNum>
  <w:abstractNum w:abstractNumId="6">
    <w:nsid w:val="7C82D8F0"/>
    <w:multiLevelType w:val="singleLevel"/>
    <w:tmpl w:val="7C82D8F0"/>
    <w:lvl w:ilvl="0" w:tentative="0">
      <w:start w:val="1"/>
      <w:numFmt w:val="decimal"/>
      <w:suff w:val="nothing"/>
      <w:lvlText w:val="%1、"/>
      <w:lvlJc w:val="left"/>
      <w:rPr>
        <w:rFonts w:hint="default"/>
        <w:color w:val="auto"/>
      </w:rPr>
    </w:lvl>
  </w:abstractNum>
  <w:num w:numId="1">
    <w:abstractNumId w:val="0"/>
  </w:num>
  <w:num w:numId="2">
    <w:abstractNumId w:val="5"/>
  </w:num>
  <w:num w:numId="3">
    <w:abstractNumId w:val="6"/>
  </w:num>
  <w:num w:numId="4">
    <w:abstractNumId w:val="1"/>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3Zjg4MGUzMGJmOWQ1NzQ0Mzg3YmZlMGYzYTZjYjgifQ=="/>
    <w:docVar w:name="KSO_WPS_MARK_KEY" w:val="b5a90e56-3695-42c3-80f6-64bd8b5eebeb"/>
  </w:docVars>
  <w:rsids>
    <w:rsidRoot w:val="00000000"/>
    <w:rsid w:val="1A58772D"/>
    <w:rsid w:val="21C13B80"/>
    <w:rsid w:val="2E5E283C"/>
    <w:rsid w:val="43C60A02"/>
    <w:rsid w:val="44E071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Style w:val="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1418</Words>
  <Characters>1465</Characters>
  <Lines>0</Lines>
  <Paragraphs>0</Paragraphs>
  <TotalTime>0</TotalTime>
  <ScaleCrop>false</ScaleCrop>
  <LinksUpToDate>false</LinksUpToDate>
  <CharactersWithSpaces>1577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2025-06-08T09:13:27Z</dcterms:created>
  <dc:creator>Admin</dc:creator>
  <cp:lastModifiedBy>张余卿</cp:lastModifiedBy>
  <dcterms:modified xsi:type="dcterms:W3CDTF">2025-06-10T03:14:48Z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636968D5CCFE43EE8D3282489A30D4FF_13</vt:lpwstr>
  </property>
  <property fmtid="{D5CDD505-2E9C-101B-9397-08002B2CF9AE}" pid="4" name="KSOTemplateDocerSaveRecord">
    <vt:lpwstr>eyJoZGlkIjoiYjYxYTljZDk1NTA3YmExOTY5YmJhNDM1ZmQyMzExMTMiLCJ1c2VySWQiOiIxMDQ5Nzc4NzQ5In0=</vt:lpwstr>
  </property>
</Properties>
</file>