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2025年中国航海日主场活动会务服务项目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[0747-]20250600001[CS]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琼海市交通运输局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中化商务有限公司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琼海市交通运输局</w:t>
      </w:r>
      <w:r>
        <w:rPr>
          <w:rFonts w:ascii="仿宋_GB2312" w:hAnsi="仿宋_GB2312" w:cs="仿宋_GB2312" w:eastAsia="仿宋_GB2312"/>
        </w:rPr>
        <w:t xml:space="preserve"> 的委托， </w:t>
      </w:r>
      <w:r>
        <w:rPr>
          <w:rFonts w:ascii="仿宋_GB2312" w:hAnsi="仿宋_GB2312" w:cs="仿宋_GB2312" w:eastAsia="仿宋_GB2312"/>
        </w:rPr>
        <w:t>中化商务有限公司</w:t>
      </w:r>
      <w:r>
        <w:rPr>
          <w:rFonts w:ascii="仿宋_GB2312" w:hAnsi="仿宋_GB2312" w:cs="仿宋_GB2312" w:eastAsia="仿宋_GB2312"/>
        </w:rPr>
        <w:t xml:space="preserve"> 对 </w:t>
      </w:r>
      <w:r>
        <w:rPr>
          <w:rFonts w:ascii="仿宋_GB2312" w:hAnsi="仿宋_GB2312" w:cs="仿宋_GB2312" w:eastAsia="仿宋_GB2312"/>
        </w:rPr>
        <w:t>2025年中国航海日主场活动会务服务项目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[0747-]20250600001[CS]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2025年中国航海日主场活动会务服务项目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3,900,000.00元</w:t>
      </w:r>
      <w:r>
        <w:rPr>
          <w:rFonts w:ascii="仿宋_GB2312" w:hAnsi="仿宋_GB2312" w:cs="仿宋_GB2312" w:eastAsia="仿宋_GB2312"/>
        </w:rPr>
        <w:t>叁佰玖拾万元整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自合同签订之日起至活动结束</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1、参加政府采购活动前三年内（成立不足三年的以实际年限计算）无环保类行政处罚记录：提供声明函</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2、投标人（供应商）使用交易系统遇到问题可致电技术支持：4001691288。 3、本项目为远程不见面开标，开标前必须进入电子开标大厅在线签到（未签到视为无效投标）， 本采购活动采用全流程电子化的方式，响应、磋商、报价、评审等全流程均通过线上进行。 4、供应商须提前准备海南蓝色ca数字证书。CA数字证书认证咨询电话：0898-66668096。</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琼海市交通运输局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海南省琼海市嘉积镇富海路57号琼海市交通运输局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张放</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18789768321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中化商务有限公司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北京市丰台区丽泽路24号院1号楼-5至32层101内23 层/海南省海口市龙华区龙昆南路146号城西商务中心309</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张余卿，林浩、普凌翔</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0898-66986330</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采购包1：3,900,000.00元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代理服务费收费标准：固定金额18000元。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签字和（或）盖章要求：（1）电子标盖章要求：使用 CA 锁在投标文件制作工具中加盖单位公章。 （2）电子标签字以下四种形式之一均有效： 1）投标文件制作工具中加盖签名章或签字章；2）投标文件制作工具中使用“手写签名”签字；3）响应文件打印为文本签字后扫描上传；4）响应文件打印为文本盖签名章或签字章后扫描上传。 （3）电子系统中所涉及签章均可以是加盖单位公章。（4）由委托代理人签字的，响应文件应附有法定代表人授权书。因供应商原因导致无法读取电子版响应文件，视为无效响应。</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联系人：张经理</w:t>
      </w:r>
    </w:p>
    <w:p>
      <w:pPr>
        <w:pStyle w:val="null3"/>
        <w:jc w:val="left"/>
      </w:pPr>
      <w:r>
        <w:rPr>
          <w:rFonts w:ascii="仿宋_GB2312" w:hAnsi="仿宋_GB2312" w:cs="仿宋_GB2312" w:eastAsia="仿宋_GB2312"/>
        </w:rPr>
        <w:t>联系电话：0898-66986330</w:t>
      </w:r>
    </w:p>
    <w:p>
      <w:pPr>
        <w:pStyle w:val="null3"/>
        <w:jc w:val="left"/>
      </w:pPr>
      <w:r>
        <w:rPr>
          <w:rFonts w:ascii="仿宋_GB2312" w:hAnsi="仿宋_GB2312" w:cs="仿宋_GB2312" w:eastAsia="仿宋_GB2312"/>
        </w:rPr>
        <w:t>地址：海南省海口市龙华区龙昆南路146号城西商务中心309</w:t>
      </w:r>
    </w:p>
    <w:p>
      <w:pPr>
        <w:pStyle w:val="null3"/>
        <w:jc w:val="left"/>
      </w:pPr>
      <w:r>
        <w:rPr>
          <w:rFonts w:ascii="仿宋_GB2312" w:hAnsi="仿宋_GB2312" w:cs="仿宋_GB2312" w:eastAsia="仿宋_GB2312"/>
        </w:rPr>
        <w:t>邮编：570000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1、项目名称：2025年中国航海日主场活动会务服务项目</w:t>
      </w:r>
    </w:p>
    <w:p>
      <w:pPr>
        <w:pStyle w:val="null3"/>
        <w:ind w:firstLine="480"/>
        <w:jc w:val="left"/>
      </w:pPr>
      <w:r>
        <w:rPr>
          <w:rFonts w:ascii="仿宋_GB2312" w:hAnsi="仿宋_GB2312" w:cs="仿宋_GB2312" w:eastAsia="仿宋_GB2312"/>
        </w:rPr>
        <w:t>2、</w:t>
      </w:r>
      <w:r>
        <w:rPr>
          <w:rFonts w:ascii="仿宋_GB2312" w:hAnsi="仿宋_GB2312" w:cs="仿宋_GB2312" w:eastAsia="仿宋_GB2312"/>
        </w:rPr>
        <w:t>项目背景：</w:t>
      </w:r>
      <w:r>
        <w:rPr>
          <w:rFonts w:ascii="仿宋_GB2312" w:hAnsi="仿宋_GB2312" w:cs="仿宋_GB2312" w:eastAsia="仿宋_GB2312"/>
        </w:rPr>
        <w:t>2025年中国航海日主场活动将于7月10日至12日在琼海市举行，琼海市人民政府作为主办单位之一，主要负责主会场、交通、安全、卫生、志愿服务等会务服务保障工作。为确保活动圆满完成，需要委托一家会务公司来负责整体的会务服务工作，主要服务内容包含交通接驳、志愿者服务、签到注册、食宿安排、物料印刷、场地设备及搭建、宣传等工作。</w:t>
      </w:r>
    </w:p>
    <w:p>
      <w:pPr>
        <w:pStyle w:val="null3"/>
        <w:ind w:firstLine="480"/>
        <w:jc w:val="left"/>
      </w:pPr>
      <w:r>
        <w:rPr>
          <w:rFonts w:ascii="仿宋_GB2312" w:hAnsi="仿宋_GB2312" w:cs="仿宋_GB2312" w:eastAsia="仿宋_GB2312"/>
        </w:rPr>
        <w:t>3、</w:t>
      </w:r>
      <w:r>
        <w:rPr>
          <w:rFonts w:ascii="仿宋_GB2312" w:hAnsi="仿宋_GB2312" w:cs="仿宋_GB2312" w:eastAsia="仿宋_GB2312"/>
        </w:rPr>
        <w:t>项目单位：</w:t>
      </w:r>
      <w:r>
        <w:rPr>
          <w:rFonts w:ascii="仿宋_GB2312" w:hAnsi="仿宋_GB2312" w:cs="仿宋_GB2312" w:eastAsia="仿宋_GB2312"/>
        </w:rPr>
        <w:t>琼海市交通运输</w:t>
      </w:r>
      <w:r>
        <w:rPr>
          <w:rFonts w:ascii="仿宋_GB2312" w:hAnsi="仿宋_GB2312" w:cs="仿宋_GB2312" w:eastAsia="仿宋_GB2312"/>
        </w:rPr>
        <w:t>局</w:t>
      </w:r>
    </w:p>
    <w:p>
      <w:pPr>
        <w:pStyle w:val="null3"/>
        <w:ind w:firstLine="480"/>
        <w:jc w:val="left"/>
      </w:pPr>
      <w:r>
        <w:rPr>
          <w:rFonts w:ascii="仿宋_GB2312" w:hAnsi="仿宋_GB2312" w:cs="仿宋_GB2312" w:eastAsia="仿宋_GB2312"/>
        </w:rPr>
        <w:t>4</w:t>
      </w:r>
      <w:r>
        <w:rPr>
          <w:rFonts w:ascii="仿宋_GB2312" w:hAnsi="仿宋_GB2312" w:cs="仿宋_GB2312" w:eastAsia="仿宋_GB2312"/>
        </w:rPr>
        <w:t>、采购方式：竞争性磋商</w:t>
      </w:r>
    </w:p>
    <w:p>
      <w:pPr>
        <w:pStyle w:val="null3"/>
        <w:ind w:firstLine="480"/>
        <w:jc w:val="left"/>
      </w:pPr>
      <w:r>
        <w:rPr>
          <w:rFonts w:ascii="仿宋_GB2312" w:hAnsi="仿宋_GB2312" w:cs="仿宋_GB2312" w:eastAsia="仿宋_GB2312"/>
        </w:rPr>
        <w:t>5</w:t>
      </w:r>
      <w:r>
        <w:rPr>
          <w:rFonts w:ascii="仿宋_GB2312" w:hAnsi="仿宋_GB2312" w:cs="仿宋_GB2312" w:eastAsia="仿宋_GB2312"/>
        </w:rPr>
        <w:t>、采购预算：</w:t>
      </w:r>
      <w:r>
        <w:rPr>
          <w:rFonts w:ascii="仿宋_GB2312" w:hAnsi="仿宋_GB2312" w:cs="仿宋_GB2312" w:eastAsia="仿宋_GB2312"/>
        </w:rPr>
        <w:t>3</w:t>
      </w:r>
      <w:r>
        <w:rPr>
          <w:rFonts w:ascii="仿宋_GB2312" w:hAnsi="仿宋_GB2312" w:cs="仿宋_GB2312" w:eastAsia="仿宋_GB2312"/>
        </w:rPr>
        <w:t>9</w:t>
      </w:r>
      <w:r>
        <w:rPr>
          <w:rFonts w:ascii="仿宋_GB2312" w:hAnsi="仿宋_GB2312" w:cs="仿宋_GB2312" w:eastAsia="仿宋_GB2312"/>
        </w:rPr>
        <w:t>0</w:t>
      </w:r>
      <w:r>
        <w:rPr>
          <w:rFonts w:ascii="仿宋_GB2312" w:hAnsi="仿宋_GB2312" w:cs="仿宋_GB2312" w:eastAsia="仿宋_GB2312"/>
        </w:rPr>
        <w:t>万元</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3,900,000.00</w:t>
      </w:r>
    </w:p>
    <w:p>
      <w:pPr>
        <w:pStyle w:val="null3"/>
        <w:jc w:val="left"/>
      </w:pPr>
      <w:r>
        <w:rPr>
          <w:rFonts w:ascii="仿宋_GB2312" w:hAnsi="仿宋_GB2312" w:cs="仿宋_GB2312" w:eastAsia="仿宋_GB2312"/>
        </w:rPr>
        <w:t>采购包最高限价（元）: 3,900,000.00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C22010100-大型会议服务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3,900,000.00</w:t>
            </w:r>
          </w:p>
        </w:tc>
        <w:tc>
          <w:tcPr>
            <w:tcW w:type="dxa" w:w="831"/>
          </w:tcPr>
          <w:p>
            <w:pPr>
              <w:pStyle w:val="null3"/>
              <w:jc w:val="left"/>
            </w:pPr>
            <w:r>
              <w:rPr>
                <w:rFonts w:ascii="仿宋_GB2312" w:hAnsi="仿宋_GB2312" w:cs="仿宋_GB2312" w:eastAsia="仿宋_GB2312"/>
              </w:rPr>
              <w:t>场</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C22010100-大型会议服务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以人民币填报报价，总报价高于采购预算的报价将被否绝；报价人自行考虑市场风险，所报价格应包含本活动所产生的一切费用。</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标的名称：C22010100-大型会议服务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color w:val="222222"/>
              </w:rPr>
              <w:t>2025年中国航海日主场活动计划于7月10日至12日在我琼海市举行，本次航海日活动周的主题为：“绿色航海，向新图强”。琼海市人民政府作为主办单位之一，主要负责主会场、交通、安全、卫生、志愿服务等会务服务保障工作。会务公司需要全程配合主办方，负责所有活动会务服务工作，保证活动圆满完成。</w:t>
            </w:r>
          </w:p>
          <w:p>
            <w:pPr>
              <w:pStyle w:val="null3"/>
              <w:ind w:firstLine="420"/>
              <w:jc w:val="left"/>
            </w:pPr>
            <w:r>
              <w:rPr>
                <w:rFonts w:ascii="仿宋_GB2312" w:hAnsi="仿宋_GB2312" w:cs="仿宋_GB2312" w:eastAsia="仿宋_GB2312"/>
                <w:sz w:val="21"/>
                <w:b/>
              </w:rPr>
              <w:t>（一）主要服务内容</w:t>
            </w:r>
          </w:p>
          <w:p>
            <w:pPr>
              <w:pStyle w:val="null3"/>
              <w:ind w:firstLine="422"/>
              <w:jc w:val="left"/>
            </w:pPr>
            <w:r>
              <w:rPr>
                <w:rFonts w:ascii="仿宋_GB2312" w:hAnsi="仿宋_GB2312" w:cs="仿宋_GB2312" w:eastAsia="仿宋_GB2312"/>
                <w:sz w:val="21"/>
                <w:b/>
                <w:color w:val="222222"/>
              </w:rPr>
              <w:t>一是</w:t>
            </w:r>
            <w:r>
              <w:rPr>
                <w:rFonts w:ascii="仿宋_GB2312" w:hAnsi="仿宋_GB2312" w:cs="仿宋_GB2312" w:eastAsia="仿宋_GB2312"/>
                <w:sz w:val="21"/>
                <w:color w:val="222222"/>
              </w:rPr>
              <w:t>配合主办方做好活动现场的设计、布置、搭建、物料、翻译等相关会场服务；</w:t>
            </w:r>
          </w:p>
          <w:p>
            <w:pPr>
              <w:pStyle w:val="null3"/>
              <w:ind w:firstLine="422"/>
              <w:jc w:val="left"/>
            </w:pPr>
            <w:r>
              <w:rPr>
                <w:rFonts w:ascii="仿宋_GB2312" w:hAnsi="仿宋_GB2312" w:cs="仿宋_GB2312" w:eastAsia="仿宋_GB2312"/>
                <w:sz w:val="21"/>
                <w:b/>
                <w:color w:val="222222"/>
              </w:rPr>
              <w:t>二是</w:t>
            </w:r>
            <w:r>
              <w:rPr>
                <w:rFonts w:ascii="仿宋_GB2312" w:hAnsi="仿宋_GB2312" w:cs="仿宋_GB2312" w:eastAsia="仿宋_GB2312"/>
                <w:sz w:val="21"/>
                <w:color w:val="222222"/>
              </w:rPr>
              <w:t>做好参会嘉宾的前期线上注册、现场签到、接送站、会场间接驳、食宿等保障；</w:t>
            </w:r>
          </w:p>
          <w:p>
            <w:pPr>
              <w:pStyle w:val="null3"/>
              <w:ind w:firstLine="422"/>
              <w:jc w:val="left"/>
            </w:pPr>
            <w:r>
              <w:rPr>
                <w:rFonts w:ascii="仿宋_GB2312" w:hAnsi="仿宋_GB2312" w:cs="仿宋_GB2312" w:eastAsia="仿宋_GB2312"/>
                <w:sz w:val="21"/>
                <w:b/>
                <w:color w:val="222222"/>
              </w:rPr>
              <w:t>三是</w:t>
            </w:r>
            <w:r>
              <w:rPr>
                <w:rFonts w:ascii="仿宋_GB2312" w:hAnsi="仿宋_GB2312" w:cs="仿宋_GB2312" w:eastAsia="仿宋_GB2312"/>
                <w:sz w:val="21"/>
                <w:color w:val="222222"/>
              </w:rPr>
              <w:t>组织志愿者做好会务服务；</w:t>
            </w:r>
          </w:p>
          <w:p>
            <w:pPr>
              <w:pStyle w:val="null3"/>
              <w:ind w:firstLine="422"/>
              <w:jc w:val="left"/>
            </w:pPr>
            <w:r>
              <w:rPr>
                <w:rFonts w:ascii="仿宋_GB2312" w:hAnsi="仿宋_GB2312" w:cs="仿宋_GB2312" w:eastAsia="仿宋_GB2312"/>
                <w:sz w:val="21"/>
                <w:b/>
                <w:color w:val="222222"/>
              </w:rPr>
              <w:t>四是</w:t>
            </w:r>
            <w:r>
              <w:rPr>
                <w:rFonts w:ascii="仿宋_GB2312" w:hAnsi="仿宋_GB2312" w:cs="仿宋_GB2312" w:eastAsia="仿宋_GB2312"/>
                <w:sz w:val="21"/>
                <w:color w:val="222222"/>
              </w:rPr>
              <w:t>配合主办方做好会场外的宣传保障工作。</w:t>
            </w:r>
          </w:p>
          <w:p>
            <w:pPr>
              <w:pStyle w:val="null3"/>
              <w:ind w:firstLine="420"/>
              <w:jc w:val="left"/>
            </w:pPr>
            <w:r>
              <w:rPr>
                <w:rFonts w:ascii="仿宋_GB2312" w:hAnsi="仿宋_GB2312" w:cs="仿宋_GB2312" w:eastAsia="仿宋_GB2312"/>
                <w:sz w:val="21"/>
                <w:color w:val="222222"/>
              </w:rPr>
              <w:t>具体内容如下：</w:t>
            </w:r>
          </w:p>
          <w:tbl>
            <w:tblPr>
              <w:tblBorders>
                <w:top w:val="none" w:color="000000" w:sz="4"/>
                <w:left w:val="none" w:color="000000" w:sz="4"/>
                <w:bottom w:val="none" w:color="000000" w:sz="4"/>
                <w:right w:val="none" w:color="000000" w:sz="4"/>
                <w:insideH w:val="none"/>
                <w:insideV w:val="none"/>
              </w:tblBorders>
            </w:tblPr>
            <w:tblGrid>
              <w:gridCol w:w="278"/>
              <w:gridCol w:w="291"/>
              <w:gridCol w:w="798"/>
              <w:gridCol w:w="278"/>
              <w:gridCol w:w="247"/>
              <w:gridCol w:w="661"/>
            </w:tblGrid>
            <w:tr>
              <w:tc>
                <w:tcPr>
                  <w:tcW w:type="dxa" w:w="56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222222"/>
                    </w:rPr>
                    <w:t>项目名称</w:t>
                  </w:r>
                </w:p>
              </w:tc>
              <w:tc>
                <w:tcPr>
                  <w:tcW w:type="dxa" w:w="7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222222"/>
                    </w:rPr>
                    <w:t>项目内容</w:t>
                  </w:r>
                </w:p>
              </w:tc>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222222"/>
                    </w:rPr>
                    <w:t>数量</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222222"/>
                    </w:rPr>
                    <w:t>单位</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222222"/>
                    </w:rPr>
                    <w:t>备注</w:t>
                  </w: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会务保障</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交通保障</w:t>
                  </w:r>
                </w:p>
              </w:tc>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22222"/>
                    </w:rPr>
                    <w:t>做好出席会议的所有参会嘉宾交通保障，包括嘉宾联络、接送站（机场）的组织协调、会场间接驳以及为重要嘉宾提供用车服务。</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项</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vMerge/>
                  <w:tcBorders>
                    <w:top w:val="none" w:color="000000" w:sz="4"/>
                    <w:left w:val="single" w:color="000000" w:sz="4"/>
                    <w:bottom w:val="single" w:color="000000" w:sz="4"/>
                    <w:right w:val="single" w:color="000000" w:sz="4"/>
                  </w:tcBorders>
                </w:tcP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志愿者服务</w:t>
                  </w:r>
                </w:p>
              </w:tc>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22222"/>
                    </w:rPr>
                    <w:t>负责志愿者的培训工作；做好志愿者的证件服务与管理（包括工作证、服装等）；志愿者后勤服务与管理（包括住宿、用餐、补贴等）等。</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vMerge/>
                  <w:tcBorders>
                    <w:top w:val="none" w:color="000000" w:sz="4"/>
                    <w:left w:val="single" w:color="000000" w:sz="4"/>
                    <w:bottom w:val="single" w:color="000000" w:sz="4"/>
                    <w:right w:val="single" w:color="000000" w:sz="4"/>
                  </w:tcBorders>
                </w:tcP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签到注册</w:t>
                  </w:r>
                </w:p>
              </w:tc>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22222"/>
                    </w:rPr>
                    <w:t>现场签到系统、技术、注册小程序等。</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vMerge/>
                  <w:tcBorders>
                    <w:top w:val="none" w:color="000000" w:sz="4"/>
                    <w:left w:val="single" w:color="000000" w:sz="4"/>
                    <w:bottom w:val="single" w:color="000000" w:sz="4"/>
                    <w:right w:val="single" w:color="000000" w:sz="4"/>
                  </w:tcBorders>
                </w:tcP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物料印刷制作</w:t>
                  </w:r>
                </w:p>
              </w:tc>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1.根据活动周主题，提供主视觉设计以及会场内外背景布置、展板展台布置；</w:t>
                  </w:r>
                </w:p>
                <w:p>
                  <w:pPr>
                    <w:pStyle w:val="null3"/>
                    <w:jc w:val="both"/>
                  </w:pPr>
                  <w:r>
                    <w:rPr>
                      <w:rFonts w:ascii="仿宋_GB2312" w:hAnsi="仿宋_GB2312" w:cs="仿宋_GB2312" w:eastAsia="仿宋_GB2312"/>
                      <w:sz w:val="21"/>
                    </w:rPr>
                    <w:t>2.根据会务需求，编制并提供会议手册、证件等物料。</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中国航海日主论坛暨启动仪式、闭幕式</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场地保障</w:t>
                  </w:r>
                </w:p>
              </w:tc>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根据会务方案，提供满足主会场会议需求的场地，并保障主会场的会务工作，为参会贵宾准备休息室，以及提供预计两天的工作人员工作室。</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项</w:t>
                  </w:r>
                </w:p>
              </w:tc>
              <w:tc>
                <w:tcPr>
                  <w:tcW w:type="dxa" w:w="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22222"/>
                    </w:rPr>
                    <w:t>1、2025年中国航海日主论坛暨全国航海日活动周启动仪式于7 月 11 日上午召开；</w:t>
                  </w:r>
                </w:p>
                <w:p>
                  <w:pPr>
                    <w:pStyle w:val="null3"/>
                    <w:jc w:val="both"/>
                  </w:pPr>
                  <w:r>
                    <w:rPr>
                      <w:rFonts w:ascii="仿宋_GB2312" w:hAnsi="仿宋_GB2312" w:cs="仿宋_GB2312" w:eastAsia="仿宋_GB2312"/>
                      <w:sz w:val="21"/>
                      <w:color w:val="222222"/>
                    </w:rPr>
                    <w:t>2、2025 年中国航海日论坛暨全国航海日活动周主场活动闭幕式于7 月 12 日下午召开。</w:t>
                  </w:r>
                </w:p>
              </w:tc>
            </w:tr>
            <w:tr>
              <w:tc>
                <w:tcPr>
                  <w:tcW w:type="dxa" w:w="278"/>
                  <w:vMerge/>
                  <w:tcBorders>
                    <w:top w:val="none" w:color="000000" w:sz="4"/>
                    <w:left w:val="single" w:color="000000" w:sz="4"/>
                    <w:bottom w:val="single" w:color="000000" w:sz="4"/>
                    <w:right w:val="single" w:color="000000" w:sz="4"/>
                  </w:tcBorders>
                </w:tcP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参会代表用餐</w:t>
                  </w:r>
                </w:p>
              </w:tc>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保障参会代表</w:t>
                  </w:r>
                  <w:r>
                    <w:rPr>
                      <w:rFonts w:ascii="仿宋_GB2312" w:hAnsi="仿宋_GB2312" w:cs="仿宋_GB2312" w:eastAsia="仿宋_GB2312"/>
                      <w:sz w:val="21"/>
                    </w:rPr>
                    <w:t>11日中午的自助午餐。</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场</w:t>
                  </w:r>
                </w:p>
              </w:tc>
              <w:tc>
                <w:tcPr>
                  <w:tcW w:type="dxa" w:w="661"/>
                  <w:vMerge/>
                  <w:tcBorders>
                    <w:top w:val="none" w:color="000000" w:sz="4"/>
                    <w:left w:val="single" w:color="000000" w:sz="4"/>
                    <w:bottom w:val="single" w:color="000000" w:sz="4"/>
                    <w:right w:val="single" w:color="000000" w:sz="4"/>
                  </w:tcBorders>
                </w:tcP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2025年全国航海科普季启动仪式暨“匠说航海”科普讲座</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物料印刷制作</w:t>
                  </w:r>
                </w:p>
              </w:tc>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1.根据讲座主题，提供主视觉设计以及讲座背景板制作；</w:t>
                  </w:r>
                </w:p>
                <w:p>
                  <w:pPr>
                    <w:pStyle w:val="null3"/>
                    <w:jc w:val="left"/>
                  </w:pPr>
                  <w:r>
                    <w:rPr>
                      <w:rFonts w:ascii="仿宋_GB2312" w:hAnsi="仿宋_GB2312" w:cs="仿宋_GB2312" w:eastAsia="仿宋_GB2312"/>
                      <w:sz w:val="21"/>
                    </w:rPr>
                    <w:t>2.根据会务需求，并提供会议资料、麦克风套、桌签、讲台贴等物料。</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项</w:t>
                  </w:r>
                </w:p>
              </w:tc>
              <w:tc>
                <w:tcPr>
                  <w:tcW w:type="dxa" w:w="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启动仪式于</w:t>
                  </w:r>
                  <w:r>
                    <w:rPr>
                      <w:rFonts w:ascii="仿宋_GB2312" w:hAnsi="仿宋_GB2312" w:cs="仿宋_GB2312" w:eastAsia="仿宋_GB2312"/>
                      <w:sz w:val="21"/>
                      <w:color w:val="222222"/>
                    </w:rPr>
                    <w:t>7月10日上午举行，地点：南海博物馆</w:t>
                  </w:r>
                </w:p>
              </w:tc>
            </w:tr>
            <w:tr>
              <w:tc>
                <w:tcPr>
                  <w:tcW w:type="dxa" w:w="278"/>
                  <w:vMerge/>
                  <w:tcBorders>
                    <w:top w:val="none" w:color="000000" w:sz="4"/>
                    <w:left w:val="single" w:color="000000" w:sz="4"/>
                    <w:bottom w:val="single" w:color="000000" w:sz="4"/>
                    <w:right w:val="single" w:color="000000" w:sz="4"/>
                  </w:tcBorders>
                </w:tcP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场地设备及搭建</w:t>
                  </w:r>
                </w:p>
              </w:tc>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1.场地</w:t>
                  </w:r>
                  <w:r>
                    <w:rPr>
                      <w:rFonts w:ascii="仿宋_GB2312" w:hAnsi="仿宋_GB2312" w:cs="仿宋_GB2312" w:eastAsia="仿宋_GB2312"/>
                      <w:sz w:val="21"/>
                    </w:rPr>
                    <w:t>设计</w:t>
                  </w:r>
                  <w:r>
                    <w:rPr>
                      <w:rFonts w:ascii="仿宋_GB2312" w:hAnsi="仿宋_GB2312" w:cs="仿宋_GB2312" w:eastAsia="仿宋_GB2312"/>
                      <w:sz w:val="21"/>
                    </w:rPr>
                    <w:t>、</w:t>
                  </w:r>
                  <w:r>
                    <w:rPr>
                      <w:rFonts w:ascii="仿宋_GB2312" w:hAnsi="仿宋_GB2312" w:cs="仿宋_GB2312" w:eastAsia="仿宋_GB2312"/>
                      <w:sz w:val="21"/>
                    </w:rPr>
                    <w:t>搭建</w:t>
                  </w:r>
                  <w:r>
                    <w:rPr>
                      <w:rFonts w:ascii="仿宋_GB2312" w:hAnsi="仿宋_GB2312" w:cs="仿宋_GB2312" w:eastAsia="仿宋_GB2312"/>
                      <w:sz w:val="21"/>
                    </w:rPr>
                    <w:t>及撤除</w:t>
                  </w:r>
                  <w:r>
                    <w:rPr>
                      <w:rFonts w:ascii="仿宋_GB2312" w:hAnsi="仿宋_GB2312" w:cs="仿宋_GB2312" w:eastAsia="仿宋_GB2312"/>
                      <w:sz w:val="21"/>
                    </w:rPr>
                    <w:t>服务工作</w:t>
                  </w:r>
                  <w:r>
                    <w:rPr>
                      <w:rFonts w:ascii="仿宋_GB2312" w:hAnsi="仿宋_GB2312" w:cs="仿宋_GB2312" w:eastAsia="仿宋_GB2312"/>
                      <w:sz w:val="21"/>
                    </w:rPr>
                    <w:t>，</w:t>
                  </w:r>
                  <w:r>
                    <w:rPr>
                      <w:rFonts w:ascii="仿宋_GB2312" w:hAnsi="仿宋_GB2312" w:cs="仿宋_GB2312" w:eastAsia="仿宋_GB2312"/>
                      <w:sz w:val="21"/>
                    </w:rPr>
                    <w:t>包括但不限于背景板的布置、舞台的设计、灯光、屏幕、反馈屏以及音响等；</w:t>
                  </w:r>
                </w:p>
                <w:p>
                  <w:pPr>
                    <w:pStyle w:val="null3"/>
                    <w:jc w:val="both"/>
                  </w:pPr>
                  <w:r>
                    <w:rPr>
                      <w:rFonts w:ascii="仿宋_GB2312" w:hAnsi="仿宋_GB2312" w:cs="仿宋_GB2312" w:eastAsia="仿宋_GB2312"/>
                      <w:sz w:val="21"/>
                    </w:rPr>
                    <w:t>2.供应商应提供相应的技术服务，保障讲座灯光及音响的正常运行，音响无噪音清晰；</w:t>
                  </w:r>
                </w:p>
                <w:p>
                  <w:pPr>
                    <w:pStyle w:val="null3"/>
                    <w:jc w:val="both"/>
                  </w:pPr>
                  <w:r>
                    <w:rPr>
                      <w:rFonts w:ascii="仿宋_GB2312" w:hAnsi="仿宋_GB2312" w:cs="仿宋_GB2312" w:eastAsia="仿宋_GB2312"/>
                      <w:sz w:val="21"/>
                    </w:rPr>
                    <w:t>3.提供航海书画作品展示板；</w:t>
                  </w:r>
                </w:p>
                <w:p>
                  <w:pPr>
                    <w:pStyle w:val="null3"/>
                    <w:jc w:val="both"/>
                  </w:pPr>
                  <w:r>
                    <w:rPr>
                      <w:rFonts w:ascii="仿宋_GB2312" w:hAnsi="仿宋_GB2312" w:cs="仿宋_GB2312" w:eastAsia="仿宋_GB2312"/>
                      <w:sz w:val="21"/>
                    </w:rPr>
                    <w:t>4.提供摄影摄像服务。</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项</w:t>
                  </w:r>
                </w:p>
              </w:tc>
              <w:tc>
                <w:tcPr>
                  <w:tcW w:type="dxa" w:w="661"/>
                  <w:vMerge/>
                  <w:tcBorders>
                    <w:top w:val="none" w:color="000000" w:sz="4"/>
                    <w:left w:val="single" w:color="000000" w:sz="4"/>
                    <w:bottom w:val="single" w:color="000000" w:sz="4"/>
                    <w:right w:val="single" w:color="000000" w:sz="4"/>
                  </w:tcBorders>
                </w:tcP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宣传推广</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城市氛围营造</w:t>
                  </w:r>
                </w:p>
              </w:tc>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1.在海口美兰机场、琼海博鳌机场、三亚凤凰机场、海口美兰动车站、琼海博鳌动车站、高速路出入口进行宣传，包括海报、</w:t>
                  </w:r>
                  <w:r>
                    <w:rPr>
                      <w:rFonts w:ascii="仿宋_GB2312" w:hAnsi="仿宋_GB2312" w:cs="仿宋_GB2312" w:eastAsia="仿宋_GB2312"/>
                      <w:sz w:val="21"/>
                      <w:color w:val="000000"/>
                    </w:rPr>
                    <w:t>LED屏幕等；</w:t>
                  </w:r>
                </w:p>
                <w:p>
                  <w:pPr>
                    <w:pStyle w:val="null3"/>
                    <w:jc w:val="both"/>
                  </w:pPr>
                  <w:r>
                    <w:rPr>
                      <w:rFonts w:ascii="仿宋_GB2312" w:hAnsi="仿宋_GB2312" w:cs="仿宋_GB2312" w:eastAsia="仿宋_GB2312"/>
                      <w:sz w:val="21"/>
                      <w:color w:val="000000"/>
                    </w:rPr>
                    <w:t>2.在琼海城市主干道道路、博鳌互通到东屿岛的迎宾路以及博鳌核心区域提供灯杆道旗，营造城市氛围。</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vMerge/>
                  <w:tcBorders>
                    <w:top w:val="none" w:color="000000" w:sz="4"/>
                    <w:left w:val="single" w:color="000000" w:sz="4"/>
                    <w:bottom w:val="single" w:color="000000" w:sz="4"/>
                    <w:right w:val="single" w:color="000000" w:sz="4"/>
                  </w:tcBorders>
                </w:tcP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媒体现场采访</w:t>
                  </w:r>
                </w:p>
              </w:tc>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22222"/>
                    </w:rPr>
                    <w:t>7月9日-12日媒体现场采访，保障媒体人员往返及市内交通、食宿等。</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vMerge/>
                  <w:tcBorders>
                    <w:top w:val="none" w:color="000000" w:sz="4"/>
                    <w:left w:val="single" w:color="000000" w:sz="4"/>
                    <w:bottom w:val="single" w:color="000000" w:sz="4"/>
                    <w:right w:val="single" w:color="000000" w:sz="4"/>
                  </w:tcBorders>
                </w:tcP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新闻通气会</w:t>
                  </w:r>
                </w:p>
              </w:tc>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1.提供满足会议需求的场地，并保障主会场的会务工作，提供会议所需的物料（包括会议资料、麦克风套、桌签、讲台贴等）；</w:t>
                  </w:r>
                </w:p>
                <w:p>
                  <w:pPr>
                    <w:pStyle w:val="null3"/>
                    <w:jc w:val="both"/>
                  </w:pPr>
                  <w:r>
                    <w:rPr>
                      <w:rFonts w:ascii="仿宋_GB2312" w:hAnsi="仿宋_GB2312" w:cs="仿宋_GB2312" w:eastAsia="仿宋_GB2312"/>
                      <w:sz w:val="21"/>
                    </w:rPr>
                    <w:t>2.场地</w:t>
                  </w:r>
                  <w:r>
                    <w:rPr>
                      <w:rFonts w:ascii="仿宋_GB2312" w:hAnsi="仿宋_GB2312" w:cs="仿宋_GB2312" w:eastAsia="仿宋_GB2312"/>
                      <w:sz w:val="21"/>
                    </w:rPr>
                    <w:t>设计</w:t>
                  </w:r>
                  <w:r>
                    <w:rPr>
                      <w:rFonts w:ascii="仿宋_GB2312" w:hAnsi="仿宋_GB2312" w:cs="仿宋_GB2312" w:eastAsia="仿宋_GB2312"/>
                      <w:sz w:val="21"/>
                    </w:rPr>
                    <w:t>、</w:t>
                  </w:r>
                  <w:r>
                    <w:rPr>
                      <w:rFonts w:ascii="仿宋_GB2312" w:hAnsi="仿宋_GB2312" w:cs="仿宋_GB2312" w:eastAsia="仿宋_GB2312"/>
                      <w:sz w:val="21"/>
                    </w:rPr>
                    <w:t>搭建</w:t>
                  </w:r>
                  <w:r>
                    <w:rPr>
                      <w:rFonts w:ascii="仿宋_GB2312" w:hAnsi="仿宋_GB2312" w:cs="仿宋_GB2312" w:eastAsia="仿宋_GB2312"/>
                      <w:sz w:val="21"/>
                    </w:rPr>
                    <w:t>及撤除</w:t>
                  </w:r>
                  <w:r>
                    <w:rPr>
                      <w:rFonts w:ascii="仿宋_GB2312" w:hAnsi="仿宋_GB2312" w:cs="仿宋_GB2312" w:eastAsia="仿宋_GB2312"/>
                      <w:sz w:val="21"/>
                    </w:rPr>
                    <w:t>服务工作</w:t>
                  </w:r>
                  <w:r>
                    <w:rPr>
                      <w:rFonts w:ascii="仿宋_GB2312" w:hAnsi="仿宋_GB2312" w:cs="仿宋_GB2312" w:eastAsia="仿宋_GB2312"/>
                      <w:sz w:val="21"/>
                    </w:rPr>
                    <w:t>。</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新闻通气会于</w:t>
                  </w:r>
                  <w:r>
                    <w:rPr>
                      <w:rFonts w:ascii="仿宋_GB2312" w:hAnsi="仿宋_GB2312" w:cs="仿宋_GB2312" w:eastAsia="仿宋_GB2312"/>
                      <w:sz w:val="21"/>
                      <w:color w:val="222222"/>
                    </w:rPr>
                    <w:t>7 月 10 日下午召开，地点：博鳌</w:t>
                  </w:r>
                </w:p>
              </w:tc>
            </w:tr>
            <w:tr>
              <w:tc>
                <w:tcPr>
                  <w:tcW w:type="dxa" w:w="278"/>
                  <w:vMerge/>
                  <w:tcBorders>
                    <w:top w:val="none" w:color="000000" w:sz="4"/>
                    <w:left w:val="single" w:color="000000" w:sz="4"/>
                    <w:bottom w:val="single" w:color="000000" w:sz="4"/>
                    <w:right w:val="single" w:color="000000" w:sz="4"/>
                  </w:tcBorders>
                </w:tcP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22222"/>
                    </w:rPr>
                    <w:t>直播推流</w:t>
                  </w:r>
                </w:p>
              </w:tc>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22222"/>
                    </w:rPr>
                    <w:t>活动期间保证</w:t>
                  </w:r>
                  <w:r>
                    <w:rPr>
                      <w:rFonts w:ascii="仿宋_GB2312" w:hAnsi="仿宋_GB2312" w:cs="仿宋_GB2312" w:eastAsia="仿宋_GB2312"/>
                      <w:sz w:val="21"/>
                      <w:color w:val="222222"/>
                    </w:rPr>
                    <w:t>5-10场的现场直播，不少于30个推拉流平台合作。</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vMerge/>
                  <w:tcBorders>
                    <w:top w:val="none" w:color="000000" w:sz="4"/>
                    <w:left w:val="single" w:color="000000" w:sz="4"/>
                    <w:bottom w:val="single" w:color="000000" w:sz="4"/>
                    <w:right w:val="single" w:color="000000" w:sz="4"/>
                  </w:tcBorders>
                </w:tcP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网站和新媒体</w:t>
                  </w:r>
                </w:p>
              </w:tc>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1.制作</w:t>
                  </w:r>
                  <w:r>
                    <w:rPr>
                      <w:rFonts w:ascii="仿宋_GB2312" w:hAnsi="仿宋_GB2312" w:cs="仿宋_GB2312" w:eastAsia="仿宋_GB2312"/>
                      <w:sz w:val="21"/>
                    </w:rPr>
                    <w:t>“2025 年中国航海日活动周”专题网页，在中国航海学会网站、交通运输部网站、中国交通新闻网、海事服务网发布；</w:t>
                  </w:r>
                </w:p>
                <w:p>
                  <w:pPr>
                    <w:pStyle w:val="null3"/>
                    <w:jc w:val="both"/>
                  </w:pPr>
                  <w:r>
                    <w:rPr>
                      <w:rFonts w:ascii="仿宋_GB2312" w:hAnsi="仿宋_GB2312" w:cs="仿宋_GB2312" w:eastAsia="仿宋_GB2312"/>
                      <w:sz w:val="21"/>
                    </w:rPr>
                    <w:t>2.新媒体宣传，包括发布微博公益广告、微博话题接龙、开展短视频创作活动等</w:t>
                  </w:r>
                  <w:r>
                    <w:rPr>
                      <w:rFonts w:ascii="仿宋_GB2312" w:hAnsi="仿宋_GB2312" w:cs="仿宋_GB2312" w:eastAsia="仿宋_GB2312"/>
                      <w:sz w:val="21"/>
                      <w:color w:val="222222"/>
                    </w:rPr>
                    <w:t>。</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vMerge/>
                  <w:tcBorders>
                    <w:top w:val="none" w:color="000000" w:sz="4"/>
                    <w:left w:val="single" w:color="000000" w:sz="4"/>
                    <w:bottom w:val="single" w:color="000000" w:sz="4"/>
                    <w:right w:val="single" w:color="000000" w:sz="4"/>
                  </w:tcBorders>
                </w:tcP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专版宣传</w:t>
                  </w:r>
                </w:p>
              </w:tc>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6个专版宣传</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8"/>
                  <w:vMerge/>
                  <w:tcBorders>
                    <w:top w:val="none" w:color="000000" w:sz="4"/>
                    <w:left w:val="single" w:color="000000" w:sz="4"/>
                    <w:bottom w:val="single" w:color="000000" w:sz="4"/>
                    <w:right w:val="single" w:color="000000" w:sz="4"/>
                  </w:tcBorders>
                </w:tcP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舆情监控</w:t>
                  </w:r>
                </w:p>
              </w:tc>
              <w:tc>
                <w:tcPr>
                  <w:tcW w:type="dxa" w:w="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活动周期间监测舆情走向，汇总宣传情况</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项</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b/>
              </w:rPr>
              <w:t>（二）活动基础要求</w:t>
            </w:r>
          </w:p>
          <w:p>
            <w:pPr>
              <w:pStyle w:val="null3"/>
              <w:ind w:right="105"/>
              <w:jc w:val="left"/>
            </w:pPr>
            <w:r>
              <w:rPr>
                <w:rFonts w:ascii="仿宋_GB2312" w:hAnsi="仿宋_GB2312" w:cs="仿宋_GB2312" w:eastAsia="仿宋_GB2312"/>
                <w:sz w:val="21"/>
                <w:color w:val="222222"/>
              </w:rPr>
              <w:t>1.应根据采购人的要求，提供在活动过程中产生的费用单据、设计制作等相关凭证或资料。</w:t>
            </w:r>
          </w:p>
          <w:p>
            <w:pPr>
              <w:pStyle w:val="null3"/>
              <w:ind w:right="105"/>
              <w:jc w:val="left"/>
            </w:pPr>
            <w:r>
              <w:rPr>
                <w:rFonts w:ascii="仿宋_GB2312" w:hAnsi="仿宋_GB2312" w:cs="仿宋_GB2312" w:eastAsia="仿宋_GB2312"/>
                <w:sz w:val="21"/>
                <w:color w:val="222222"/>
              </w:rPr>
              <w:t>2.成交供应商要保持同采购人的密切联系，遇有重大事项及时报告和反馈信息，尊重采购人的意见。</w:t>
            </w:r>
          </w:p>
          <w:p>
            <w:pPr>
              <w:pStyle w:val="null3"/>
              <w:ind w:right="105"/>
              <w:jc w:val="left"/>
            </w:pPr>
            <w:r>
              <w:rPr>
                <w:rFonts w:ascii="仿宋_GB2312" w:hAnsi="仿宋_GB2312" w:cs="仿宋_GB2312" w:eastAsia="仿宋_GB2312"/>
                <w:sz w:val="21"/>
                <w:color w:val="222222"/>
              </w:rPr>
              <w:t>3.保密安全要求：成交供应商应与采购人签订保密协议，项目实施过程中严格遵守安全保密规定，加强人员安全保密管理，确保不发生失泄密事件。</w:t>
            </w:r>
          </w:p>
          <w:p>
            <w:pPr>
              <w:pStyle w:val="null3"/>
              <w:ind w:right="105"/>
              <w:jc w:val="left"/>
            </w:pPr>
            <w:r>
              <w:rPr>
                <w:rFonts w:ascii="仿宋_GB2312" w:hAnsi="仿宋_GB2312" w:cs="仿宋_GB2312" w:eastAsia="仿宋_GB2312"/>
                <w:sz w:val="21"/>
                <w:color w:val="222222"/>
              </w:rPr>
              <w:t>4.成交供应商各项服务工作进度必须满足采购人的要求。在项目实施阶段，成交供应商所有直接影响服务质量和进度的情况要及时与采购人沟通解决。否则，若因此影响服务质量或进度，产生不良后果，采购人有权解除与中标供应商的合同。</w:t>
            </w:r>
          </w:p>
          <w:p>
            <w:pPr>
              <w:pStyle w:val="null3"/>
              <w:ind w:right="105"/>
              <w:jc w:val="left"/>
            </w:pPr>
            <w:r>
              <w:rPr>
                <w:rFonts w:ascii="仿宋_GB2312" w:hAnsi="仿宋_GB2312" w:cs="仿宋_GB2312" w:eastAsia="仿宋_GB2312"/>
                <w:sz w:val="21"/>
                <w:color w:val="222222"/>
              </w:rPr>
              <w:t>5.供应商负责项目采购人采购需求中列出的所有工作内容，以及相关配套工作。成交后，除活动内容增加外，不得以不了解项目为由以任何形式追加费用，采购人不再支付成交金额以外</w:t>
            </w:r>
            <w:r>
              <w:rPr>
                <w:rFonts w:ascii="仿宋_GB2312" w:hAnsi="仿宋_GB2312" w:cs="仿宋_GB2312" w:eastAsia="仿宋_GB2312"/>
                <w:sz w:val="21"/>
                <w:color w:val="000000"/>
              </w:rPr>
              <w:t>的任何费用。</w:t>
            </w:r>
          </w:p>
          <w:p>
            <w:pPr>
              <w:pStyle w:val="null3"/>
              <w:ind w:right="105"/>
              <w:jc w:val="left"/>
            </w:pPr>
            <w:r>
              <w:rPr>
                <w:rFonts w:ascii="仿宋_GB2312" w:hAnsi="仿宋_GB2312" w:cs="仿宋_GB2312" w:eastAsia="仿宋_GB2312"/>
                <w:sz w:val="21"/>
                <w:color w:val="000000"/>
              </w:rPr>
              <w:t>6.活动结束后，由成交供应商负责按照采购人要求按期拆装并清理场地。</w:t>
            </w:r>
          </w:p>
          <w:p>
            <w:pPr>
              <w:pStyle w:val="null3"/>
              <w:ind w:right="105"/>
              <w:jc w:val="left"/>
            </w:pPr>
            <w:r>
              <w:rPr>
                <w:rFonts w:ascii="仿宋_GB2312" w:hAnsi="仿宋_GB2312" w:cs="仿宋_GB2312" w:eastAsia="仿宋_GB2312"/>
                <w:sz w:val="21"/>
                <w:color w:val="222222"/>
              </w:rPr>
              <w:t>7.活动搭建所用材料应符合国家相关规定，不得使用劣质材料。供应商应制定搭建安全承诺书，整个搭建及活动期间，引发的安全事故，均由供应商承担，采购人概不负责。</w:t>
            </w:r>
          </w:p>
          <w:p>
            <w:pPr>
              <w:pStyle w:val="null3"/>
              <w:ind w:right="105"/>
              <w:jc w:val="left"/>
            </w:pPr>
            <w:r>
              <w:rPr>
                <w:rFonts w:ascii="仿宋_GB2312" w:hAnsi="仿宋_GB2312" w:cs="仿宋_GB2312" w:eastAsia="仿宋_GB2312"/>
                <w:sz w:val="21"/>
                <w:color w:val="222222"/>
              </w:rPr>
              <w:t>8.成交供应商需承担疫情防控主体责任，必须严格根据常态化、动态化、精准防控的原则要求，按照国家、海南省等相关防疫办法，制定安保方案及现场安保组织、医务保障方案及物资配给、防疫保障方案。</w:t>
            </w:r>
          </w:p>
          <w:p>
            <w:pPr>
              <w:pStyle w:val="null3"/>
              <w:ind w:right="105"/>
              <w:jc w:val="left"/>
            </w:pPr>
            <w:r>
              <w:rPr>
                <w:rFonts w:ascii="仿宋_GB2312" w:hAnsi="仿宋_GB2312" w:cs="仿宋_GB2312" w:eastAsia="仿宋_GB2312"/>
                <w:sz w:val="21"/>
                <w:color w:val="222222"/>
              </w:rPr>
              <w:t>9.服务标准</w:t>
            </w:r>
          </w:p>
          <w:p>
            <w:pPr>
              <w:pStyle w:val="null3"/>
              <w:ind w:right="105"/>
              <w:jc w:val="left"/>
            </w:pPr>
            <w:r>
              <w:rPr>
                <w:rFonts w:ascii="仿宋_GB2312" w:hAnsi="仿宋_GB2312" w:cs="仿宋_GB2312" w:eastAsia="仿宋_GB2312"/>
                <w:sz w:val="21"/>
                <w:color w:val="222222"/>
              </w:rPr>
              <w:t>（</w:t>
            </w:r>
            <w:r>
              <w:rPr>
                <w:rFonts w:ascii="仿宋_GB2312" w:hAnsi="仿宋_GB2312" w:cs="仿宋_GB2312" w:eastAsia="仿宋_GB2312"/>
                <w:sz w:val="21"/>
                <w:color w:val="222222"/>
              </w:rPr>
              <w:t>1）在会务服务期间，会务人员着装必须得体，衣冠、头发整洁，上岗前不得饮酒等。</w:t>
            </w:r>
          </w:p>
          <w:p>
            <w:pPr>
              <w:pStyle w:val="null3"/>
              <w:ind w:right="105"/>
              <w:jc w:val="left"/>
            </w:pPr>
            <w:r>
              <w:rPr>
                <w:rFonts w:ascii="仿宋_GB2312" w:hAnsi="仿宋_GB2312" w:cs="仿宋_GB2312" w:eastAsia="仿宋_GB2312"/>
                <w:sz w:val="21"/>
                <w:color w:val="222222"/>
              </w:rPr>
              <w:t>（</w:t>
            </w:r>
            <w:r>
              <w:rPr>
                <w:rFonts w:ascii="仿宋_GB2312" w:hAnsi="仿宋_GB2312" w:cs="仿宋_GB2312" w:eastAsia="仿宋_GB2312"/>
                <w:sz w:val="21"/>
                <w:color w:val="222222"/>
              </w:rPr>
              <w:t>2）在会务服务期间会务人员需对待来往人员要态度自然、大方、热情、礼貌，与来往人员相遇时，要主动让路，与来往人员同行时，应进行引导等。</w:t>
            </w:r>
          </w:p>
          <w:p>
            <w:pPr>
              <w:pStyle w:val="null3"/>
              <w:ind w:right="105"/>
              <w:jc w:val="left"/>
            </w:pPr>
            <w:r>
              <w:rPr>
                <w:rFonts w:ascii="仿宋_GB2312" w:hAnsi="仿宋_GB2312" w:cs="仿宋_GB2312" w:eastAsia="仿宋_GB2312"/>
                <w:sz w:val="21"/>
                <w:color w:val="222222"/>
              </w:rPr>
              <w:t>（</w:t>
            </w:r>
            <w:r>
              <w:rPr>
                <w:rFonts w:ascii="仿宋_GB2312" w:hAnsi="仿宋_GB2312" w:cs="仿宋_GB2312" w:eastAsia="仿宋_GB2312"/>
                <w:sz w:val="21"/>
                <w:color w:val="222222"/>
              </w:rPr>
              <w:t>3）在会务服务期间，必须严格按照采购人要求完成，统一由采购人调配。</w:t>
            </w:r>
          </w:p>
          <w:p>
            <w:pPr>
              <w:pStyle w:val="null3"/>
              <w:ind w:right="105"/>
              <w:jc w:val="left"/>
            </w:pPr>
            <w:r>
              <w:rPr>
                <w:rFonts w:ascii="仿宋_GB2312" w:hAnsi="仿宋_GB2312" w:cs="仿宋_GB2312" w:eastAsia="仿宋_GB2312"/>
                <w:sz w:val="21"/>
                <w:color w:val="222222"/>
              </w:rPr>
              <w:t>10.不得违反广告法。</w:t>
            </w:r>
          </w:p>
          <w:p>
            <w:pPr>
              <w:pStyle w:val="null3"/>
              <w:ind w:right="105"/>
              <w:jc w:val="left"/>
            </w:pPr>
            <w:r>
              <w:rPr>
                <w:rFonts w:ascii="仿宋_GB2312" w:hAnsi="仿宋_GB2312" w:cs="仿宋_GB2312" w:eastAsia="仿宋_GB2312"/>
              </w:rPr>
              <w:t>（三）</w:t>
            </w:r>
            <w:r>
              <w:rPr>
                <w:rFonts w:ascii="仿宋_GB2312" w:hAnsi="仿宋_GB2312" w:cs="仿宋_GB2312" w:eastAsia="仿宋_GB2312"/>
                <w:sz w:val="21"/>
                <w:b/>
              </w:rPr>
              <w:t>其他要求</w:t>
            </w:r>
          </w:p>
          <w:p>
            <w:pPr>
              <w:pStyle w:val="null3"/>
              <w:ind w:right="105"/>
              <w:jc w:val="left"/>
            </w:pPr>
            <w:r>
              <w:rPr>
                <w:rFonts w:ascii="仿宋_GB2312" w:hAnsi="仿宋_GB2312" w:cs="仿宋_GB2312" w:eastAsia="仿宋_GB2312"/>
                <w:sz w:val="21"/>
                <w:color w:val="222222"/>
              </w:rPr>
              <w:t>1.供应商须为本项目提供专业的服务团队，且岗位配置合理，分工明确。会务相关负责人员须保证</w:t>
            </w:r>
            <w:r>
              <w:rPr>
                <w:rFonts w:ascii="仿宋_GB2312" w:hAnsi="仿宋_GB2312" w:cs="仿宋_GB2312" w:eastAsia="仿宋_GB2312"/>
                <w:sz w:val="21"/>
                <w:color w:val="222222"/>
              </w:rPr>
              <w:t>24小时活动支持服务，提供现场服务人员名单、有效通讯等信息，并保证信息的准确性。</w:t>
            </w:r>
          </w:p>
          <w:p>
            <w:pPr>
              <w:pStyle w:val="null3"/>
              <w:ind w:right="105"/>
              <w:jc w:val="left"/>
            </w:pPr>
            <w:r>
              <w:rPr>
                <w:rFonts w:ascii="仿宋_GB2312" w:hAnsi="仿宋_GB2312" w:cs="仿宋_GB2312" w:eastAsia="仿宋_GB2312"/>
                <w:sz w:val="21"/>
                <w:color w:val="222222"/>
              </w:rPr>
              <w:t>2.供应商须综合考虑本项目相关活动流程所产生所有费用，应充分衡量和估计本项目履行中可能发生的其他潜在导致价格变动风险因素，报价接受后视为就本项目所有所需服务及所需相应设施、设备、材料、人员及耗材各类检验报告等已经包含在该价格中，且不做任何调整。服务要求中所产生的一切费用均由成交供应商支付，活动期间如因对项目理解及活动规模不充足导致活动延期或出现服务停滞情况所产生的一切损失均由成交供应商负责。</w:t>
            </w:r>
          </w:p>
          <w:p>
            <w:pPr>
              <w:pStyle w:val="null3"/>
              <w:ind w:right="105"/>
              <w:jc w:val="left"/>
            </w:pPr>
            <w:r>
              <w:rPr>
                <w:rFonts w:ascii="仿宋_GB2312" w:hAnsi="仿宋_GB2312" w:cs="仿宋_GB2312" w:eastAsia="仿宋_GB2312"/>
                <w:sz w:val="21"/>
                <w:color w:val="222222"/>
              </w:rPr>
              <w:t>3.如出现成交供应商自身管理或沟通不力使员工通过各类渠道或以其他方式对采购人的声誉造成不利影响，以及因成交供应商服务质量或员工素质等原因有损采购人的社会公众形象、口碑等情况，成交供应商必须第一时间负责将不利影响降到最低并及时妥善处理，同时承担由此造成的声誉损失后果。采购人保留从经济、法律或其他形式向成交供应商追究责任的权利。</w:t>
            </w:r>
          </w:p>
          <w:p>
            <w:pPr>
              <w:pStyle w:val="null3"/>
              <w:ind w:right="105"/>
              <w:jc w:val="left"/>
            </w:pPr>
            <w:r>
              <w:rPr>
                <w:rFonts w:ascii="仿宋_GB2312" w:hAnsi="仿宋_GB2312" w:cs="仿宋_GB2312" w:eastAsia="仿宋_GB2312"/>
                <w:sz w:val="21"/>
                <w:color w:val="222222"/>
              </w:rPr>
              <w:t>4.成交供应商擅自将服务合同转包、分包给第三人的或委托其他单位经营管理的，以及成交供应商违反法律法规、规章或其他相关规范性文件的规定，影响合同履行的，采购人有权无条件终止本项目合同而无须向成交供应商支付任何费用或承担其他任何责任，由此产生的经济损失和法律责任均由成交供应商承担。</w:t>
            </w:r>
          </w:p>
          <w:p>
            <w:pPr>
              <w:pStyle w:val="null3"/>
              <w:ind w:right="105"/>
              <w:jc w:val="left"/>
            </w:pPr>
            <w:r>
              <w:rPr>
                <w:rFonts w:ascii="仿宋_GB2312" w:hAnsi="仿宋_GB2312" w:cs="仿宋_GB2312" w:eastAsia="仿宋_GB2312"/>
                <w:sz w:val="21"/>
                <w:color w:val="222222"/>
              </w:rPr>
              <w:t>5.成交供应商必须对采购人提供的有关信息保密。项目成果知识产权由采购人拥有，成交供应商使用该成果时必须经采购人同意且成交供应商不得以任何形式将该报告及与有关的内容泄露给第三方，否则，因此而造成的损失都将由成交供应商承担。</w:t>
            </w:r>
          </w:p>
          <w:p>
            <w:pPr>
              <w:pStyle w:val="null3"/>
              <w:ind w:right="105"/>
              <w:jc w:val="left"/>
            </w:pPr>
            <w:r>
              <w:rPr>
                <w:rFonts w:ascii="仿宋_GB2312" w:hAnsi="仿宋_GB2312" w:cs="仿宋_GB2312" w:eastAsia="仿宋_GB2312"/>
                <w:sz w:val="21"/>
                <w:color w:val="222222"/>
              </w:rPr>
              <w:t>6.成交供应商必须保证采购人在使用成交供应商提供的本项目全部成果时，均不会引起因第三方提出侵犯其专利权、版权、商标权和设计权等知识产权而遭受起诉。一旦出现侵权，一律由供应商承担全部责任。</w:t>
            </w:r>
          </w:p>
          <w:p>
            <w:pPr>
              <w:pStyle w:val="null3"/>
              <w:jc w:val="both"/>
            </w:pPr>
            <w:r>
              <w:rPr>
                <w:rFonts w:ascii="仿宋_GB2312" w:hAnsi="仿宋_GB2312" w:cs="仿宋_GB2312" w:eastAsia="仿宋_GB2312"/>
                <w:sz w:val="21"/>
                <w:color w:val="222222"/>
              </w:rPr>
              <w:t>7.成交供应商必须针对本项目实际情况做好各项完备的安全保障措施，建立健全安全责任制度，全面保证项目人员及项目实施过程中第三方人员的安全。服务期间因成交供应商原因导致的所有事故均由成交供应商承担相应经济与法律责任，与采购人无关。</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1）服务期限：自合同签订之日起至</w:t>
            </w:r>
            <w:r>
              <w:rPr>
                <w:rFonts w:ascii="仿宋_GB2312" w:hAnsi="仿宋_GB2312" w:cs="仿宋_GB2312" w:eastAsia="仿宋_GB2312"/>
                <w:sz w:val="21"/>
              </w:rPr>
              <w:t>活动</w:t>
            </w:r>
            <w:r>
              <w:rPr>
                <w:rFonts w:ascii="仿宋_GB2312" w:hAnsi="仿宋_GB2312" w:cs="仿宋_GB2312" w:eastAsia="仿宋_GB2312"/>
                <w:sz w:val="21"/>
              </w:rPr>
              <w:t>结束。（具体以合同签订为准）。</w:t>
            </w:r>
            <w:r>
              <w:br/>
            </w:r>
            <w:r>
              <w:rPr>
                <w:rFonts w:ascii="仿宋_GB2312" w:hAnsi="仿宋_GB2312" w:cs="仿宋_GB2312" w:eastAsia="仿宋_GB2312"/>
                <w:sz w:val="21"/>
              </w:rPr>
              <w:t>（</w:t>
            </w:r>
            <w:r>
              <w:rPr>
                <w:rFonts w:ascii="仿宋_GB2312" w:hAnsi="仿宋_GB2312" w:cs="仿宋_GB2312" w:eastAsia="仿宋_GB2312"/>
                <w:sz w:val="21"/>
              </w:rPr>
              <w:t>2）项目地点：海南省</w:t>
            </w:r>
            <w:r>
              <w:rPr>
                <w:rFonts w:ascii="仿宋_GB2312" w:hAnsi="仿宋_GB2312" w:cs="仿宋_GB2312" w:eastAsia="仿宋_GB2312"/>
                <w:sz w:val="21"/>
              </w:rPr>
              <w:t>琼海</w:t>
            </w:r>
            <w:r>
              <w:rPr>
                <w:rFonts w:ascii="仿宋_GB2312" w:hAnsi="仿宋_GB2312" w:cs="仿宋_GB2312" w:eastAsia="仿宋_GB2312"/>
                <w:sz w:val="21"/>
              </w:rPr>
              <w:t>市</w:t>
            </w:r>
            <w:r>
              <w:br/>
            </w:r>
            <w:r>
              <w:rPr>
                <w:rFonts w:ascii="仿宋_GB2312" w:hAnsi="仿宋_GB2312" w:cs="仿宋_GB2312" w:eastAsia="仿宋_GB2312"/>
                <w:sz w:val="21"/>
              </w:rPr>
              <w:t>（</w:t>
            </w:r>
            <w:r>
              <w:rPr>
                <w:rFonts w:ascii="仿宋_GB2312" w:hAnsi="仿宋_GB2312" w:cs="仿宋_GB2312" w:eastAsia="仿宋_GB2312"/>
                <w:sz w:val="21"/>
              </w:rPr>
              <w:t>3）付款方式：本项目采用分期方式拨付款项，合同签订后，</w:t>
            </w:r>
            <w:r>
              <w:rPr>
                <w:rFonts w:ascii="仿宋_GB2312" w:hAnsi="仿宋_GB2312" w:cs="仿宋_GB2312" w:eastAsia="仿宋_GB2312"/>
                <w:sz w:val="21"/>
              </w:rPr>
              <w:t>采购人</w:t>
            </w:r>
            <w:r>
              <w:rPr>
                <w:rFonts w:ascii="仿宋_GB2312" w:hAnsi="仿宋_GB2312" w:cs="仿宋_GB2312" w:eastAsia="仿宋_GB2312"/>
                <w:sz w:val="21"/>
              </w:rPr>
              <w:t>凭</w:t>
            </w:r>
            <w:r>
              <w:rPr>
                <w:rFonts w:ascii="仿宋_GB2312" w:hAnsi="仿宋_GB2312" w:cs="仿宋_GB2312" w:eastAsia="仿宋_GB2312"/>
                <w:sz w:val="21"/>
              </w:rPr>
              <w:t>成交供应商</w:t>
            </w:r>
            <w:r>
              <w:rPr>
                <w:rFonts w:ascii="仿宋_GB2312" w:hAnsi="仿宋_GB2312" w:cs="仿宋_GB2312" w:eastAsia="仿宋_GB2312"/>
                <w:sz w:val="21"/>
              </w:rPr>
              <w:t>开具的正式有效发票向</w:t>
            </w:r>
            <w:r>
              <w:rPr>
                <w:rFonts w:ascii="仿宋_GB2312" w:hAnsi="仿宋_GB2312" w:cs="仿宋_GB2312" w:eastAsia="仿宋_GB2312"/>
                <w:sz w:val="21"/>
              </w:rPr>
              <w:t>成交供应商</w:t>
            </w:r>
            <w:r>
              <w:rPr>
                <w:rFonts w:ascii="仿宋_GB2312" w:hAnsi="仿宋_GB2312" w:cs="仿宋_GB2312" w:eastAsia="仿宋_GB2312"/>
                <w:sz w:val="21"/>
              </w:rPr>
              <w:t>支付合总金额的</w:t>
            </w:r>
            <w:r>
              <w:rPr>
                <w:rFonts w:ascii="仿宋_GB2312" w:hAnsi="仿宋_GB2312" w:cs="仿宋_GB2312" w:eastAsia="仿宋_GB2312"/>
                <w:sz w:val="21"/>
              </w:rPr>
              <w:t>7</w:t>
            </w:r>
            <w:r>
              <w:rPr>
                <w:rFonts w:ascii="仿宋_GB2312" w:hAnsi="仿宋_GB2312" w:cs="仿宋_GB2312" w:eastAsia="仿宋_GB2312"/>
                <w:sz w:val="21"/>
              </w:rPr>
              <w:t>0</w:t>
            </w:r>
            <w:r>
              <w:rPr>
                <w:rFonts w:ascii="仿宋_GB2312" w:hAnsi="仿宋_GB2312" w:cs="仿宋_GB2312" w:eastAsia="仿宋_GB2312"/>
                <w:sz w:val="21"/>
              </w:rPr>
              <w:t>%作为项目预付款。</w:t>
            </w:r>
            <w:r>
              <w:rPr>
                <w:rFonts w:ascii="仿宋_GB2312" w:hAnsi="仿宋_GB2312" w:cs="仿宋_GB2312" w:eastAsia="仿宋_GB2312"/>
                <w:sz w:val="21"/>
              </w:rPr>
              <w:t>成交供应商提供会务服务活动总结、有效发票、服务内容及数量的佐证材料</w:t>
            </w:r>
            <w:r>
              <w:rPr>
                <w:rFonts w:ascii="仿宋_GB2312" w:hAnsi="仿宋_GB2312" w:cs="仿宋_GB2312" w:eastAsia="仿宋_GB2312"/>
                <w:sz w:val="21"/>
              </w:rPr>
              <w:t>,采购人逐一核对服务条款内容及数量的佐证材料，予以验收，未按服务条款内容及数量执行的部分，予以核减，活动结束在采购人确认成交供应商如约履行各项义务、完成各项善后工作，经采购人验收合格且收到成交供应商出具的有效发票后支付合同款项剩余</w:t>
            </w: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因财政原因造成未能如期付款，不视为</w:t>
            </w:r>
            <w:r>
              <w:rPr>
                <w:rFonts w:ascii="仿宋_GB2312" w:hAnsi="仿宋_GB2312" w:cs="仿宋_GB2312" w:eastAsia="仿宋_GB2312"/>
                <w:sz w:val="21"/>
              </w:rPr>
              <w:t>采购人</w:t>
            </w:r>
            <w:r>
              <w:rPr>
                <w:rFonts w:ascii="仿宋_GB2312" w:hAnsi="仿宋_GB2312" w:cs="仿宋_GB2312" w:eastAsia="仿宋_GB2312"/>
                <w:sz w:val="21"/>
              </w:rPr>
              <w:t>违约（具体以合同签订为准）。</w:t>
            </w:r>
            <w:r>
              <w:br/>
            </w:r>
            <w:r>
              <w:rPr>
                <w:rFonts w:ascii="仿宋_GB2312" w:hAnsi="仿宋_GB2312" w:cs="仿宋_GB2312" w:eastAsia="仿宋_GB2312"/>
                <w:sz w:val="21"/>
              </w:rPr>
              <w:t>（</w:t>
            </w:r>
            <w:r>
              <w:rPr>
                <w:rFonts w:ascii="仿宋_GB2312" w:hAnsi="仿宋_GB2312" w:cs="仿宋_GB2312" w:eastAsia="仿宋_GB2312"/>
                <w:sz w:val="21"/>
              </w:rPr>
              <w:t>4）报价要求：以人民币填报</w:t>
            </w:r>
            <w:r>
              <w:rPr>
                <w:rFonts w:ascii="仿宋_GB2312" w:hAnsi="仿宋_GB2312" w:cs="仿宋_GB2312" w:eastAsia="仿宋_GB2312"/>
                <w:sz w:val="21"/>
              </w:rPr>
              <w:t>报价</w:t>
            </w:r>
            <w:r>
              <w:rPr>
                <w:rFonts w:ascii="仿宋_GB2312" w:hAnsi="仿宋_GB2312" w:cs="仿宋_GB2312" w:eastAsia="仿宋_GB2312"/>
                <w:sz w:val="21"/>
              </w:rPr>
              <w:t>，总报价高于采购预算的报价将被否绝；报价人自行考虑市场风险，所报价格应包含本</w:t>
            </w:r>
            <w:r>
              <w:rPr>
                <w:rFonts w:ascii="仿宋_GB2312" w:hAnsi="仿宋_GB2312" w:cs="仿宋_GB2312" w:eastAsia="仿宋_GB2312"/>
                <w:sz w:val="21"/>
              </w:rPr>
              <w:t>活动</w:t>
            </w:r>
            <w:r>
              <w:rPr>
                <w:rFonts w:ascii="仿宋_GB2312" w:hAnsi="仿宋_GB2312" w:cs="仿宋_GB2312" w:eastAsia="仿宋_GB2312"/>
                <w:sz w:val="21"/>
              </w:rPr>
              <w:t>所产生的一切费用。</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符合法律法规声明函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参加政府采购活动前三年内（成立不足三年的以实际年限计算）无环保类行政处罚记录</w:t>
            </w:r>
          </w:p>
        </w:tc>
        <w:tc>
          <w:tcPr>
            <w:tcW w:type="dxa" w:w="3322"/>
          </w:tcPr>
          <w:p>
            <w:pPr>
              <w:pStyle w:val="null3"/>
              <w:jc w:val="left"/>
            </w:pPr>
            <w:r>
              <w:rPr>
                <w:rFonts w:ascii="仿宋_GB2312" w:hAnsi="仿宋_GB2312" w:cs="仿宋_GB2312" w:eastAsia="仿宋_GB2312"/>
              </w:rPr>
              <w:t>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具有独立承担民事责任的能力证明文件 供应商承诺函 投标（响应）报价明细表 其他材料 供应商应提交的相关证明材料 无重大违法记录声明函 无不良信用记录承诺函 符合法律法规声明函 法定代表人资格证明书或法定代表人授权委托书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总体实施方案</w:t>
            </w:r>
          </w:p>
        </w:tc>
        <w:tc>
          <w:tcPr>
            <w:tcW w:type="dxa" w:w="2492"/>
          </w:tcPr>
          <w:p>
            <w:pPr>
              <w:pStyle w:val="null3"/>
              <w:jc w:val="left"/>
            </w:pPr>
            <w:r>
              <w:rPr>
                <w:rFonts w:ascii="仿宋_GB2312" w:hAnsi="仿宋_GB2312" w:cs="仿宋_GB2312" w:eastAsia="仿宋_GB2312"/>
              </w:rPr>
              <w:t>综合评价各供应商对项目提出的总体实施方案，内容包括不限于①活动总策划方案；②时间节点规划及进度保障方案；③活动布场方案等；④举办组织活动的重难点分析等。 评审标准：每提供一项内容得6分，最高得24分；每有一处内容存在缺陷或不足的扣1分，扣完为止。 注: 存在缺陷或不足是指以下任意一种情形:工作内容不切合行业实际；或方案内容生搬硬造，与实际情况不符，存在偏差；或方案内容过于简略；或存在与项目无关的文字内容；或内容完全为通用普适性内容；或内容逻辑漏洞或原理错误。</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服务保障方案</w:t>
            </w:r>
          </w:p>
        </w:tc>
        <w:tc>
          <w:tcPr>
            <w:tcW w:type="dxa" w:w="2492"/>
          </w:tcPr>
          <w:p>
            <w:pPr>
              <w:pStyle w:val="null3"/>
              <w:jc w:val="left"/>
            </w:pPr>
            <w:r>
              <w:rPr>
                <w:rFonts w:ascii="仿宋_GB2312" w:hAnsi="仿宋_GB2312" w:cs="仿宋_GB2312" w:eastAsia="仿宋_GB2312"/>
              </w:rPr>
              <w:t>根据供应商提供的服务保障方案进行综合评审，包含但不限于：①食宿服务保障；②交通保障（前期联系酒店、车辆、媒体情况等）；③物资保障（物料配置、硬件设备等）等。 评审标准：每提供一项内容得6分，最高得18分；每有一处内容存在缺陷或不足的扣1分，扣完为止。 注: 存在缺陷或不足是指以下任意一种情形:工作内容不切合行业实际；或方案内容生搬硬造，与实际情况不符，存在偏差；或方案内容过于简略；或存在与项目无关的文字内容；或内容完全为通用普适性内容；或内容逻辑漏洞或原理错误。</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安全保证措施方案</w:t>
            </w:r>
          </w:p>
        </w:tc>
        <w:tc>
          <w:tcPr>
            <w:tcW w:type="dxa" w:w="2492"/>
          </w:tcPr>
          <w:p>
            <w:pPr>
              <w:pStyle w:val="null3"/>
              <w:jc w:val="left"/>
            </w:pPr>
            <w:r>
              <w:rPr>
                <w:rFonts w:ascii="仿宋_GB2312" w:hAnsi="仿宋_GB2312" w:cs="仿宋_GB2312" w:eastAsia="仿宋_GB2312"/>
              </w:rPr>
              <w:t>根据供应商提供的安全保证措施方案进行综合评审，包含但不限于：①安全情况分析； ②安全组织措施；③安全隐患及安全重难点分析及应对或保障措施。 评审标准：每提供一项内容得6分，最高得18分；每有一处内容存在缺陷或不足的扣1分，扣完为止。 注: 存在缺陷或不足是指以下任意一种情形:工作内容不切合行业实际；或方案内容生搬硬造，与实际情况不符，存在偏差；或方案内容过于简略；或存在与项目无关的文字内容；或内容完全为通用普适性内容；或内容逻辑漏洞或原理错误。</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宣传推广方案</w:t>
            </w:r>
          </w:p>
        </w:tc>
        <w:tc>
          <w:tcPr>
            <w:tcW w:type="dxa" w:w="2492"/>
          </w:tcPr>
          <w:p>
            <w:pPr>
              <w:pStyle w:val="null3"/>
              <w:jc w:val="left"/>
            </w:pPr>
            <w:r>
              <w:rPr>
                <w:rFonts w:ascii="仿宋_GB2312" w:hAnsi="仿宋_GB2312" w:cs="仿宋_GB2312" w:eastAsia="仿宋_GB2312"/>
              </w:rPr>
              <w:t>根据供应商提供的宣传推广方案进行综合评审，包含但不限于：①宣传推广的形式；②宣传推广的内容；③宣传推广的范围；④宣传推广的媒介平台；⑤推广计划等。 评审标准：每提供一项内容得2分，最高得10分；每有一处内容存在缺陷或不足的扣1分，扣完为止。 注: 存在缺陷或不足是指以下任意一种情形:工作内容不切合行业实际；或方案内容生搬硬造，与实际情况不符，存在偏差；或方案内容过于简略；或存在与项目无关的文字内容；或内容完全为通用普适性内容；或内容逻辑漏洞或原理错误。</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2022年1月1日至今承接过类似项目业绩（类似项目指会议服务），每提供一个业绩得5分，本项最高得10分。 证明材料：提供合同关键页复印件（包括但不限于合同名称页、合同主要内容页、合同签订日期页、合同双方签字盖章页），并加盖供应商公章，否则不得分。时间以合同签订时间为准。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项目团队</w:t>
            </w:r>
          </w:p>
        </w:tc>
        <w:tc>
          <w:tcPr>
            <w:tcW w:type="dxa" w:w="2492"/>
          </w:tcPr>
          <w:p>
            <w:pPr>
              <w:pStyle w:val="null3"/>
              <w:jc w:val="left"/>
            </w:pPr>
            <w:r>
              <w:rPr>
                <w:rFonts w:ascii="仿宋_GB2312" w:hAnsi="仿宋_GB2312" w:cs="仿宋_GB2312" w:eastAsia="仿宋_GB2312"/>
              </w:rPr>
              <w:t>针对项目执行团队人员配置情况进行评分： 团队架构完善、本项目中需有统筹组、协调组、宣传组、安全保障组、后勤组等具体团队人员安排，为确保项目顺利安全进行。 评审标准： 以上各组均配备2人及以上得10分，不提供不得分。 证明材料：提供人员身份证复印件及人员任职证明（如：人员配置清单、或任职证书等）加盖单位公章。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详见附件：2025年中国航海日主场活动会务服务项目合同.docx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[0747-]20250600001[CS]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2025年中国航海日主场活动会务服务项目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2025年中国航海日主场活动会务服务项目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C22010100-大型会议服务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3900000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详见附件：符合法律法规声明函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