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中央集中彩票公益金支持琼海市精神障碍社区康复服务项目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HNZX-2025-201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海南证信招标代理有限公司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琼海市民政局</w:t>
      </w:r>
      <w:r>
        <w:rPr>
          <w:rFonts w:ascii="仿宋_GB2312" w:hAnsi="仿宋_GB2312" w:cs="仿宋_GB2312" w:eastAsia="仿宋_GB2312"/>
        </w:rPr>
        <w:t xml:space="preserve"> 的委托， </w:t>
      </w:r>
      <w:r>
        <w:rPr>
          <w:rFonts w:ascii="仿宋_GB2312" w:hAnsi="仿宋_GB2312" w:cs="仿宋_GB2312" w:eastAsia="仿宋_GB2312"/>
        </w:rPr>
        <w:t>海南证信招标代理有限公司</w:t>
      </w:r>
      <w:r>
        <w:rPr>
          <w:rFonts w:ascii="仿宋_GB2312" w:hAnsi="仿宋_GB2312" w:cs="仿宋_GB2312" w:eastAsia="仿宋_GB2312"/>
        </w:rPr>
        <w:t xml:space="preserve"> 对 </w:t>
      </w:r>
      <w:r>
        <w:rPr>
          <w:rFonts w:ascii="仿宋_GB2312" w:hAnsi="仿宋_GB2312" w:cs="仿宋_GB2312" w:eastAsia="仿宋_GB2312"/>
        </w:rPr>
        <w:t>中央集中彩票公益金支持琼海市精神障碍社区康复服务项目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HNZX-2025-201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中央集中彩票公益金支持琼海市精神障碍社区康复服务项目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2,700,000.00元</w:t>
      </w:r>
      <w:r>
        <w:rPr>
          <w:rFonts w:ascii="仿宋_GB2312" w:hAnsi="仿宋_GB2312" w:cs="仿宋_GB2312" w:eastAsia="仿宋_GB2312"/>
        </w:rPr>
        <w:t>贰佰柒拾万元整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2,700,000.00元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自2025年4月1日起至2026年3月31日，每周5个工作日提供服务（节假日、恶劣天气和其他特殊情况除外）。</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1.请投标人（供应商）详阅本文件中《政府采购电子采购活动须知》，并自行在海南省政府采购智慧云平台-下载专区查看相应的系统操作指南，严格按照操作指南要求进行系统操作。 2.本项目为远程不见面开标，投标人无须到达开标现场，远程按时参加在线开标解密即可。3.本项目落实政府采购政策《政府采购促进中小企业发展管理办法》、《关于促进残疾人就业政府采购政策的通知》、《关于政府采购支持监狱企业发展有关问题的通知书》、《财政部 发展改革委 生态环境部 市场监管总局 关于调整优化节能产品、环境标志产品政府采购执行机制的通知》。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琼海市金海路社管大楼5楼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62922712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海南证信招标代理有限公司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海南省琼海市嘉积镇兴海北路商联置业A122室2楼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62616699</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代理服务费收费标准：参照《关于降低部分招标代理服务收费标准的通知》(琼价费管【2011】225号)的规定及双方友好协商，本项目招标代理费8.5折优惠后计价为人民币24310.00元（大写：贰万肆仟叁佰壹拾元整）。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1.提供与参与本项目的供应商之间，单位负责人不为同一人，也不存在直接控股、管理关系的承诺书（格式自拟）。 2. 本项目为非专门面向中小企业，原因是法律法规和国家有关政策明确规定优先或者应当面向事业单位、社会组织等非企业主体采购的，因此不专门面向中小企业，同时给予小微企业的价格扣除优惠为10%。3.项目所属行业：其他未列明行业。4.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联系电话：62616699</w:t>
      </w:r>
    </w:p>
    <w:p>
      <w:pPr>
        <w:pStyle w:val="null3"/>
        <w:jc w:val="left"/>
      </w:pPr>
      <w:r>
        <w:rPr>
          <w:rFonts w:ascii="仿宋_GB2312" w:hAnsi="仿宋_GB2312" w:cs="仿宋_GB2312" w:eastAsia="仿宋_GB2312"/>
        </w:rPr>
        <w:t>地址：海南省琼海市嘉积镇兴海北路商联置业A122室2楼</w:t>
      </w:r>
    </w:p>
    <w:p>
      <w:pPr>
        <w:pStyle w:val="null3"/>
        <w:jc w:val="left"/>
      </w:pPr>
      <w:r>
        <w:rPr>
          <w:rFonts w:ascii="仿宋_GB2312" w:hAnsi="仿宋_GB2312" w:cs="仿宋_GB2312" w:eastAsia="仿宋_GB2312"/>
        </w:rPr>
        <w:t>邮编：571400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w:t>
      </w:r>
      <w:r>
        <w:rPr>
          <w:rFonts w:ascii="仿宋_GB2312" w:hAnsi="仿宋_GB2312" w:cs="仿宋_GB2312" w:eastAsia="仿宋_GB2312"/>
          <w:sz w:val="24"/>
        </w:rPr>
        <w:t>全市</w:t>
      </w:r>
      <w:r>
        <w:rPr>
          <w:rFonts w:ascii="仿宋_GB2312" w:hAnsi="仿宋_GB2312" w:cs="仿宋_GB2312" w:eastAsia="仿宋_GB2312"/>
          <w:sz w:val="24"/>
        </w:rPr>
        <w:t>1000名符合康复条件</w:t>
      </w:r>
      <w:r>
        <w:rPr>
          <w:rFonts w:ascii="仿宋_GB2312" w:hAnsi="仿宋_GB2312" w:cs="仿宋_GB2312" w:eastAsia="仿宋_GB2312"/>
          <w:sz w:val="24"/>
        </w:rPr>
        <w:t>精神障碍患者开展社区</w:t>
      </w:r>
      <w:r>
        <w:rPr>
          <w:rFonts w:ascii="仿宋_GB2312" w:hAnsi="仿宋_GB2312" w:cs="仿宋_GB2312" w:eastAsia="仿宋_GB2312"/>
          <w:sz w:val="24"/>
        </w:rPr>
        <w:t>集中</w:t>
      </w:r>
      <w:r>
        <w:rPr>
          <w:rFonts w:ascii="仿宋_GB2312" w:hAnsi="仿宋_GB2312" w:cs="仿宋_GB2312" w:eastAsia="仿宋_GB2312"/>
          <w:sz w:val="24"/>
        </w:rPr>
        <w:t>康复服务</w:t>
      </w:r>
      <w:r>
        <w:rPr>
          <w:rFonts w:ascii="仿宋_GB2312" w:hAnsi="仿宋_GB2312" w:cs="仿宋_GB2312" w:eastAsia="仿宋_GB2312"/>
          <w:sz w:val="24"/>
        </w:rPr>
        <w:t>和居家上门康复服务</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2,700,000.00</w:t>
      </w:r>
    </w:p>
    <w:p>
      <w:pPr>
        <w:pStyle w:val="null3"/>
        <w:jc w:val="left"/>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C05990000-其他社会服务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中央集中福利彩票公益金支持琼海市精神障碍社区康复服务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标的名称：C05990000-其他社会服务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一、基本要求 （一）服务期限：自2025年4月1日起至2026年3月31日，每周5个工作日提供服务（节假日、恶劣天气和其他特殊情况除外）。 （二）服务范围：为全市1000名符合康复条件精神障碍患者开展社区集中康复服务和居家上门康复服务。 （三）服务场地及设施：主场地由中标服务方提供，镇区场地由琼海市民政局指定原琼海市彬村山服务点、琼海市中原镇服务点为康复场地；康复设备、设施主场地由中标服务方提供，镇区场地设备由琼海市民政局提供，并按照国有资产要求进行登记后交付康复服务机构使用。 （四）服务内容：1．服药训练；2．预防复发训练；3．躯体管理训练；4．生活技能训练；5．社交技能训练；6．职业康复训练；7．心理治疗和康复；8．同伴支持；9．家庭支持；10．辅助性支持服务和转介服务；11．开展业务培训。 （五）服务方式：康复点集中康复训练及上门康复服务指导相结合。 （六）服务对象：依据卫健部门提供符合康复条件的琼海市在管精神障碍患者名单，经专业评估和自愿申请或转介机制接收服务确定服务对象。 （七）服务队伍：根据服务需求配置精神康复、心理康复、社会工作等专业或接受相关专业培训，或有从事社区康复服务经历的工作人员，实施该康复服务活动。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二、服务指标 （一）为全市1000名居家稳定且年龄15-70岁的精神障碍患者提供社区集中点康复服务和居家上门康复服务。 （二）服务量化标准：1000人×2次/月×12月=24000人次（完成总服务量任务后，继续开展康复服务至次年项目启动前，服务人次不做量化要求）。 （三）业务培训：采取线上与线下相结合的方式对服务机构专业人员和从业人员进行培训，年培训时长不少于20学时。 （四）督导评估：委托第三方机构开展服务综合评估、定期转介评估、服务督导和服务周期效果评估。</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三、实施步骤 （一）第一阶段（2025年4月-5月）开展建档评估工作。 进行康复点活动场地的布置与环境安全设置。同期在各康复点动员并开展1000名参加康复服务精神障碍患者建档工作，签订个人服务协议，收集资料建立档案，评估社会功能，制订康复训练计划。 （二）第二阶段（2025年5月-2026年2月）落实社区康复训练服务。 完成1000名服务对象的社区集中康复点和居家上门康复服务。内容主要包括《规范》规定九大服务内容、辅助性支持服务、业务培训等服务。训练过程中突出适应现代生活为主，结合居家生活融入，采取正性强化、优势视角原则，激发精神障碍患者康复训练动机。同时完善建档资料的收集、台账记录与保存。 （三）第三阶段（2026年3月底前）按照省实施方案规定动作提前考核验收。 琼海市民政局为服务购买方和管理方，委托第三方服务机构对实施康复业务进行督导和质量考核。按照民政部《海南省琼海市2024年中央集中彩票公益金支持社会福利事业资金试点项目实施方案》和签订的服务协议，进行督导和年度考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经费保障</w:t>
            </w:r>
          </w:p>
          <w:p>
            <w:pPr>
              <w:pStyle w:val="null3"/>
              <w:ind w:firstLine="480"/>
              <w:jc w:val="both"/>
            </w:pPr>
            <w:r>
              <w:rPr>
                <w:rFonts w:ascii="仿宋_GB2312" w:hAnsi="仿宋_GB2312" w:cs="仿宋_GB2312" w:eastAsia="仿宋_GB2312"/>
                <w:sz w:val="24"/>
              </w:rPr>
              <w:t>（一）购买服务经费：</w:t>
            </w:r>
          </w:p>
          <w:p>
            <w:pPr>
              <w:pStyle w:val="null3"/>
              <w:ind w:firstLine="480"/>
              <w:jc w:val="both"/>
            </w:pPr>
            <w:r>
              <w:rPr>
                <w:rFonts w:ascii="仿宋_GB2312" w:hAnsi="仿宋_GB2312" w:cs="仿宋_GB2312" w:eastAsia="仿宋_GB2312"/>
                <w:sz w:val="24"/>
              </w:rPr>
              <w:t>琼海市民政局提供</w:t>
            </w:r>
            <w:r>
              <w:rPr>
                <w:rFonts w:ascii="仿宋_GB2312" w:hAnsi="仿宋_GB2312" w:cs="仿宋_GB2312" w:eastAsia="仿宋_GB2312"/>
                <w:sz w:val="24"/>
              </w:rPr>
              <w:t>270万</w:t>
            </w:r>
            <w:r>
              <w:rPr>
                <w:rFonts w:ascii="仿宋_GB2312" w:hAnsi="仿宋_GB2312" w:cs="仿宋_GB2312" w:eastAsia="仿宋_GB2312"/>
                <w:sz w:val="24"/>
              </w:rPr>
              <w:t>元</w:t>
            </w:r>
            <w:r>
              <w:rPr>
                <w:rFonts w:ascii="仿宋_GB2312" w:hAnsi="仿宋_GB2312" w:cs="仿宋_GB2312" w:eastAsia="仿宋_GB2312"/>
                <w:sz w:val="24"/>
              </w:rPr>
              <w:t>，最终服务费用以实际开展服务人次结算。</w:t>
            </w:r>
          </w:p>
          <w:p>
            <w:pPr>
              <w:pStyle w:val="null3"/>
              <w:ind w:firstLine="480"/>
              <w:jc w:val="both"/>
            </w:pPr>
            <w:r>
              <w:rPr>
                <w:rFonts w:ascii="仿宋_GB2312" w:hAnsi="仿宋_GB2312" w:cs="仿宋_GB2312" w:eastAsia="仿宋_GB2312"/>
                <w:sz w:val="24"/>
              </w:rPr>
              <w:t>（二）购买服务经费支出用途：</w:t>
            </w:r>
          </w:p>
          <w:p>
            <w:pPr>
              <w:pStyle w:val="null3"/>
              <w:ind w:firstLine="480"/>
              <w:jc w:val="both"/>
            </w:pPr>
            <w:r>
              <w:rPr>
                <w:rFonts w:ascii="仿宋_GB2312" w:hAnsi="仿宋_GB2312" w:cs="仿宋_GB2312" w:eastAsia="仿宋_GB2312"/>
                <w:sz w:val="24"/>
              </w:rPr>
              <w:t>1.服务工作人员工资、社保费用及日常管理等保障费用；</w:t>
            </w:r>
          </w:p>
          <w:p>
            <w:pPr>
              <w:pStyle w:val="null3"/>
              <w:ind w:firstLine="480"/>
              <w:jc w:val="both"/>
            </w:pPr>
            <w:r>
              <w:rPr>
                <w:rFonts w:ascii="仿宋_GB2312" w:hAnsi="仿宋_GB2312" w:cs="仿宋_GB2312" w:eastAsia="仿宋_GB2312"/>
                <w:sz w:val="24"/>
              </w:rPr>
              <w:t>2.专业开支（康复功能评定、活动训练指导、专业人员培训等费用）；</w:t>
            </w:r>
          </w:p>
          <w:p>
            <w:pPr>
              <w:pStyle w:val="null3"/>
              <w:ind w:firstLine="480"/>
              <w:jc w:val="both"/>
            </w:pPr>
            <w:r>
              <w:rPr>
                <w:rFonts w:ascii="仿宋_GB2312" w:hAnsi="仿宋_GB2312" w:cs="仿宋_GB2312" w:eastAsia="仿宋_GB2312"/>
                <w:sz w:val="24"/>
              </w:rPr>
              <w:t>3.开展专业服务和活动费用（包括训练用具、宣传和活动产生的物料、交通、慰问及激励机制等费用）；</w:t>
            </w:r>
          </w:p>
          <w:p>
            <w:pPr>
              <w:pStyle w:val="null3"/>
              <w:ind w:firstLine="480"/>
              <w:jc w:val="both"/>
            </w:pPr>
            <w:r>
              <w:rPr>
                <w:rFonts w:ascii="仿宋_GB2312" w:hAnsi="仿宋_GB2312" w:cs="仿宋_GB2312" w:eastAsia="仿宋_GB2312"/>
                <w:sz w:val="24"/>
              </w:rPr>
              <w:t>4.日常办公费用（包括办公耗材、通讯、保洁、保安、水电、场地维护等）；</w:t>
            </w:r>
          </w:p>
          <w:p>
            <w:pPr>
              <w:pStyle w:val="null3"/>
              <w:ind w:firstLine="480"/>
              <w:jc w:val="both"/>
            </w:pPr>
            <w:r>
              <w:rPr>
                <w:rFonts w:ascii="仿宋_GB2312" w:hAnsi="仿宋_GB2312" w:cs="仿宋_GB2312" w:eastAsia="仿宋_GB2312"/>
                <w:sz w:val="24"/>
              </w:rPr>
              <w:t>5.其他杂费（包括交通、税金、年度审核有关支出等）。</w:t>
            </w:r>
          </w:p>
          <w:p>
            <w:pPr>
              <w:pStyle w:val="null3"/>
              <w:ind w:firstLine="480"/>
              <w:jc w:val="both"/>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供应商承诺函 其他材料 供应商应提交的相关证明材料 无重大违法记录声明函 法定代表人资格证明书或法定代表人授权委托书 响应函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供应商承诺函 其他材料 残疾人福利性单位声明函 供应商应提交的相关证明材料 无重大违法记录声明函 法定代表人资格证明书或法定代表人授权委托书 响应函 监狱企业的证明文件 技术参数响应表 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技术部分54.00分</w:t>
            </w:r>
          </w:p>
          <w:p>
            <w:pPr>
              <w:pStyle w:val="null3"/>
              <w:jc w:val="left"/>
            </w:pPr>
            <w:r>
              <w:rPr>
                <w:rFonts w:ascii="仿宋_GB2312" w:hAnsi="仿宋_GB2312" w:cs="仿宋_GB2312" w:eastAsia="仿宋_GB2312"/>
              </w:rPr>
              <w:t>商务部分36.00分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项目实施方案比较赋分，内容包含但不限于：①服药训练的设想和策划、②预防复发训练的设想和策划、③躯体管理训练的设想和策划、④生活技能与社交技能训练的设想和策划、⑤职业康复训练的设想和策划、⑥心理治疗和康复的设想和策划、⑦同伴支持与家庭支持的设想和策划、⑧辅助性支持服务和转介服务等、⑨开展业务培训的设想和策划： 1.方案内容每有一项遗漏或缺失或仅有标题大纲无正文内容的扣3分，扣完为止；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人员配置方案</w:t>
            </w:r>
          </w:p>
        </w:tc>
        <w:tc>
          <w:tcPr>
            <w:tcW w:type="dxa" w:w="2492"/>
          </w:tcPr>
          <w:p>
            <w:pPr>
              <w:pStyle w:val="null3"/>
              <w:jc w:val="left"/>
            </w:pPr>
            <w:r>
              <w:rPr>
                <w:rFonts w:ascii="仿宋_GB2312" w:hAnsi="仿宋_GB2312" w:cs="仿宋_GB2312" w:eastAsia="仿宋_GB2312"/>
              </w:rPr>
              <w:t>根据供应商提供的人员配置方案比较赋分，内容包含但不限于：①人员清单、②岗位职责、③工作流程与标准等： 1.方案内容每有一项遗漏或缺失或仅有标题大纲无正文内容的扣3分，扣完为止；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项目质量保障方案</w:t>
            </w:r>
          </w:p>
        </w:tc>
        <w:tc>
          <w:tcPr>
            <w:tcW w:type="dxa" w:w="2492"/>
          </w:tcPr>
          <w:p>
            <w:pPr>
              <w:pStyle w:val="null3"/>
              <w:jc w:val="left"/>
            </w:pPr>
            <w:r>
              <w:rPr>
                <w:rFonts w:ascii="仿宋_GB2312" w:hAnsi="仿宋_GB2312" w:cs="仿宋_GB2312" w:eastAsia="仿宋_GB2312"/>
              </w:rPr>
              <w:t>根据供应商提供的项目质量保障方案比较赋分，内容包含但不限于：①团队管理制度、②监督检查制度、③项目进度计划等： 1.方案内容每有一项遗漏或缺失或仅有标题大纲无正文内容的扣3分，扣完为止；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根据供应商提供的应急方案比较赋分，内容包含但不限于：①应急处理小组设置、②突发人员状况的应急预案、③突发事件状况的应急预案等： 1.方案内容每有一项遗漏或缺失或仅有标题大纲无正文内容的扣3分，扣完为止；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供应商自2022年1月1日起至今具有类似项目经验，每提供 1 份证明材料得3分，满分12分。 证明材料：提供合同或协议关键页复印件加盖公章。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供应商拟投入本项目的服务团队人员： （1）拟投入本项目的服务团队人员中每具备1名高级社会工作师证书或者高级专业技术职称证书（精神病科）的得4分，具备1名社会工作师证书的得2分，本项最高 16分。 （2）拟投入本项目的项目团队中每具备 1 名心理咨询师或心理治疗师或康复师的得 2 分，本项最高得8分。 注：1.同一人员具备上述多项证书的不可重复加分。 2.需提供相关人员有效的资质证书、劳动合同或聘用协议复印件，复印件加盖单位公章。 3.供应商需对响应文件中提供的服务团队人员和资质证书的真实性负责，若存在弄虚作假，将承担相应的法律责任，并取消成交资格。</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其他材料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中央集中彩票公益金支持琼海市精神障碍社区康复服务项目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中央集中福利彩票公益金支持琼海市精神障碍社区康复服务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