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博鳌乐城先行区交通信号灯维修维护改造项目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海南中言项目管理有限公司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琼海市公安局</w:t>
      </w:r>
      <w:r>
        <w:rPr>
          <w:rFonts w:ascii="仿宋_GB2312" w:hAnsi="仿宋_GB2312" w:cs="仿宋_GB2312" w:eastAsia="仿宋_GB2312"/>
        </w:rPr>
        <w:t xml:space="preserve"> 委托， </w:t>
      </w:r>
      <w:r>
        <w:rPr>
          <w:rFonts w:ascii="仿宋_GB2312" w:hAnsi="仿宋_GB2312" w:cs="仿宋_GB2312" w:eastAsia="仿宋_GB2312"/>
        </w:rPr>
        <w:t>海南中言项目管理有限公司</w:t>
      </w:r>
      <w:r>
        <w:rPr>
          <w:rFonts w:ascii="仿宋_GB2312" w:hAnsi="仿宋_GB2312" w:cs="仿宋_GB2312" w:eastAsia="仿宋_GB2312"/>
        </w:rPr>
        <w:t xml:space="preserve"> 对 </w:t>
      </w:r>
      <w:r>
        <w:rPr>
          <w:rFonts w:ascii="仿宋_GB2312" w:hAnsi="仿宋_GB2312" w:cs="仿宋_GB2312" w:eastAsia="仿宋_GB2312"/>
        </w:rPr>
        <w:t>博鳌乐城先行区交通信号灯维修维护改造项目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博鳌乐城先行区交通信号灯维修维护改造项目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2,751,660.00元</w:t>
      </w:r>
      <w:r>
        <w:rPr>
          <w:rFonts w:ascii="仿宋_GB2312" w:hAnsi="仿宋_GB2312" w:cs="仿宋_GB2312" w:eastAsia="仿宋_GB2312"/>
        </w:rPr>
        <w:t>贰佰柒拾伍万壹仟陆佰陆拾元整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2,751,660.00元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签订合同后15天内完成供货及安装调试，并通过验收（具体细节以合同约定为准）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1.本项目为远程不见面开标，供应商无须到达开标现场，远程按时参加在线开标解密即可。 2.有关本项目采购文件的补遗、澄清及变更信息以上述网站公告与下载为准，采购代理机构不再另行通知，采购文件与更正公告的内容相互矛盾时，以最后发出的更正公告内容为准。 3.投标人须在海南政府采购网(www.ccgp-hainan.gov.cn)-海南省政府采购电子化交易管理系统进行注册并完善信息，然后下载参与投标项目电子招标文件（数据包）及其他文件。 4.本项目全流程电子化操作项目线上开标,，投标人/供应商使用该工具打开系统下载招投标文件包【为wtbwj格式】，必须使用投标工具制作电子版的投标文件，并使用数字证书进行签字和加密，投标截至时间前，必须登录系统上传加密的电子投标文件（后缀名. wenc）,开标前必须进入电子开标大厅在线签到（未签到视为无效投标）。如需云平台相关咨询，请拨打以下热线电话： 热线一：0898-66220881 热线二：0898-66220882。 5.采购项目需落实的政府采购政策：政府采购促进中小企业发展政策、政府采购支持监狱企业发展政策、促进残疾人就业政府采购政策、政府采购优先采购节能产品政策、政府采购优先采购环境标志产品政策、扶持不发达地区和少数民族地区等相关政策。 6.本项目发布媒体为：中国政府采购网、海南政府采购网。</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琼海市公安局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海南省琼海市银海路110号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0898-62896526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海南中言项目管理有限公司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海南省海口市国家高新技术产业开发区科技大道22号海口国科中心A栋505室-2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刘连柱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0898-66265767</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采购包1：2,751,660.00元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说明：如成交人的投标报价过低（低于预算金额的80%），则采购人有权要求中标人提交合同金额的5%作为履约保证金，同时预付款比例调整为0%。） 注：如成交人的投标报价不低于预算金额的80%，则无需提供履约担保。</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代理服务费收费标准：参照以琼价费管[2011]225号标准计取，向中标人收取招标代理服务费￥25000.00元(大写贰万伍仟元整)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 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 2.投标人的书面说明材料应当按照国家财务会计制度的规定要求，逐项就投标人提供的货物、工程和服务的主营业务成本、税金及附加、销售费用、管理费用、财务费用等成本构成事项详细陈述。 3.投标人书面说明应当签字确认或者加盖公章，否则无效。书面说明的签字确认，由其法定代表人或者其授权代表签字确认。 4.投标人提供书面说明后，评标委员会应当结合采购项目采购需求、专业实际情况、投标人财务状况报告、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 16.2中标后须由中标单位在中标后三日内提供纸质投标文件正本1份、副本3份，送至招标代理机构指定地点，提供的纸质版投标文件须采用书本式胶装，不得采用活页装订,且与参加投标的电子版文件内容一致。）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联系人：查工</w:t>
      </w:r>
    </w:p>
    <w:p>
      <w:pPr>
        <w:pStyle w:val="null3"/>
        <w:jc w:val="left"/>
      </w:pPr>
      <w:r>
        <w:rPr>
          <w:rFonts w:ascii="仿宋_GB2312" w:hAnsi="仿宋_GB2312" w:cs="仿宋_GB2312" w:eastAsia="仿宋_GB2312"/>
        </w:rPr>
        <w:t>联系电话：0898-66265767</w:t>
      </w:r>
    </w:p>
    <w:p>
      <w:pPr>
        <w:pStyle w:val="null3"/>
        <w:jc w:val="left"/>
      </w:pPr>
      <w:r>
        <w:rPr>
          <w:rFonts w:ascii="仿宋_GB2312" w:hAnsi="仿宋_GB2312" w:cs="仿宋_GB2312" w:eastAsia="仿宋_GB2312"/>
        </w:rPr>
        <w:t>地址：海南省海口市国家高新技术产业开发区科技大道22号海口国科中心A栋505室-2</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设备维修维护内容:对博乐城先行区15个路口交通信号灯的设备进行维修维护，具体内容:交通信号控制机15台、一体化人行灯118套、红绿灯检测器10台、终端服务器10台等。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2,751,660.00</w:t>
      </w:r>
    </w:p>
    <w:p>
      <w:pPr>
        <w:pStyle w:val="null3"/>
        <w:jc w:val="left"/>
      </w:pPr>
      <w:r>
        <w:rPr>
          <w:rFonts w:ascii="仿宋_GB2312" w:hAnsi="仿宋_GB2312" w:cs="仿宋_GB2312" w:eastAsia="仿宋_GB2312"/>
        </w:rPr>
        <w:t>采购包最高限价（元）: 2,751,660.00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A02370200-交通管理设备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2,751,660.00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A02370200-交通管理设备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2,751,660.00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标的名称：A02370200-交通管理设备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1.拆除旧设备，更换新设备。</w:t>
            </w:r>
          </w:p>
          <w:p>
            <w:pPr>
              <w:pStyle w:val="null3"/>
              <w:jc w:val="left"/>
            </w:pPr>
            <w:r>
              <w:rPr>
                <w:rFonts w:ascii="仿宋_GB2312" w:hAnsi="仿宋_GB2312" w:cs="仿宋_GB2312" w:eastAsia="仿宋_GB2312"/>
              </w:rPr>
              <w:t>▲2.符合《道路交通信号控制机GB25280-2016》、《道路交通信号控制机安装规范》（GA/T489—2016）标准（提供承诺函，格式自拟）。</w:t>
            </w:r>
          </w:p>
          <w:p>
            <w:pPr>
              <w:pStyle w:val="null3"/>
              <w:jc w:val="left"/>
            </w:pPr>
            <w:r>
              <w:rPr>
                <w:rFonts w:ascii="仿宋_GB2312" w:hAnsi="仿宋_GB2312" w:cs="仿宋_GB2312" w:eastAsia="仿宋_GB2312"/>
              </w:rPr>
              <w:t>▲3.支持《道路交通信号控制机与上位机间的数据通信协议GB/T20999-2017》等通信协议，可与多种协议的中心控制系统互联（提供承诺函，格式自拟）。</w:t>
            </w:r>
          </w:p>
          <w:p>
            <w:pPr>
              <w:pStyle w:val="null3"/>
              <w:jc w:val="left"/>
            </w:pPr>
            <w:r>
              <w:rPr>
                <w:rFonts w:ascii="仿宋_GB2312" w:hAnsi="仿宋_GB2312" w:cs="仿宋_GB2312" w:eastAsia="仿宋_GB2312"/>
              </w:rPr>
              <w:t>4.内置多核CPU结构，支持通过软件定义进行控制功能组合，支持交通控制、交通感知、交通视频应用、交通云数据处理等多种应用集成。</w:t>
            </w:r>
          </w:p>
          <w:p>
            <w:pPr>
              <w:pStyle w:val="null3"/>
              <w:jc w:val="left"/>
            </w:pPr>
            <w:r>
              <w:rPr>
                <w:rFonts w:ascii="仿宋_GB2312" w:hAnsi="仿宋_GB2312" w:cs="仿宋_GB2312" w:eastAsia="仿宋_GB2312"/>
              </w:rPr>
              <w:t>5.具有逻辑输入/输出及通信接口，支持数字网络和RS232数据传输功能。</w:t>
            </w:r>
          </w:p>
          <w:p>
            <w:pPr>
              <w:pStyle w:val="null3"/>
              <w:jc w:val="left"/>
            </w:pPr>
            <w:r>
              <w:rPr>
                <w:rFonts w:ascii="仿宋_GB2312" w:hAnsi="仿宋_GB2312" w:cs="仿宋_GB2312" w:eastAsia="仿宋_GB2312"/>
              </w:rPr>
              <w:t>▲6.与琼海市公安局智慧交通综合管控平台对接，实现联网控制，或通过建设平台，在视频专网内实现联网控制（提供承诺函，格式自拟）。</w:t>
            </w:r>
          </w:p>
          <w:p>
            <w:pPr>
              <w:pStyle w:val="null3"/>
              <w:jc w:val="left"/>
            </w:pPr>
            <w:r>
              <w:rPr>
                <w:rFonts w:ascii="仿宋_GB2312" w:hAnsi="仿宋_GB2312" w:cs="仿宋_GB2312" w:eastAsia="仿宋_GB2312"/>
              </w:rPr>
              <w:t>7.符合《海南省公安厅交通警察总队道路交通监控视频等基础设施建设应用指引》、公安交通集成指挥平台通信协议第2部分交通信号控制系统》（GAT1049.2-2013），信号灯系统应当部署在视频专网。</w:t>
            </w:r>
          </w:p>
          <w:p>
            <w:pPr>
              <w:pStyle w:val="null3"/>
              <w:jc w:val="left"/>
            </w:pPr>
            <w:r>
              <w:rPr>
                <w:rFonts w:ascii="仿宋_GB2312" w:hAnsi="仿宋_GB2312" w:cs="仿宋_GB2312" w:eastAsia="仿宋_GB2312"/>
              </w:rPr>
              <w:t>8.信号机应为C类信号机，带液晶操作屏和遥控器。</w:t>
            </w:r>
          </w:p>
          <w:p>
            <w:pPr>
              <w:pStyle w:val="null3"/>
              <w:jc w:val="left"/>
            </w:pPr>
            <w:r>
              <w:rPr>
                <w:rFonts w:ascii="仿宋_GB2312" w:hAnsi="仿宋_GB2312" w:cs="仿宋_GB2312" w:eastAsia="仿宋_GB2312"/>
              </w:rPr>
              <w:t>9.支持通道扩容。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1.拆除旧设备，更换新设备。</w:t>
            </w:r>
          </w:p>
          <w:p>
            <w:pPr>
              <w:pStyle w:val="null3"/>
              <w:jc w:val="left"/>
            </w:pPr>
            <w:r>
              <w:rPr>
                <w:rFonts w:ascii="仿宋_GB2312" w:hAnsi="仿宋_GB2312" w:cs="仿宋_GB2312" w:eastAsia="仿宋_GB2312"/>
              </w:rPr>
              <w:t>2.高3m，长40cm，宽18cm，外壳201材质，Φ300一体化人行灯(配行人过街信息屏+盲人钟）。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1.新增设备。</w:t>
            </w:r>
          </w:p>
          <w:p>
            <w:pPr>
              <w:pStyle w:val="null3"/>
              <w:jc w:val="left"/>
            </w:pPr>
            <w:r>
              <w:rPr>
                <w:rFonts w:ascii="仿宋_GB2312" w:hAnsi="仿宋_GB2312" w:cs="仿宋_GB2312" w:eastAsia="仿宋_GB2312"/>
              </w:rPr>
              <w:t>2.Φ400，红黄绿三色箭头圆盘两用，带倒计时，含灯架及安装。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1.拆除旧设备，更换新设备。</w:t>
            </w:r>
          </w:p>
          <w:p>
            <w:pPr>
              <w:pStyle w:val="null3"/>
              <w:jc w:val="left"/>
            </w:pPr>
            <w:r>
              <w:rPr>
                <w:rFonts w:ascii="仿宋_GB2312" w:hAnsi="仿宋_GB2312" w:cs="仿宋_GB2312" w:eastAsia="仿宋_GB2312"/>
              </w:rPr>
              <w:t>2.支持16路AC220V信号接入；6路RS485接口；一个5位拨码开关，用于设置设备地址、数据上传模式及波特率；一个电源开关，AC220V供电。</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1.拆除旧设备，更换新设备。</w:t>
            </w:r>
          </w:p>
          <w:p>
            <w:pPr>
              <w:pStyle w:val="null3"/>
              <w:jc w:val="left"/>
            </w:pPr>
            <w:r>
              <w:rPr>
                <w:rFonts w:ascii="仿宋_GB2312" w:hAnsi="仿宋_GB2312" w:cs="仿宋_GB2312" w:eastAsia="仿宋_GB2312"/>
              </w:rPr>
              <w:t>2.三代终端服务器，高性能数字媒体处理器；支持4个3.5寸硬盘接入；支持12路IPC接入；双网卡，内置16个100M以太网接口及2个1000M网络接口、1个1000M独立SFP光纤接口；支持2路HD-TVI输入；支持VGA输出、HDMI输出、CVBS输出；4个RS485、2个RS232、2个USB2.0、4路报警输入\报警输出、1个eSATA接口；电源:DC12V。</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1.拆除旧电源线，更换新电源线。</w:t>
            </w:r>
          </w:p>
          <w:p>
            <w:pPr>
              <w:pStyle w:val="null3"/>
              <w:jc w:val="left"/>
            </w:pPr>
            <w:r>
              <w:rPr>
                <w:rFonts w:ascii="仿宋_GB2312" w:hAnsi="仿宋_GB2312" w:cs="仿宋_GB2312" w:eastAsia="仿宋_GB2312"/>
              </w:rPr>
              <w:t>2.KVV22-3*6.0。</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服务时间和地点及付款方式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1）服务地点：海南省琼海市（具体以采购人指定地点为准）。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2）合同履行期限：签订合同后 15 天内完成供货及安装调试，并通过验收（具体细节以合同约定为准）。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3）付款方式：本项目合同款项以人民币转账方式支付。合同签订生效后，中标人提交合同总价 30%金额的发票，采购人支付合同总价的30%作为预付款。中标人将设备运送至甲方指定地点并经采购人验收合格后，中标人提交合同总价50%金额的发票，采购人支付合同总价50%的货款。设备安装调试合格并通过采购人验收后，中标人提交合同总价17%金额的发票，采购人支付合同总价17%的进度款。剩下合同总价3%的货款作为（质量）保证金（中标人提供质量履约保函方可支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4）验收要求：由采购人在指定地点对所购设备进行验收，验收标准除采购要求的货物技术参数外，可溯源到国家相关标准。供应商提供的设备安装调试应达到有关标准的要求并确保整体通过采购人的验收。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5）售后服务要求：服务期内提供7×24小时技术支持和服务，对重大问题提供现场技术支持，2 小时内到达指定现场。在保修期内，同一产品、同一质量问题，连续两次维修仍无法正常使用，供应商必须予以更换同品牌、同型号全新装备器材或者性能更加高级的替代产品。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6）质保期：1 年。质保期自软、硬件设施设备验收之日起计算，保修费用已计入总价。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投标报价均包含人工费、培训费、配套设备费、运输费、安装费、检测费、验收、税费、培训费等一切费用，需要与地方相关部门协调沟通等事宜所产生的的问题本单位不承担任何责任。</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（8）质量保证：所有设备必须是厂商原装、全新的正品，符合国家及该产品的出厂标准。设备外观清洁，标记编号以及盘面显示等字体清晰、明确。所有产品、设备供货时需提供出厂合格证等质量证明文件。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投标人须对所投标设备的技术参数、资质证书、证明材料资料真实性材料编制投标文件，对资料的真实性负责（提供承诺函），在中标结果公示期间，采购人有权对中标候选人所投服务技术参数的技术指标、证书、证明材料、签字、印章、地址、联系人、电话身份证等进行核查，如发现提供虚假参数、伪造、变造相关资料等虚假响应，与投标文件中的内容或描述不一致，采购人有权取消其中标资格，没收投标保证金并报政府采购主管部门进行严肃处理。</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招标文件第三章《采购需求书》中列明标的物的技术要求是采购人基于实际工作需要而提出的基本需求，如果有专利、商标、品牌、规格型号等信息的，仅起技术说明、参考作用，投标产品响应其指标性能要求即可。</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无环保类行政处罚记录声明函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其他信誉承诺函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其他信誉承诺函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其他信誉承诺函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其他信誉承诺函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根据投标人提交的项目总体方案（包括但不限于①项目实施计划；②整体部署；③协调与配合；④程序与方法等）。评标委员会对4项要素进行评审： 1.方案内容编制内容详细、考虑问题全面完整合理、实施可行、可操作性强，得16分； 2.方案内容编制内容详细、考虑问题全面完整，实施较行、可操作性较强，得12分； 3.方案内容编制内容详细、考虑问题一般完整，实施一般、可操作性一般，得8分； 4.方案内容编制内容详细、考虑问题一般完整，实施一般、可操作性差，缺项漏项等情况，得4分； 5.不提供方案不得分。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安装及调试方案</w:t>
            </w:r>
          </w:p>
        </w:tc>
        <w:tc>
          <w:tcPr>
            <w:tcW w:type="dxa" w:w="2492"/>
          </w:tcPr>
          <w:p>
            <w:pPr>
              <w:pStyle w:val="null3"/>
              <w:jc w:val="both"/>
            </w:pPr>
            <w:r>
              <w:rPr>
                <w:rFonts w:ascii="仿宋_GB2312" w:hAnsi="仿宋_GB2312" w:cs="仿宋_GB2312" w:eastAsia="仿宋_GB2312"/>
              </w:rPr>
              <w:t>根据投标人提供的安装及调试方案（①系统总体设计；②实施步骤；③调试方案等）评标委员会对以上3项要素进行评审： 1.方案内容编制内容详细、考虑问题全面完整合理、实施可行、可操作性强，得12分；2.方案内容编制内容详细、考虑问题全面完整，实施较行、可操作性较强，得9分； 3.方案内容编制内容详细、考虑问题一般完整，实施一般、可操作性一般，得6分； 4.方案内容编制内容详细、考虑问题一般完整，实施一般、可操作性差，缺项漏项等情况，得3分；5.不提供方案不得分。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项目进度方案</w:t>
            </w:r>
          </w:p>
        </w:tc>
        <w:tc>
          <w:tcPr>
            <w:tcW w:type="dxa" w:w="2492"/>
          </w:tcPr>
          <w:p>
            <w:pPr>
              <w:pStyle w:val="null3"/>
              <w:jc w:val="both"/>
            </w:pPr>
            <w:r>
              <w:rPr>
                <w:rFonts w:ascii="仿宋_GB2312" w:hAnsi="仿宋_GB2312" w:cs="仿宋_GB2312" w:eastAsia="仿宋_GB2312"/>
              </w:rPr>
              <w:t>根据项目进度方案（①施工进度保证措施；②施工进度控制方法；③施工进度计划实施等）。评标委员会对以上3项要素进行评审： 1.方案内容编制内容详细、考虑问题全面完整合理、实施可行、可操作性强，得12分； 2.方案内容编制内容详细、考虑问题全面完整，实施较行、可操作性较强，得9分； 3.方案内容编制内容详细、考虑问题一般完整，实施一般、可操作性一般，得6分； 4.方案内容编制内容详细、考虑问题一般完整，实施一般、可操作性差，缺项漏项等情况，得3分； 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包括但不限于①售后团队配置；②售后服务响应时间及修复时间；③配件、附件、备品备件的准备；④配件故障应急处理措施等方面）。评标委员会对以上4项要素进行评审，评审标准如下： 1.方案内容编制内容详细、考虑问题全面完整合理、实施可行、可操作性强，得12分； 2.方案内容编制内容详细、考虑问题全面完整，实施较行、可操作性较强，得8分； 3.方案内容编制内容详细、考虑问题一般完整，实施一般、可操作性一般，得4分； 4.方案内容编制内容详细、考虑问题一般完整，实施一般、可操作性差，缺项漏项等情况，得2分； 5.不提供方案不得分。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投标人承诺在质保期一年的基础上每增加一年得1分，最多得2分，延长时间不足一年的不计入得分。 证明材料：提供承诺函。</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商务响应表</w:t>
            </w:r>
          </w:p>
        </w:tc>
      </w:tr>
      <w:tr>
        <w:tc>
          <w:tcPr>
            <w:tcW w:type="dxa" w:w="831"/>
            <w:vMerge/>
          </w:tcPr>
          <w:p/>
        </w:tc>
        <w:tc>
          <w:tcPr>
            <w:tcW w:type="dxa" w:w="1661"/>
          </w:tcPr>
          <w:p>
            <w:pPr>
              <w:pStyle w:val="null3"/>
              <w:jc w:val="both"/>
            </w:pPr>
            <w:r>
              <w:rPr>
                <w:rFonts w:ascii="仿宋_GB2312" w:hAnsi="仿宋_GB2312" w:cs="仿宋_GB2312" w:eastAsia="仿宋_GB2312"/>
              </w:rPr>
              <w:t>重要参数技术指标响应评审</w:t>
            </w:r>
          </w:p>
        </w:tc>
        <w:tc>
          <w:tcPr>
            <w:tcW w:type="dxa" w:w="2492"/>
          </w:tcPr>
          <w:p>
            <w:pPr>
              <w:pStyle w:val="null3"/>
              <w:jc w:val="both"/>
            </w:pPr>
            <w:r>
              <w:rPr>
                <w:rFonts w:ascii="仿宋_GB2312" w:hAnsi="仿宋_GB2312" w:cs="仿宋_GB2312" w:eastAsia="仿宋_GB2312"/>
              </w:rPr>
              <w:t>▲号代表重要指标项（共3条），满足或优于该指标得1.6分，共计4.8分。 证明材料：如采购需求中有明确要求提供证明资料的，以采购需求中的要求为准，提供的证明材料须进行标注，方便评委查看。如采购需求中未明确证明材料的，以供应商在《技术标偏离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4.80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普通技术指标响应评审</w:t>
            </w:r>
          </w:p>
        </w:tc>
        <w:tc>
          <w:tcPr>
            <w:tcW w:type="dxa" w:w="2492"/>
          </w:tcPr>
          <w:p>
            <w:pPr>
              <w:pStyle w:val="null3"/>
              <w:jc w:val="both"/>
            </w:pPr>
            <w:r>
              <w:rPr>
                <w:rFonts w:ascii="仿宋_GB2312" w:hAnsi="仿宋_GB2312" w:cs="仿宋_GB2312" w:eastAsia="仿宋_GB2312"/>
              </w:rPr>
              <w:t>未标注的为普通指标项（共16条），满足或优于该指标得0.7分，共计11.2分。 证明材料：如采购需求中有明确要求提供证明资料的，以采购需求中的要求为准，提供的证明材料须进行标注，方便评委查看。如采购需求中未明确证明材料的，以供应商在《技术标偏离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博鳌乐城先行区交通信号灯维修维护改造项目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博鳌乐城先行区交通信号灯维修维护改造项目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A02370200-交通管理设备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2751660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备注：分项报价明细表与开标报价一览表投标报价总价须一致，否则视为无效投标。数量、计量单位、单价以及规格型号等内容以分项报价明细表为准。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详见附件：技术评审</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详见附件：其他信誉承诺函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